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60" w:right="1940" w:hanging="452"/>
        <w:spacing w:after="0" w:line="344"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2009</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20"/>
          </w:cols>
          <w:pgMar w:left="240" w:top="230" w:right="339" w:bottom="1440" w:gutter="0" w:footer="0" w:header="0"/>
        </w:sectPr>
      </w:pPr>
    </w:p>
    <w:p>
      <w:pPr>
        <w:spacing w:after="0" w:line="175"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5" w:lineRule="exact"/>
        <w:rPr>
          <w:sz w:val="24"/>
          <w:szCs w:val="24"/>
          <w:color w:val="auto"/>
        </w:rPr>
      </w:pPr>
    </w:p>
    <w:p>
      <w:pPr>
        <w:sectPr>
          <w:pgSz w:w="11900" w:h="16838" w:orient="portrait"/>
          <w:cols w:equalWidth="0" w:num="2">
            <w:col w:w="7600" w:space="720"/>
            <w:col w:w="3000"/>
          </w:cols>
          <w:pgMar w:left="240" w:top="230" w:right="3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90" w:lineRule="exact"/>
        <w:rPr>
          <w:sz w:val="24"/>
          <w:szCs w:val="24"/>
          <w:color w:val="auto"/>
        </w:rPr>
      </w:pPr>
    </w:p>
    <w:p>
      <w:pPr>
        <w:sectPr>
          <w:pgSz w:w="11900" w:h="16838" w:orient="portrait"/>
          <w:cols w:equalWidth="0" w:num="2">
            <w:col w:w="7500" w:space="720"/>
            <w:col w:w="3100"/>
          </w:cols>
          <w:pgMar w:left="240" w:top="230"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3131 Las Vegas Boulevard South—Las Vegas, Nevada 89109</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196850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7" w:lineRule="exact"/>
        <w:rPr>
          <w:sz w:val="24"/>
          <w:szCs w:val="24"/>
          <w:color w:val="auto"/>
        </w:rPr>
      </w:pPr>
    </w:p>
    <w:p>
      <w:pPr>
        <w:ind w:left="460"/>
        <w:spacing w:after="0" w:line="207" w:lineRule="exact"/>
        <w:tabs>
          <w:tab w:leader="none" w:pos="8540" w:val="left"/>
          <w:tab w:leader="none" w:pos="918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August 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820" w:type="dxa"/>
            <w:vAlign w:val="bottom"/>
            <w:gridSpan w:val="14"/>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spacing w:after="0"/>
              <w:rPr>
                <w:sz w:val="19"/>
                <w:szCs w:val="19"/>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0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980" w:type="dxa"/>
            <w:vAlign w:val="bottom"/>
          </w:tcPr>
          <w:p>
            <w:pPr>
              <w:spacing w:after="0"/>
              <w:rPr>
                <w:sz w:val="24"/>
                <w:szCs w:val="24"/>
                <w:color w:val="auto"/>
              </w:rPr>
            </w:pPr>
          </w:p>
        </w:tc>
      </w:tr>
      <w:tr>
        <w:trPr>
          <w:trHeight w:val="286"/>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2009 (unaudited) and December 31, 2008</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(unaudited) – Three and six month ended June 30, 2009 and 2008</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(unaudited) – Six months ended June 30, 2009 and 2008</w:t>
              </w:r>
            </w:hyperlink>
          </w:p>
        </w:tc>
        <w:tc>
          <w:tcPr>
            <w:tcW w:w="64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00" w:type="dxa"/>
            <w:vAlign w:val="bottom"/>
            <w:gridSpan w:val="1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20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0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43"/>
        </w:trPr>
        <w:tc>
          <w:tcPr>
            <w:tcW w:w="6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0" w:type="dxa"/>
            <w:vAlign w:val="bottom"/>
          </w:tcPr>
          <w:p>
            <w:pPr>
              <w:spacing w:after="0"/>
              <w:rPr>
                <w:sz w:val="24"/>
                <w:szCs w:val="24"/>
                <w:color w:val="auto"/>
              </w:rPr>
            </w:pPr>
          </w:p>
        </w:tc>
        <w:tc>
          <w:tcPr>
            <w:tcW w:w="9760" w:type="dxa"/>
            <w:vAlign w:val="bottom"/>
            <w:gridSpan w:val="13"/>
          </w:tcPr>
          <w:p>
            <w:pPr>
              <w:ind w:left="60"/>
              <w:spacing w:after="0"/>
              <w:rPr>
                <w:sz w:val="20"/>
                <w:szCs w:val="20"/>
                <w:color w:val="auto"/>
              </w:rPr>
            </w:pPr>
            <w:r>
              <w:rPr>
                <w:rFonts w:ascii="Arial" w:cs="Arial" w:eastAsia="Arial" w:hAnsi="Arial"/>
                <w:sz w:val="18"/>
                <w:szCs w:val="18"/>
                <w:b w:val="1"/>
                <w:bCs w:val="1"/>
                <w:color w:val="auto"/>
              </w:rPr>
              <w:t>Other Information</w:t>
            </w:r>
          </w:p>
        </w:tc>
        <w:tc>
          <w:tcPr>
            <w:tcW w:w="980" w:type="dxa"/>
            <w:vAlign w:val="bottom"/>
          </w:tcPr>
          <w:p>
            <w:pPr>
              <w:spacing w:after="0"/>
              <w:rPr>
                <w:sz w:val="24"/>
                <w:szCs w:val="24"/>
                <w:color w:val="auto"/>
              </w:rPr>
            </w:pPr>
          </w:p>
        </w:tc>
      </w:tr>
      <w:tr>
        <w:trPr>
          <w:trHeight w:val="286"/>
        </w:trPr>
        <w:tc>
          <w:tcPr>
            <w:tcW w:w="620" w:type="dxa"/>
            <w:vAlign w:val="bottom"/>
          </w:tcPr>
          <w:p>
            <w:pPr>
              <w:spacing w:after="0"/>
              <w:rPr>
                <w:sz w:val="20"/>
                <w:szCs w:val="20"/>
                <w:color w:val="auto"/>
              </w:rPr>
            </w:pPr>
            <w:r>
              <w:rPr>
                <w:rFonts w:ascii="Arial" w:cs="Arial" w:eastAsia="Arial" w:hAnsi="Arial"/>
                <w:sz w:val="18"/>
                <w:szCs w:val="18"/>
                <w:color w:val="auto"/>
              </w:rPr>
              <w:t>Item IA</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0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0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526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94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w:t>
              </w:r>
            </w:hyperlink>
          </w:p>
        </w:tc>
        <w:tc>
          <w:tcPr>
            <w:tcW w:w="580" w:type="dxa"/>
            <w:vAlign w:val="bottom"/>
            <w:tcBorders>
              <w:top w:val="single" w:sz="8" w:color="0000EE"/>
            </w:tcBorders>
            <w:gridSpan w:val="2"/>
          </w:tcPr>
          <w:p>
            <w:pPr>
              <w:spacing w:after="0"/>
              <w:rPr>
                <w:sz w:val="24"/>
                <w:szCs w:val="24"/>
                <w:color w:val="auto"/>
              </w:rPr>
            </w:pPr>
          </w:p>
        </w:tc>
        <w:tc>
          <w:tcPr>
            <w:tcW w:w="892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83"/>
        </w:trPr>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40" w:type="dxa"/>
            <w:vAlign w:val="bottom"/>
            <w:gridSpan w:val="8"/>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85,995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3,984,125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4,369,013</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2,630,586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2,909,542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3,326,708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1,817,841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(358,370)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1,459,471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4,369,013</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4,584,271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9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$124,343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120,664</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$ 241,824</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166,543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99,945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84,295</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196,854</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96,839</w:t>
            </w:r>
          </w:p>
        </w:tc>
        <w:tc>
          <w:tcPr>
            <w:tcW w:w="4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356,228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332,561</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702,060</w:t>
            </w:r>
          </w:p>
        </w:tc>
        <w:tc>
          <w:tcPr>
            <w:tcW w:w="4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659,298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(43,269)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(37,093)</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(97,579)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312,959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295,468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604,481</w:t>
            </w:r>
          </w:p>
        </w:tc>
        <w:tc>
          <w:tcPr>
            <w:tcW w:w="4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rPr>
              <w:t>62,422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61,281</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140,895</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48,610</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61,070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50,575</w:t>
            </w:r>
          </w:p>
        </w:tc>
        <w:tc>
          <w:tcPr>
            <w:tcW w:w="24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117,380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62,998</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58,785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52,098</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124,027</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103,055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rPr>
              <w:t>4,703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4,431</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9,057</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78,425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40,794</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155,869</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(6,646)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321,305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275,125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671,211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571,599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(8,346)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(66,730)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11,470</w:t>
            </w:r>
          </w:p>
        </w:tc>
        <w:tc>
          <w:tcPr>
            <w:tcW w:w="0" w:type="dxa"/>
            <w:vAlign w:val="bottom"/>
          </w:tcPr>
          <w:p>
            <w:pPr>
              <w:spacing w:after="0"/>
              <w:rPr>
                <w:sz w:val="1"/>
                <w:szCs w:val="1"/>
                <w:color w:val="auto"/>
              </w:rPr>
            </w:pPr>
          </w:p>
        </w:tc>
      </w:t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(37,661)</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(18,135)</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(74,502)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(429)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(37,837)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(15,265)</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(74,917)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(35,159)</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60" w:type="dxa"/>
            <w:vAlign w:val="bottom"/>
            <w:gridSpan w:val="2"/>
            <w:vMerge w:val="continue"/>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 (46,183)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5,078</w:t>
            </w:r>
          </w:p>
        </w:tc>
        <w:tc>
          <w:tcPr>
            <w:tcW w:w="240" w:type="dxa"/>
            <w:vAlign w:val="bottom"/>
          </w:tcPr>
          <w:p>
            <w:pPr>
              <w:spacing w:after="0"/>
              <w:rPr>
                <w:sz w:val="19"/>
                <w:szCs w:val="19"/>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(141,647)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 (23,689)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770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5"/>
              </w:rPr>
              <w:t>(141,647)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(23,689)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2"/>
              </w:rPr>
              <w:t>155,869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80,274</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rPr>
              <w:t>4,564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 other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11,560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5,081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rPr>
              <w:t>7,294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21,079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swap fair value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7,206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30,232</w:t>
            </w: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rPr>
              <w:t>7,481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8"/>
              </w:rPr>
              <w:t>(67,812)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(34,381)</w:t>
            </w:r>
          </w:p>
        </w:tc>
        <w:tc>
          <w:tcPr>
            <w:tcW w:w="0" w:type="dxa"/>
            <w:vAlign w:val="bottom"/>
          </w:tcPr>
          <w:p>
            <w:pPr>
              <w:spacing w:after="0"/>
              <w:rPr>
                <w:sz w:val="1"/>
                <w:szCs w:val="1"/>
                <w:color w:val="auto"/>
              </w:rPr>
            </w:pPr>
          </w:p>
        </w:tc>
      </w:tr>
      <w:tr>
        <w:trPr>
          <w:trHeight w:val="216"/>
        </w:trPr>
        <w:tc>
          <w:tcPr>
            <w:tcW w:w="770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rPr>
              <w:t>8,287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11,443</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operating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(1,321)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97,759</w:t>
            </w: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 and retention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5"/>
              </w:rPr>
              <w:t>(172,269)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(516,158)</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 and other assets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5,066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(23,462)</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rPr>
              <w:t>2,164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5"/>
              </w:rPr>
              <w:t>(165,039)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(541,703)</w:t>
            </w: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5"/>
              </w:rPr>
              <w:t>(289,040)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rPr>
              <w:t>85,542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361,000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contribution from the Parent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2"/>
              </w:rPr>
              <w:t>328,451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Payment of financing costs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12"/>
              <w:spacing w:after="0"/>
              <w:rPr>
                <w:sz w:val="20"/>
                <w:szCs w:val="20"/>
                <w:color w:val="auto"/>
              </w:rPr>
            </w:pPr>
            <w:r>
              <w:rPr>
                <w:rFonts w:ascii="Arial" w:cs="Arial" w:eastAsia="Arial" w:hAnsi="Arial"/>
                <w:sz w:val="18"/>
                <w:szCs w:val="18"/>
                <w:color w:val="auto"/>
                <w:w w:val="98"/>
              </w:rPr>
              <w:t>(10,202)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2"/>
              </w:rPr>
              <w:t>114,751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360,149</w:t>
            </w: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cash and cash equivalents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8"/>
              </w:rPr>
              <w:t>(51,609)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(83,795)</w:t>
            </w: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w w:val="92"/>
              </w:rPr>
              <w:t>123,315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146,521</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71,706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ind w:left="240" w:right="826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2009,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2009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2008.</w:t>
      </w:r>
    </w:p>
    <w:p>
      <w:pPr>
        <w:spacing w:after="0" w:line="193" w:lineRule="exact"/>
        <w:rPr>
          <w:sz w:val="20"/>
          <w:szCs w:val="20"/>
          <w:color w:val="auto"/>
        </w:rPr>
      </w:pPr>
    </w:p>
    <w:p>
      <w:pPr>
        <w:ind w:left="240" w:right="790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2009 and December 31, 2008, approximately 56% and 69%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43"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The retail value of accommodations, food and beverage, and other services furnished to guests without charge is included in gross revenue and then deducted as promotional allowances. Such amounts have increased with the opening of Encore in December 2008. The estimated cost of providing such promotional allowances is primarily included in casino expenses as follows (amounts in thousands):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2009</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$ 21,964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$ 13,000</w:t>
            </w:r>
          </w:p>
        </w:tc>
        <w:tc>
          <w:tcPr>
            <w:tcW w:w="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Food &amp; beverage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12,285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30,449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26,602</w:t>
            </w:r>
          </w:p>
        </w:tc>
        <w:tc>
          <w:tcPr>
            <w:tcW w:w="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0" w:type="dxa"/>
            <w:vAlign w:val="bottom"/>
          </w:tcPr>
          <w:p>
            <w:pPr>
              <w:spacing w:after="0"/>
              <w:rPr>
                <w:sz w:val="18"/>
                <w:szCs w:val="18"/>
                <w:color w:val="auto"/>
              </w:rPr>
            </w:pP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25,350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57,318</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$ 43,861</w:t>
            </w:r>
          </w:p>
        </w:tc>
      </w:tr>
      <w:tr>
        <w:trPr>
          <w:trHeight w:val="20"/>
        </w:trPr>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revenues, subject to applicable adjustments. These gaming taxes are an assessment on the Company’s gaming revenues and are recorded as an expense within the “Casino” line item in the Condensed Consolidated Statements of Operations. These taxes totaled approximately $8.8 million and $8.6 million for the three months ended June 30, 2009 and 2008, respectively, and $17.5 million and $17.4 million for the six months ended June 30, 2009 and 2008,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June 30, 2009 and 2008, advertising costs totaled approximately $3.5 million and $5.4 million, respectively. For the six months ended June 30, 2009 and 2008, advertising costs totaled approximately $10.5 million and $11.9 million, respectively. There was approximately $1.3 million of advertising costs included in pre-opening expenses for the six months ended June 30,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Subsequent Events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accordance with accounting standards for subsequent events, the Company has evaluated subsequent events through August 4, 2009, the date these financial statements were issued.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The Company partially adopted the provisions of SFAS 157 effective January 1, 2008 and adopted the remaining provisions of SFAS 157 on January 1, 2009. The Company currently does not have any non-financial assets or liabilities that are, or were recognized or disclosed at fair value on a recurring basis and accordingly the final adoption of this statement on January 1, 2009, did not have an impact the Company’s condensed consolidated financial statements.</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on January 1, 2009, did not impact the Company’s condensed consolidated financial statements.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940"/>
        <w:spacing w:after="0" w:line="370" w:lineRule="auto"/>
        <w:rPr>
          <w:sz w:val="20"/>
          <w:szCs w:val="20"/>
          <w:color w:val="auto"/>
        </w:rPr>
      </w:pPr>
      <w:r>
        <w:rPr>
          <w:rFonts w:ascii="Arial" w:cs="Arial" w:eastAsia="Arial" w:hAnsi="Arial"/>
          <w:sz w:val="15"/>
          <w:szCs w:val="15"/>
          <w:color w:val="auto"/>
        </w:rPr>
        <w:t>distinguish between the interest of the parent and those of the noncontrolling owners. This statement is effective for fiscal years beginning on or after December 15, 2008. The adoption of SFAS No. 160 on January 1, 2009 did not impact the Company’s condensed consolidated financial statements.</w:t>
      </w:r>
    </w:p>
    <w:p>
      <w:pPr>
        <w:spacing w:after="0" w:line="6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The adoption of SFAS No. 161 did not have a material impact on the Company’s condensed consolidated financial statements.</w:t>
      </w:r>
    </w:p>
    <w:p>
      <w:pPr>
        <w:spacing w:after="0" w:line="9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June 2009, the FASB issued SFAS No. 167, “Amendments to FASB Interpretation No. 46(R)”. This statement addresses the effects of elimination of the qualifying special-purpose entity (“QSPE”) concept from SFAS 140 and responds to concerns about the application of certain key provisions of FIN 46 (R). This statement amends FIN46 (R)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This Statement is effective January 1, 2010. The Company is currently evaluating the impact, if any, of adopting this statement on its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Interest paid for the six months ended June 30, 2009 and 2008 totaled approximately $69.5 million and $68.1 million, respectively. Interest capitalized for the six months ended June 30, 2009 and 2008 totaled $0 and $34.9 million, respectively.</w:t>
      </w:r>
    </w:p>
    <w:p>
      <w:pPr>
        <w:spacing w:after="0" w:line="132"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During the six months ended June 30, 2009 and 2008, capital expenditures include a decrease of approximately $146.9 million and an increase of approximately $23.7 million, respectively, in construction payables and retention recorded through amounts due to affiliates.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2"/>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124,196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142,515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Hotel</w:t>
            </w: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16,281</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13,051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148,055</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163,696</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(62,060)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(65,414)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spacing w:after="0"/>
              <w:rPr>
                <w:sz w:val="19"/>
                <w:szCs w:val="19"/>
                <w:color w:val="auto"/>
              </w:rPr>
            </w:pPr>
          </w:p>
        </w:tc>
        <w:tc>
          <w:tcPr>
            <w:tcW w:w="4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85,995</w:t>
            </w:r>
          </w:p>
        </w:tc>
        <w:tc>
          <w:tcPr>
            <w:tcW w:w="6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98,282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360" w:type="dxa"/>
            <w:vAlign w:val="bottom"/>
            <w:vMerge w:val="restart"/>
          </w:tcPr>
          <w:p>
            <w:pPr>
              <w:jc w:val="right"/>
              <w:ind w:right="291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13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1"/>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2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697,150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695,474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2,557,791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2,557,489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1,320,312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1,301,182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6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4,625,963</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4,602,978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6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435"/>
              <w:spacing w:after="0"/>
              <w:rPr>
                <w:sz w:val="20"/>
                <w:szCs w:val="20"/>
                <w:color w:val="auto"/>
              </w:rPr>
            </w:pPr>
            <w:r>
              <w:rPr>
                <w:rFonts w:ascii="Arial" w:cs="Arial" w:eastAsia="Arial" w:hAnsi="Arial"/>
                <w:sz w:val="18"/>
                <w:szCs w:val="18"/>
                <w:color w:val="auto"/>
              </w:rPr>
              <w:t>(641,838)</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(494,025)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$ 3,984,125</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$ 4,108,953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1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8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8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4"/>
                <w:szCs w:val="24"/>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2009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4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5"/>
              </w:rPr>
              <w:t xml:space="preserve">6 </w:t>
            </w:r>
            <w:r>
              <w:rPr>
                <w:rFonts w:ascii="Arial" w:cs="Arial" w:eastAsia="Arial" w:hAnsi="Arial"/>
                <w:sz w:val="11"/>
                <w:szCs w:val="11"/>
                <w:color w:val="auto"/>
                <w:w w:val="95"/>
              </w:rPr>
              <w:t>5</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First Mortgage Notes, due December 1, 2014, net of original issue discount of $8,899 at June 30, 2009, and $9,561 at</w:t>
            </w: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31, 2008</w:t>
            </w:r>
          </w:p>
        </w:tc>
        <w:tc>
          <w:tcPr>
            <w:tcW w:w="30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$1,625,331</w:t>
            </w:r>
          </w:p>
        </w:tc>
        <w:tc>
          <w:tcPr>
            <w:tcW w:w="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$ 1,690,439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Revolving Credit Facility; due July 15, 2013; interest at LIBOR plus 2.8%</w:t>
            </w: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676,685</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879,484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Term Loan Facility; $112.5 million due September 30, 2012 with the remaining $112.5 million due August 15, 2013; interest</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 LIBOR plus 1.875%</w:t>
            </w:r>
          </w:p>
        </w:tc>
        <w:tc>
          <w:tcPr>
            <w:tcW w:w="1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225,000</w:t>
            </w:r>
          </w:p>
        </w:tc>
        <w:tc>
          <w:tcPr>
            <w:tcW w:w="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38,850</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39,550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3060" w:type="dxa"/>
            <w:vAlign w:val="bottom"/>
            <w:gridSpan w:val="4"/>
          </w:tcPr>
          <w:p>
            <w:pPr>
              <w:jc w:val="right"/>
              <w:spacing w:after="0"/>
              <w:rPr>
                <w:sz w:val="20"/>
                <w:szCs w:val="20"/>
                <w:color w:val="auto"/>
              </w:rPr>
            </w:pPr>
            <w:r>
              <w:rPr>
                <w:rFonts w:ascii="Arial" w:cs="Arial" w:eastAsia="Arial" w:hAnsi="Arial"/>
                <w:sz w:val="18"/>
                <w:szCs w:val="18"/>
                <w:color w:val="auto"/>
              </w:rPr>
              <w:t>2,631,636</w:t>
            </w:r>
          </w:p>
        </w:tc>
        <w:tc>
          <w:tcPr>
            <w:tcW w:w="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2,834,473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260" w:type="dxa"/>
            <w:vAlign w:val="bottom"/>
            <w:gridSpan w:val="2"/>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2,630,586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2,833,423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13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During the six months ended June 30, 2009, Wynn Resorts purchased $65.8 million face amount of the Company’s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 purchase of the notes by Wynn Resorts has not been contributed to the Company and the notes have not been retired. Accordingly, $65.8 million of the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 Amendment</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April 17, 2009, the Company entered into a fourth amendment to its Amended and Restated Credit Agreement (the “Credit Agreement”). This amendment, among other things, (i) provides a waiver of the Consolidated Leverage Ratio, as defined in the Credit Agreement, until the quarter ending June 30, 2011,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increases such thresholds thereafter; (ii) provides additional flexibility with the Consolidated Interest Coverage Ratio, as defined in the Credit Agreement, by reducing such ratio from 1.75 : 1 to 1.25 : 1 beginning June 30, 2009 through March 31, 2011; (iii) extends the maturity on $609.8 million of revolver commitments from August 15, 2011 to July 15, 2013 (after giving effect to the permanent reduction described below); and (iv) 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to approximately $697 million; and (ii) agreed to an increase in the overall interest rate spread on the Credit Facilities from LIBOR plus 1.7% to LIBOR plus 2.6%.</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Pursuant to the fourth amendment, the revolver commitments will reduce by an additional $61 million on August 15, 2011, and a further $55 million on August 15, 2012. The remaining commitments will mature on July 15, 2013. Lenders holding $87 million of the commitments did not agree to the amendment. Those commitments will mature on the original maturity date of August 15,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2009,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estimated fair value of the Company’s long-term debt at June 30, 2009 was approximately $2.3 billion compared to the carrying value which was $2.6 billion. The estimated fair value is based upon the most recent trades at June 30,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June 30, 2009, the Company’s net due to affiliates was primarily comprised of construction payables of approximately $36.8 million, construction retention of approximately $23.4 million, a management fee of approximately $73 million (equal to 1.5% of net revenues and payable upon meeting certain leverage ratios as specified in the documents governing the Company’s Credit Facilities and the First Mortgage Notes indenture), and other net amounts receivable from affiliates totaling $9.7 million.</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December 31, 2008, the Company’s net due to affiliates was primarily comprised of construction payables of approximately $123.4 million, construction retention of approximately $77.7 million, a management fee of approximately $63.9 million (equal to 1.5% of net revenues and payable upon meeting certain leverage ratios as specified in the documents governing the Company’s Credit Facilities and the First Mortgage Notes indenture), and other net amounts receivable from affiliates totaling $0.7 million (including corporate allocations discussed below).</w:t>
      </w:r>
    </w:p>
    <w:p>
      <w:pPr>
        <w:spacing w:after="0" w:line="11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The Company periodically settles amounts due to affiliates with cash receipts and payments, except for the management fee, which is payable upon meeting certain leverage ratios specified in the documents governing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and the Credit Facilities.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the Company no longer intends to settle its corporate allocation and accordingly, such allocations have been recorded as a contribution to equity from Wynn Resorts. During the six months ended June 30, 2009 and 2008, approximately $10.5 million and $12.4 million, respectively, was charged to the Company for such corporate allocations.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such other officers and directors have amounts on deposit with Wynn Resorts to prepay any such items, which are replenished on an ongoing basis as needed. As of June 30, 2009, and December 31, 2008, Wynn Resorts owed Mr. Wynn and the other officers and directors approximately $519,333 and $434,003,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villa suites in the Wynn Las Vegas resort as their personal residences.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 In March 2009, this lease was amended to add an additional unit to the leased premises. Based upon a third-party appraisal, there was no change in the rent due to the significant deterioration in the Las Vegas rental market.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ability to sublicense the persona and publicity rights to its affiliates, until October 24, 2017. Holdings has sub-licensed rights to the “Wynn” name, persona and marks to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Charges and Other</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Property charges and other for the three months ended June 30, 2009 include the return of $8.1 million of aircraft deposits written off in the first quarter of 2009. On February 19, 2009, the Company cancelled the agreement to purchase an aircraft. The deposit on the aircraft was refundable to the extent another buyer was found. Due to the uncertainty as to the recoverability of this deposit, the Company wrote such deposit off in the first quarter of 2009. In May 2009, another buyer was found for the aircraft and in accordance with the original purchase agreement, a portion of the Company’s deposit was refunded. The Company incurred property charges of $1.4 million during the three months ended June 30, 2009 which were related to miscellaneous renovations and abandonments.</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Property charges and other for the six months ended June 30, 2009 include the write-off of $13.4 million of an aircraft purchase deposit in the first quarter of 2009, offset by the refund of such deposits in May 2009 of $8.1 million discussed above. The remaining property charges were related to miscellaneous renovations and abandonments at Wynn Las Vegas and Encore. Property charges and other for the six months ended June 30,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their contract. The remaining property charges were related to miscellaneous renovations and abandonments at Wynn Las Vegas.</w:t>
      </w:r>
    </w:p>
    <w:p>
      <w:pPr>
        <w:spacing w:after="0" w:line="193" w:lineRule="exact"/>
        <w:rPr>
          <w:sz w:val="20"/>
          <w:szCs w:val="20"/>
          <w:color w:val="auto"/>
        </w:rPr>
      </w:pPr>
    </w:p>
    <w:p>
      <w:pPr>
        <w:ind w:right="874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June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 on Complimentary Meals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June 30, 2009,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Member’s Equity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six months ended June 30, 2009, Wynn Resorts made capital contributions to the Company in totaling $328.5 million. The proceeds from these contributions were used to fund construction costs of Encore paid during the period and to fund the paydown on the Wynn Las Vegas Revolver for the amendment described in Note 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June 30, 2009 and December 31, 2008, and for the three and six months ended June 30, 2009 and 2008.</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2009</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71,712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85,995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91,641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20,449</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269,797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3,783,885</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200,240</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3,984,125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9,766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43,147</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52,280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(14,566)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14,567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4,144,309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210,132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4,369,013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23,940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9,931</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38,651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19,054</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61,600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(134,086)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192,535</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50,568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194,785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2,592,786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37,800</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2,630,586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2,684,838</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232,585</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2,909,542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1,817,841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1,817,841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Accumulated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(358,370)</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(34,983)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27,097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(358,370)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1,459,471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(22,453)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1,459,471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4,144,309</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210,132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14,567</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4,369,013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Issuers</w:t>
            </w:r>
          </w:p>
        </w:tc>
        <w:tc>
          <w:tcPr>
            <w:tcW w:w="2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Subsidiary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123,315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98,277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95,206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338,263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3,906,460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202,493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4,108,953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37,462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(7,286)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4,350,255</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4,584,271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LIABILITIES AND MEMBER'S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1,050</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10,110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19,104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101,825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7,302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201,003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203,397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2,794,923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2,833,423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3,092,692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241,897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3,326,708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6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1,474,286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1,474,286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Accumulated earnings (deficit)</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(216,723)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(27,702)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19,816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(15,172)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1,257,563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4,350,255</w:t>
            </w:r>
          </w:p>
        </w:tc>
        <w:tc>
          <w:tcPr>
            <w:tcW w:w="30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226,725</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4,584,271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$124,343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81,454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99,945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178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356,050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356,228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6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312,781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178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62,422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24,500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61,070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33,549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59,239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4,703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77,238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78,425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(8,088)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328,660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(7,533)</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321,305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(37,387)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(30,304)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(37,837)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(46,183)</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(46,183)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20" w:type="dxa"/>
            <w:vAlign w:val="bottom"/>
            <w:gridSpan w:val="2"/>
          </w:tcPr>
          <w:p>
            <w:pPr>
              <w:jc w:val="right"/>
              <w:ind w:right="294"/>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7"/>
              </w:rPr>
              <w:t>Eliminating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120,664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72,140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84,295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332,517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332,561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(37,093)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295,424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295,468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61,281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50,575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52,506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4,431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39,679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274,415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666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275,125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20,343</w:t>
            </w: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(17,711)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961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(15,931)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(15,265)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5,078</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173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961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Eliminating</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4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$ 241,824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$ 241,824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166,543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196,854</w:t>
            </w:r>
          </w:p>
        </w:tc>
        <w:tc>
          <w:tcPr>
            <w:tcW w:w="16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196,854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96,410</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429</w:t>
            </w:r>
          </w:p>
        </w:tc>
        <w:tc>
          <w:tcPr>
            <w:tcW w:w="4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701,631</w:t>
            </w:r>
          </w:p>
        </w:tc>
        <w:tc>
          <w:tcPr>
            <w:tcW w:w="160" w:type="dxa"/>
            <w:vAlign w:val="bottom"/>
          </w:tcPr>
          <w:p>
            <w:pPr>
              <w:spacing w:after="0"/>
              <w:rPr>
                <w:sz w:val="19"/>
                <w:szCs w:val="19"/>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702,060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(97,579)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(97,579)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6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604,052</w:t>
            </w:r>
          </w:p>
        </w:tc>
        <w:tc>
          <w:tcPr>
            <w:tcW w:w="6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429</w:t>
            </w:r>
          </w:p>
        </w:tc>
        <w:tc>
          <w:tcPr>
            <w:tcW w:w="4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604,481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140,895</w:t>
            </w:r>
          </w:p>
        </w:tc>
        <w:tc>
          <w:tcPr>
            <w:tcW w:w="16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140,895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48,610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117,380</w:t>
            </w:r>
          </w:p>
        </w:tc>
        <w:tc>
          <w:tcPr>
            <w:tcW w:w="16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117,380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62,998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124,946</w:t>
            </w: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5,081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9,057</w:t>
            </w:r>
          </w:p>
        </w:tc>
        <w:tc>
          <w:tcPr>
            <w:tcW w:w="16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940" w:type="dxa"/>
            <w:vAlign w:val="bottom"/>
            <w:gridSpan w:val="3"/>
          </w:tcPr>
          <w:p>
            <w:pPr>
              <w:jc w:val="right"/>
              <w:ind w:right="600"/>
              <w:spacing w:after="0"/>
              <w:rPr>
                <w:sz w:val="20"/>
                <w:szCs w:val="20"/>
                <w:color w:val="auto"/>
              </w:rPr>
            </w:pPr>
            <w:r>
              <w:rPr>
                <w:rFonts w:ascii="Arial" w:cs="Arial" w:eastAsia="Arial" w:hAnsi="Arial"/>
                <w:sz w:val="18"/>
                <w:szCs w:val="18"/>
                <w:color w:val="auto"/>
              </w:rPr>
              <w:t>153,498</w:t>
            </w: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664,497</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671,211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(60,445)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330"/>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9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color w:val="auto"/>
              </w:rPr>
              <w:t>(73,935)</w:t>
            </w: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(7,281)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(81,202)</w:t>
            </w:r>
          </w:p>
        </w:tc>
        <w:tc>
          <w:tcPr>
            <w:tcW w:w="16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(74,917)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(141,647)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340" w:type="dxa"/>
            <w:vAlign w:val="bottom"/>
            <w:gridSpan w:val="2"/>
          </w:tcPr>
          <w:p>
            <w:pPr>
              <w:jc w:val="right"/>
              <w:ind w:right="294"/>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$245,798</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$245,798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142,703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161,480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161,480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659,535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659,298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(76,229)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583,306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583,069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129,831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129,831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38,409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97,435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73,496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103,769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103,055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8,745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78,047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570,081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571,599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11,470</w:t>
            </w:r>
          </w:p>
        </w:tc>
        <w:tc>
          <w:tcPr>
            <w:tcW w:w="0" w:type="dxa"/>
            <w:vAlign w:val="bottom"/>
          </w:tcPr>
          <w:p>
            <w:pPr>
              <w:spacing w:after="0"/>
              <w:rPr>
                <w:sz w:val="1"/>
                <w:szCs w:val="1"/>
                <w:color w:val="auto"/>
              </w:rPr>
            </w:pPr>
          </w:p>
        </w:tc>
      </w:tr>
      <w:tr>
        <w:trPr>
          <w:trHeight w:val="330"/>
        </w:trPr>
        <w:tc>
          <w:tcPr>
            <w:tcW w:w="4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443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(36,782)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237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2,120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443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(35,159)</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(23,689)</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443</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2,120</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 (23,689)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20" w:type="dxa"/>
            <w:vAlign w:val="bottom"/>
            <w:gridSpan w:val="2"/>
          </w:tcPr>
          <w:p>
            <w:pPr>
              <w:jc w:val="right"/>
              <w:ind w:right="294"/>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5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Issuers</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Subsidiaries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(141,647)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(7,281)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7,281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(141,647)</w:t>
            </w: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153,498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2,371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155,869</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w:t>
            </w: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11,560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11,560</w:t>
            </w: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Equity in income (loss) from unconsolidated affiliates,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distributions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7,281</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796</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(7,281)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5,081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5,081</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5,262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7,201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7,206</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(67,668)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(67,812)</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8,287</w:t>
            </w:r>
          </w:p>
        </w:tc>
      </w:tr>
      <w:tr>
        <w:trPr>
          <w:trHeight w:val="215"/>
        </w:trPr>
        <w:tc>
          <w:tcPr>
            <w:tcW w:w="20" w:type="dxa"/>
            <w:vAlign w:val="bottom"/>
          </w:tcPr>
          <w:p>
            <w:pPr>
              <w:spacing w:after="0"/>
              <w:rPr>
                <w:sz w:val="18"/>
                <w:szCs w:val="18"/>
                <w:color w:val="auto"/>
              </w:rPr>
            </w:pPr>
          </w:p>
        </w:tc>
        <w:tc>
          <w:tcPr>
            <w:tcW w:w="4960" w:type="dxa"/>
            <w:vAlign w:val="bottom"/>
          </w:tcPr>
          <w:p>
            <w:pPr>
              <w:ind w:left="128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960" w:type="dxa"/>
            <w:vAlign w:val="bottom"/>
          </w:tcPr>
          <w:p>
            <w:pPr>
              <w:ind w:left="1500"/>
              <w:spacing w:after="0"/>
              <w:rPr>
                <w:sz w:val="20"/>
                <w:szCs w:val="20"/>
                <w:color w:val="auto"/>
              </w:rPr>
            </w:pPr>
            <w:r>
              <w:rPr>
                <w:rFonts w:ascii="Arial" w:cs="Arial" w:eastAsia="Arial" w:hAnsi="Arial"/>
                <w:sz w:val="18"/>
                <w:szCs w:val="18"/>
                <w:color w:val="auto"/>
              </w:rPr>
              <w:t>activities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716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(2,042)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(1,321)</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retentions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(172,151)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(172,269)</w:t>
            </w: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Deposits and other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8,088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5,066</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7,403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r>
      <w:tr>
        <w:trPr>
          <w:trHeight w:val="215"/>
        </w:trPr>
        <w:tc>
          <w:tcPr>
            <w:tcW w:w="20" w:type="dxa"/>
            <w:vAlign w:val="bottom"/>
          </w:tcPr>
          <w:p>
            <w:pPr>
              <w:spacing w:after="0"/>
              <w:rPr>
                <w:sz w:val="18"/>
                <w:szCs w:val="18"/>
                <w:color w:val="auto"/>
              </w:rPr>
            </w:pPr>
          </w:p>
        </w:tc>
        <w:tc>
          <w:tcPr>
            <w:tcW w:w="4960" w:type="dxa"/>
            <w:vAlign w:val="bottom"/>
          </w:tcPr>
          <w:p>
            <w:pPr>
              <w:ind w:left="1280"/>
              <w:spacing w:after="0"/>
              <w:rPr>
                <w:sz w:val="20"/>
                <w:szCs w:val="20"/>
                <w:color w:val="auto"/>
              </w:rPr>
            </w:pPr>
            <w:r>
              <w:rPr>
                <w:rFonts w:ascii="Arial" w:cs="Arial" w:eastAsia="Arial" w:hAnsi="Arial"/>
                <w:sz w:val="18"/>
                <w:szCs w:val="18"/>
                <w:color w:val="auto"/>
              </w:rPr>
              <w:t>Net cash provided by (used in) investing</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960" w:type="dxa"/>
            <w:vAlign w:val="bottom"/>
          </w:tcPr>
          <w:p>
            <w:pPr>
              <w:ind w:left="1500"/>
              <w:spacing w:after="0"/>
              <w:rPr>
                <w:sz w:val="20"/>
                <w:szCs w:val="20"/>
                <w:color w:val="auto"/>
              </w:rPr>
            </w:pPr>
            <w:r>
              <w:rPr>
                <w:rFonts w:ascii="Arial" w:cs="Arial" w:eastAsia="Arial" w:hAnsi="Arial"/>
                <w:sz w:val="18"/>
                <w:szCs w:val="18"/>
                <w:color w:val="auto"/>
              </w:rPr>
              <w:t>activities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(167,770)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2,731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(165,039)</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(288,340)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(289,040)</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85,542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85,542</w:t>
            </w: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328,451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328,451</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(10,202)</w:t>
            </w:r>
          </w:p>
        </w:tc>
      </w:tr>
      <w:tr>
        <w:trPr>
          <w:trHeight w:val="215"/>
        </w:trPr>
        <w:tc>
          <w:tcPr>
            <w:tcW w:w="20" w:type="dxa"/>
            <w:vAlign w:val="bottom"/>
          </w:tcPr>
          <w:p>
            <w:pPr>
              <w:spacing w:after="0"/>
              <w:rPr>
                <w:sz w:val="18"/>
                <w:szCs w:val="18"/>
                <w:color w:val="auto"/>
              </w:rPr>
            </w:pPr>
          </w:p>
        </w:tc>
        <w:tc>
          <w:tcPr>
            <w:tcW w:w="4960" w:type="dxa"/>
            <w:vAlign w:val="bottom"/>
          </w:tcPr>
          <w:p>
            <w:pPr>
              <w:ind w:left="1280"/>
              <w:spacing w:after="0"/>
              <w:rPr>
                <w:sz w:val="20"/>
                <w:szCs w:val="20"/>
                <w:color w:val="auto"/>
              </w:rPr>
            </w:pPr>
            <w:r>
              <w:rPr>
                <w:rFonts w:ascii="Arial" w:cs="Arial" w:eastAsia="Arial" w:hAnsi="Arial"/>
                <w:sz w:val="18"/>
                <w:szCs w:val="18"/>
                <w:color w:val="auto"/>
              </w:rPr>
              <w:t>Net cash provided by (used in) financing</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4960" w:type="dxa"/>
            <w:vAlign w:val="bottom"/>
          </w:tcPr>
          <w:p>
            <w:pPr>
              <w:ind w:left="1500"/>
              <w:spacing w:after="0"/>
              <w:rPr>
                <w:sz w:val="20"/>
                <w:szCs w:val="20"/>
                <w:color w:val="auto"/>
              </w:rPr>
            </w:pPr>
            <w:r>
              <w:rPr>
                <w:rFonts w:ascii="Arial" w:cs="Arial" w:eastAsia="Arial" w:hAnsi="Arial"/>
                <w:sz w:val="18"/>
                <w:szCs w:val="18"/>
                <w:color w:val="auto"/>
              </w:rPr>
              <w:t>activities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115,451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114,751</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(51,603)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(51,609)</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71,712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71,706</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2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(23,689)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(2,563)</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443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2,120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(23,689)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78,047</w:t>
            </w: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4,379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5,369</w:t>
            </w:r>
          </w:p>
        </w:tc>
        <w:tc>
          <w:tcPr>
            <w:tcW w:w="18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Equity in income (loss) from unconsolidated affiliates, net of</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2,120</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551</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7,132</w:t>
            </w:r>
          </w:p>
        </w:tc>
        <w:tc>
          <w:tcPr>
            <w:tcW w:w="1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21,074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1,557</w:t>
            </w:r>
          </w:p>
        </w:tc>
        <w:tc>
          <w:tcPr>
            <w:tcW w:w="1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30,194</w:t>
            </w: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(6,355)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(34,803)</w:t>
            </w: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11,376</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96,401</w:t>
            </w:r>
          </w:p>
        </w:tc>
        <w:tc>
          <w:tcPr>
            <w:tcW w:w="18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915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443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retention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(516,249)</w:t>
            </w:r>
          </w:p>
        </w:tc>
        <w:tc>
          <w:tcPr>
            <w:tcW w:w="18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(516,158)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Deposits and other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(23,462)</w:t>
            </w:r>
          </w:p>
        </w:tc>
        <w:tc>
          <w:tcPr>
            <w:tcW w:w="1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(541,080)</w:t>
            </w: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(443)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(541,703)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361,000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360,849</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360,149</w:t>
            </w: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(83,830)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146,556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 taken by our competitors in reaction to adverse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two properties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H1N1 influenza or the avian flu, or the impact of a natural disaster may have on the travel and leisure industry;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On December 22, 2008, we expanded Wynn Las Vegas with the opening of Encore at Wynn Las Vegas (“Encore”).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Encore, an expansion of Wynn Las Vegas, on December 22, 2008. Encore currently features:</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approximately 72,000 square foot casino offering 24-hour gaming and a full range of games, including private gaming salons and a sports book;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by Hermes, Chanel and Rock &amp; Republic;</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at Wynn Las Vegas and Encore.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continues to remain highly uncertain. Auto traffic into Las Vegas, airline capacity and air travel to McCarran International airport have continued to decline year over year, resulting in lower casino volumes and a reduced demand for hotel rooms. This slow down was particularly significant in the fourth quarter of 2008 and has continued throughout the first half of 2009. Based on our experience and current market conditions, we believe that Wynn Las Vegas and Encore have, and will continue to experience lower than historical hotel occupancy rates, room rates, casino volumes, with resulting lower departmental profitability. Additionally, in early 2009, we experienced cancellation and attrition of group business at greater than historical levels.</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a result of the current economic conditions, we have focused on efficiency initiatives that we began implementing at Wynn Las Vegas and Encore in early 2009. These initiatives include reductions in pay for salaried employees, reduced work weeks for full-time hourly employees, the substantial reduction of 2009 bonus accruals and a suspension of the employer match to the 401(k) contributions.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results of operations for the periods presented are not comparable as the three and six months ended June 30, 2009 includes the expansion of Wynn Las Vegas which opened on December 22, 2008, whereas the prior year periods included only Wynn Las Vegas. We believe that our operating results for the three and six months ended June 30, 2009, were adversely impacted by the weakened global economy. Disruptions in the global financial markets and reduced levels of consumer spending have and are likely to continue to adversely impact our financial results.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Wynn Las Vegas and Encore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credit risk. High-end gaming also increases the potential for variability in our results.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recorded a net loss for the quarter ended June 30, 2009 of $46.2 million compared to net income of $5.1 million recorded during the quarter ended June 30, 2008. For the six months ended June 30, 2009, we recorded a net loss of $141.6 million compared to a net loss of $23.7 million for the six months ended June 30, 2008. Revenues increased only slightly during 2009 despite the opening of Encore in December 2008. Incremental departmental expenses associated with Encore and additional depreciation expense related to Encore resulted in an increase in our operating loss. Interest expense also increased significantly in 2009 as we no longer capitalize interest as a result of Encore’s opening in December 2008.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2009 compared to the three months ended June 30, 2008.</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noted earlier, our financial results for the three months ended June 30, 2009 are not comparable to the three months ended June 30, 2008, as the three months ended June 30, 2009 includes the expansion of Wynn Las Vegas which opened on December 22, 2008, whereas the prior year quarter includes only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Net revenues for the three months ended June 30, 2009 are comprised of $124.3 million in casino revenues (39.7% of total net revenues) and $188.7 million of net non-casino revenues (60.3% of total net revenues). Net revenues for the three months ended June 30, 2008 were comprised of $120.7 million in casino revenues (40.8% of total net revenues) and $174.8 million of net non-casino revenues (59.2% of total net revenues).</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expanded Wynn Las Vegas with the opening of Encore in December 2008, which added approximately 95 table games and approximately 835 slot machines to our casino operations. Even with these additions, we experienced an increase of only $3.6 million in casino revenues for the three months ended June 30, 2009, compared to the three months ended June 30, 2008. During the three months ended June 30, 2009, drop increased less than 1% and our average table games win percentage (before discounts) was 20.7%, which was below the expected range of 21% to 24%. For the three months ended June 30, 2008, our average table games win percentage (before discounts) was 20.4%. Slot handle decreased 1.8% during the three months ended June 30, 2009, as compared to 2008, and the slot win percentage was within the expected range of 4.5% to 5.5%.</w:t>
      </w:r>
    </w:p>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the three months ended June 30, 2009, room revenues were approximately $81.5 million, which represents a $9.3 million (or 12.9 %) increase over the $72.1 million generated in the three months ended June 30, 2008. This increase is a result of the addition of 2,034 suites at Encore which opened in December 2008. We continued to experience a decrease in occupancy and room rates during the three months ended June 30, 2009, compared to the three months ended June 30, 2008. See the table below for key operating measures related to our room revenue.</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Three Months Ended</w:t>
            </w:r>
          </w:p>
        </w:tc>
      </w:tr>
      <w:tr>
        <w:trPr>
          <w:trHeight w:val="161"/>
        </w:trPr>
        <w:tc>
          <w:tcPr>
            <w:tcW w:w="32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76"/>
              </w:rPr>
              <w:t>2009</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Occupancy</w:t>
            </w: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86.6%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96.5%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r>
      <w:tr>
        <w:trPr>
          <w:trHeight w:val="363"/>
        </w:trPr>
        <w:tc>
          <w:tcPr>
            <w:tcW w:w="3280" w:type="dxa"/>
            <w:vAlign w:val="bottom"/>
          </w:tcPr>
          <w:p>
            <w:pPr>
              <w:spacing w:after="0"/>
              <w:rPr>
                <w:sz w:val="24"/>
                <w:szCs w:val="24"/>
                <w:color w:val="auto"/>
              </w:rPr>
            </w:pPr>
          </w:p>
        </w:tc>
        <w:tc>
          <w:tcPr>
            <w:tcW w:w="5260" w:type="dxa"/>
            <w:vAlign w:val="bottom"/>
          </w:tcPr>
          <w:p>
            <w:pPr>
              <w:jc w:val="right"/>
              <w:ind w:right="31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Other non-casino revenues for the three months ended June 30, 2009, include: food and beverage revenues of approximately $99.9 million, retail revenues of approximately $22.1 million, entertainment revenues of approximately $12.3 million, and other revenues from outlets such as the spa and salon, of approximately $16.1 million. Other non-gaming revenues for the three months ended June 30, 2008 included food and beverage revenues of approximately $84.3 million, retail revenues of approximately $22.1 million, entertainment revenues of approximately $18.9 million, and other revenues from outlets, including the spa and salon, of approximately $14.5 million. On a comparable basis, excluding the Encore expansion, which opened in December 2008, all of our revenues have declined when compared to the prior year quarter due to the current economic environment in which we are operating. Food and beverage revenues increased during the three months ended June 30, 2009 as a result of the additional 12 food and beverage outlets located in the Encore expansion. Although we added new retail outlets at Encore, retail revenues were flat due to reduced consumer spending as a result of the current economic environment. Entertainment revenues decreased over the prior year quarter primarily due to the closure of the Spamalot production show in July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three months ended June 30, 2009, departmental expenses included casino expense of $62.4 million, rooms expense of $24.5 million, food and beverage expense of $61.1 million, and entertainment, retail and other expense of $33.5 million. Also included are general and administrative expenses of approximately $58.8 million and approximately $4.5 million charged as a provision for doubtful accounts receivable. During the three months ended June 30, 2008, departmental expenses included casino expenses of $61.3 million, room expenses of $19.3 million, food and beverage expenses of $50.6 million, and entertainment, retail and other expenses of $36 million. Also included are general and administrative expenses of approximately $52.1 million and approximately $3.3 million charged as a provision for doubtful accounts receivable. Expenses for the three months ended June 30, 2009 increased compared to June 30, 2008 as a result of the Encore expansion which opened in December 2008.</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indenture. Management fees were $4.7 million for the quarter ended June 30, 2009, compared to $4.4 million for the quarter ended June 30, 2008.</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During the three months ended June 30, 2009, we incurred no pre-opening costs compared to $6.8 million for the three months ended June 30, 2008. Pre-opening costs incurred during the three months ended June 30, 2008, were related to Encore which opened in December 2008.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for the three months ended June 30, 2009 was $78.4 million compared to $40.8 million for the three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2008. This increase is primarily due to depreciation on the assets of Encore, which opened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three months ended June 30, 2009 include the return of $8.1 million of aircraft deposits written off in the first quarter of</w:t>
      </w:r>
    </w:p>
    <w:p>
      <w:pPr>
        <w:spacing w:after="0" w:line="38"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2009. On February 19, 2009, we cancelled the agreement to purchase an aircraft. The deposit on the aircraft was refundable to the extent another buyer was found. Due to the uncertainty as to the recoverability of this deposit, we wrote it off in the first quarter of 2009. In May 2009,</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another buyer was found for the aircraft and in accordance with the original purchase agreement a portion of the Company’s deposit was refunded. This gain was offset by property charges of $1.4 million during the three months ended June 30, 2009, which were related to miscellaneous renovations and abandonments.</w:t>
      </w:r>
    </w:p>
    <w:p>
      <w:pPr>
        <w:spacing w:after="0" w:line="6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enhancements to the property.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income decreased by $1.8 million compared to the prior year quarter. This decrease is due to the repayment of an $80 million note receivable from Wynn Resorts in July 2008, that resulted in interest income of $1.5 million in the prior year quarter, as well as a decrease in the average interest rate earned on our invested cash balances and reduced average invested cash balances during the three months ended June 30, 2009 compared to the prior year quarter. We had smaller cash balances as a result of spending related to the development and construction of Encore.</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Interest expense was $37.7 million, net of capitalized interest of $0 million, for the three months ended June 30, 2009, compared to $18.1 million, net of capitalized interest of $19.1 million during the three months ended June 30, 2008. Interest expense increased approximately $19.5 million primarily due to a $19.1 million decrease in capitalized interest with the opening of Encore.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 was recorded as either an asset or liability. Changes in the fair value of our interest rate swaps are recorded as increase (or decrease) in swap fair value in each period. Our only interest rate swap matured in December 2008. We recorded a gain of approximately $1.1 million for the three months ended June 30, 2008, resulting from the increase in the fair value of our interest rate swap from March 31, 2008 to June 30,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2009 compared to the six months ended June 30, 2008</w:t>
      </w:r>
      <w:r>
        <w:rPr>
          <w:rFonts w:ascii="Arial" w:cs="Arial" w:eastAsia="Arial" w:hAnsi="Arial"/>
          <w:sz w:val="18"/>
          <w:szCs w:val="18"/>
          <w:i w:val="1"/>
          <w:iCs w:val="1"/>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noted earlier, our financial results for the six months ended June 30, 2009 are not comparable to the six months ended June 30, 2008, as the six months ended June 30, 2009 includes the expansion of Wynn Las Vegas which opened on December 22, 2008, whereas the prior year quarter includes only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Net revenues for the six months ended June 30, 2009 are comprised of $241.8 million in casino revenues (40% of total net revenues) and $362.7 million of net non-casino revenues (60% of total net revenues). Net revenues for the six months ended June 30, 2008 were comprised of $245.8 million in casino revenues (42.2% of total net revenues) and $337.3 million of net non-casino revenues (57.8% of total net revenues).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Encore in December 2008, which added approximately 95 table games and approximately 835 slot machines to our casino operations. Even with these additions,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 experienced a decrease in casino revenues of approximately $4 million (or 1.6%) to $241.8 million for the six months ended June 30, 2009,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$245.8 million for the six months ended June 30, 2008. During the six months ended June 30, 2009, we experienced a 1.2% decrease in drop and a decrease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average table games win percentage compared to the prior year. Our average table games win percentage (before discounts) of 19.2% was below the expected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range of 21% to 24% for the six months ended June 30, 2009. For the six months ended June 30, 2008, our average table games win percentage (before discounts)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was 20.2%. Slot handle increased less than 1% during the six months ended June 30, 2009, as compared to 2008, and the slot win percentage was within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range of 4.5% to 5.5%.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six months ended June 30, 2009, room revenues were approximately $166.5 million, which represents a $23.8 million (or 16.7%) increase over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$142.7 million generated in the six months ended June 30, 2008. This increase is a result of the addition of 2,034 suites at Encore which opened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2008. We continued to experience a decrease in occupancy and room rates during the six months ended June 30, 2009, compared to the six months ended June 30,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2008. See the table below for key operating measures related to our room revenue.</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50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Occupancy</w:t>
            </w:r>
          </w:p>
        </w:tc>
        <w:tc>
          <w:tcPr>
            <w:tcW w:w="4200" w:type="dxa"/>
            <w:vAlign w:val="bottom"/>
            <w:gridSpan w:val="3"/>
          </w:tcPr>
          <w:p>
            <w:pPr>
              <w:jc w:val="right"/>
              <w:spacing w:after="0"/>
              <w:rPr>
                <w:sz w:val="20"/>
                <w:szCs w:val="20"/>
                <w:color w:val="auto"/>
              </w:rPr>
            </w:pPr>
            <w:r>
              <w:rPr>
                <w:rFonts w:ascii="Arial" w:cs="Arial" w:eastAsia="Arial" w:hAnsi="Arial"/>
                <w:sz w:val="18"/>
                <w:szCs w:val="18"/>
                <w:color w:val="auto"/>
              </w:rPr>
              <w:t>88.0%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96.2%</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Other non-casino revenues for the six months ended June 30, 2009 include: food and beverage revenues of approximately $196.9 million, retail revenues of approximately $41.7 million, entertainment revenues of approximately $25 million, and other revenues from outlets such as the spa and salon, of approximately $30.1 million. Other non-gaming revenues for the six months ended June 30, 2008 included food and beverage revenues of approximately $161.5 million, retail revenues of approximately $44.7 million, entertainment revenues of approximately $38.1 million, and other revenues from outlets, including the spa and salon, of approximately $26.5 million. On a comparable basis, excluding the Encore expansion, which opened in December 2008, all of our revenues have declined when compared to the prior year due to the current economic environment in which we are operating. Food and beverage revenues increased during the six months ended June 30,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primarily due to the closure of the Spamalot production show in July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During the six months ended June 30, 2009, departmental expenses included casino expense of $140.9 million, rooms expense of $48.6 million, food and beverage expense of $117.4 million, and entertainment, retail and other expense of $63 million. Also included are general and administrative expenses of approximately $124 million and approximately $5.1 million charged as a provision for doubtful accounts receivable. During the six months ended June 30, 2008, departmental expenses included casino expenses of $129.8 million, room expenses of $38.4 million, food and beverage expenses of $97.4 million, and entertainment, retail and other expenses of $73.5 million. Also included are general and administrative expenses of approximately $103.1 million and approximately $7.1 million charged as a provision for doubtful accounts receivable. Expenses for the six months ended June 30, 2009 increased compared to June 30, 2008 as a result of the Encore expansion which opened in December 2008. Our provision for doubtful accounts receivable declined during the six months ended June 30, 2009 compared to the prior year due to recent strong collection trends on our casino accounts receivable. This strength has allowed us to reduce a portion of the additional reserves we recorded in the third quarter of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indenture. Management fees were $9.1 million for the six months ended June 30, 2009, compared to $8.7 million for the six months ended June 30, 2008.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During the six months ended June 30, 2009, we incurred no pre-opening costs compared to $12.1 million for the six months ended June 30, 2008. Pre-opening costs incurred during the six months ended June 30, 2008 were related to Encore which opened in December 2008.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six months ended June 30, 2009 was $155.9 million compared to $80.3 million for the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This increase is primarily due to depreciation on the assets of Encore, which opened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Property charges and other for the six months ended June 30, 2009, were $7.3 million compared to approximately $21.1 million for the six months ended June 30, 2008. Property charges and other for the six months ended June 30, 2009, include $5.3 million of aircraft purchase deposits written off during the six months ended June 30, 2009. On February 19, 2009, we cancelled the agreement to purchase an aircraft. We also incurred property charges during the six months ended June 30, 2009, which were related to miscellaneous renovations and abandonments. Property charges and other for the six months ended June 30,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enhancements to the property.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Interest income decreased by $4 million for the six months ended June 30, 2009 compared to the six months ended June 30, 2008. This decrease is due to the repayment of an $80 million note receivable from Wynn Resorts in July 2008, that resulted in $3 million of interest income in the prior year, as well as a decrease in the average interest rate earned on our invested cash balances and reduced average invested cash balances during the six months ended June 30, 2009 compared to the prior year as a result of spending related to the development and construction of Encore.</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Interest expense was $74.5 million, net of capitalized interest of $0 million, for the six months ended June 30, 2009, compared to $37.8 million, net of capitalized interest of $34.9 million during the six months ended June 30, 2008. Interest expense increased approximately $36.7 million primarily due to a $37.8 million decrease in capitalized interest with the opening of Encore.</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 was recorded as either an asset or liability. Changes in the fair value of our interest rate swaps are recorded as increase (or decrease) in swap fair value in each period. Our only interest rate swap matured in December 2008. We recorded an expense of approximately $1.6 million for the six months ended June 30, 2008 resulting from the decrease in the fair value of our interest rate swap from December 31, 2008 to June 30, 2008.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interest paid, and non-cash charges included in operating income. Net cash used in operations for the six months ended June 30, 2009 was $1.3 million compared to $97.8 million provided by operations for the six months ended June 30, 2008. This decrease is primarily due to the decrease in operating income as a result of reduced operating results in the casino department as discussed above, an increase in promotional allowances with the opening of Encore, and an increase in interest expense as we no longer capitalize such cost since the opening of Encore.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At June 30, 2009, we had approximately $71.7 million of cash and cash equivalents available for use without restriction, including for operations, debt service and retirement, funding the remaining construction and retention payables related to Encore (approximately $59 million as of June 30, 2009), new development activities, enhancements to Wynn Las Vegas and general corporate purposes. We require a certain amount of cash on hand for operations. We will require additional funds to pay the final construction and retention payables related to Encore. We anticipate such funds, together with any other cash needs during 2009 in excess of what we generate from operations or additional borrowings, will be provided with capital contributions from Wynn Resorts. During the six months ended June 30, 2009, Wynn Resorts made $328.5 million of such contributions. Except for scheduled quarterly principal payments on one note payable, we have no debt maturities until August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Capital expenditures were approximately $172.3 million for the six months ended June 30, 2009, and were related primarily to cash payments on construction and retention payables related to Encore.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six months ended June 30, 2009, Wynn Resorts made capital contributions to us in the amount of $328.5 million. The proceeds from these contributions were used to fund construction costs of Encore paid during the period and to fund the paydown on the Wynn Las Vegas Revolver for the amendment as described in Note 6.</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of June 30, 2009, our Credit Facilities consisted of a $696.8 million revolving credit facility (the “Revolver”) and a $225 million term loan facility (the “Term Loan”). As of June 30, 2009 we had an outstanding balance of $676.7 million. We also had $20.1 million of outstanding letters of credit that reduce our availability under the Revolver. Consequently, no amounts are available under the Revolver for future borrowings as of June 30, 2009.</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April 17, 2009, we entered into a fourth amendment to our Amended and Restated Credit Agreement (the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to : 1 beginning June 30, 2009 and through March 31, 2011; (iii) extends the maturity on $609.8 million of Revolver commitments from August 15, 2011 to July 15, 2013 (after giving effect to the permanent reduction described below); and (iv) removes the dollar limit on the equity cure provisions for the purpose of the Consolidated Leverage Ratio and the Consolidated Interest Coverage Ratio over the life of the loan. In exchange for the amendments, we have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8"/>
        <w:spacing w:after="0" w:line="259"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repaid 30% of the outstanding Revolver loans of lenders consenting to the extension of their commitment (approximately $238 million) and permanently reduced such lender commitments by 25%; and (ii) agreed to an increase in the overall interest rate spread on the Credit Facilities from LIBOR plus 1.7% to LIBOR plus 2.6%.</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Pursuant to the fourth amendment, the Revolver commitments will reduce by an additional $61 million on August 15, 2011, and a further $55 million on August 15, 2012. The remaining commitments will mature on July 15, 2013. Lenders holding $87 million of the commitments did not agree to the amendment with the result that their commitments will mature on the original maturity date of August 15, 2011. The Wynn Las Vegas Term Loan will mature in two installments: $112.5 million will be payable on September 30, 2012, and the remaining $112.5 million will be payable on August 15, 2013.</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Wynn Las Vegas Credit Agreement contains a requirement that the company must make mandatory repayments of indebtedness from specified percentages of excess cash flow beginning after the opening of Encore. If our Wynn Las Vegas subsidiary meets a Consolidated Leverage Ratio, as defined in the Credit Agreement, of greater than 3.5 : 1 such repayment is defined as 50% of Excess Cash Flow, as defined in the Credit Agreement. If the Consolidated Leverage Ratio is less than 3.5 : 1 then no repayment is required. Based on the current economic conditions in which we are operating, we do not believe that Wynn Las Vegas will meet the requirement for mandatory repayment pursuant to this provision of the Credit Agreement during the year ending December 31, 2009, and therefore we do not expect to make any mandatory repayments pursuant to this requirement during 2009.</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Except for the paydown of the credit facilities discussed above and the cancellation of the purchase of an aircraft, there have been no material changes during the six month ended June 30, 2009 to our contractual obligations or off-balance sheet arrangements as disclosed in our Annual Report on Form 10-K for the year ended December 31,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payments of dividends or distributions to any direct or indirect holders of equity interests of Wynn Las Vegas, LLC. These restricted payments may not be made until certain other financial and non-financial criteria have been satisfied. In addition, the Credit Facilities contain similar restrictions.</w:t>
      </w:r>
    </w:p>
    <w:p>
      <w:pPr>
        <w:spacing w:after="0" w:line="14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Wynn Las Vegas, LLC will fund its operations and capital requirements from operating cash flow, and, to the extent required and available, from capital contributions from Wynn Resorts. We cannot be sure that Wynn Las Vegas, LLC will generate sufficient cash flow from operations or that future borrowings or contributions from Wynn Resorts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2008. There have been no material changes to these policies for the six months ended June 30,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September 2006,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We partially adopted the provisions of SFAS 157 effective January 1, 2008 and adopted the remaining provisions of SFAS 157 on January 1, 2009. We currently do not have any non-financial assets or liabilities that are, or were recognized or disclosed at fair value on a recurring basis and accordingly the final adoption of this statement on January 1, 2009, did not have an impact our condensed consolidated financial statements.</w:t>
      </w:r>
    </w:p>
    <w:p>
      <w:pPr>
        <w:spacing w:after="0" w:line="118"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on January 1, 2009, did not impact our financial position, results of operations or cash flows.</w:t>
      </w:r>
    </w:p>
    <w:p>
      <w:pPr>
        <w:spacing w:after="0" w:line="14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on January 1, 2009, did not impact our financial position, results of operations or cash flows.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The adoption of SFAS No. 161 on January 1, 2009, did not have a material impact on our financial position, results of operations or cash flows.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June 2009, the FASB issued SFAS No. 167, “Amendments to FASB Interpretation No. 46(R)”. This statement addresses the effects of elimination of the qualifying special-purpose entity (“QSPE”) concept from SFAS 140 and responds to concerns about the application of certain key provisions of FIN 46 (R). This statement amends FIN46 (R)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This Statement is effective January 1, 2010. The Company is currently evaluating the impact, if any, of adopting this statement on its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 w:lineRule="exact"/>
        <w:rPr>
          <w:sz w:val="20"/>
          <w:szCs w:val="20"/>
          <w:color w:val="auto"/>
        </w:rPr>
      </w:pPr>
    </w:p>
    <w:p>
      <w:pPr>
        <w:ind w:right="780" w:firstLine="456"/>
        <w:spacing w:after="0" w:line="261"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June 30, 2009, approximately 64% of our long-term debt was based on fixed rates. Based on our borrowings as of June 30, 2009, an assumed 1% change in variable rates would cause our annual interest cost to change by $9.4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64"/>
        <w:spacing w:after="0" w:line="286"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IA. 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2008. There were no material changes to those risk factors during the six months ended June 30,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240" w:top="459"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20" w:type="dxa"/>
            <w:vAlign w:val="bottom"/>
            <w:gridSpan w:val="3"/>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00" w:type="dxa"/>
            <w:vAlign w:val="bottom"/>
          </w:tcPr>
          <w:p>
            <w:pPr>
              <w:spacing w:after="0"/>
              <w:rPr>
                <w:sz w:val="24"/>
                <w:szCs w:val="24"/>
                <w:color w:val="auto"/>
              </w:rPr>
            </w:pPr>
          </w:p>
        </w:tc>
      </w:tr>
      <w:tr>
        <w:trPr>
          <w:trHeight w:val="316"/>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18"/>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w w:val="88"/>
              </w:rPr>
              <w:t>Fourth Amendment to Amended and Restated Credit Agreement, dated as of April 17, 2009, among Wynn Las Vegas, LLC and each of the</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Lender parties thereto. (2)</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(3)</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*32.1</w:t>
            </w:r>
          </w:p>
        </w:tc>
        <w:tc>
          <w:tcPr>
            <w:tcW w:w="10220" w:type="dxa"/>
            <w:vAlign w:val="bottom"/>
            <w:gridSpan w:val="3"/>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1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April 21, 2009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8, 2009 and incorporated herein by reference.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312" w:lineRule="exact"/>
        <w:rPr>
          <w:sz w:val="20"/>
          <w:szCs w:val="20"/>
          <w:color w:val="auto"/>
        </w:rPr>
      </w:pPr>
    </w:p>
    <w:p>
      <w:pPr>
        <w:spacing w:after="0"/>
        <w:tabs>
          <w:tab w:leader="none" w:pos="5480" w:val="left"/>
          <w:tab w:leader="none" w:pos="7700" w:val="left"/>
          <w:tab w:leader="none" w:pos="8060" w:val="left"/>
        </w:tabs>
        <w:rPr>
          <w:sz w:val="20"/>
          <w:szCs w:val="20"/>
          <w:color w:val="auto"/>
        </w:rPr>
      </w:pPr>
      <w:r>
        <w:rPr>
          <w:rFonts w:ascii="Arial" w:cs="Arial" w:eastAsia="Arial" w:hAnsi="Arial"/>
          <w:sz w:val="18"/>
          <w:szCs w:val="18"/>
          <w:color w:val="auto"/>
        </w:rPr>
        <w:t>Dated: August 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Scott Peterson</w:t>
      </w:r>
    </w:p>
    <w:p>
      <w:pPr>
        <w:jc w:val="center"/>
        <w:ind w:left="5940"/>
        <w:spacing w:after="0" w:line="221"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40"/>
          </w:cols>
          <w:pgMar w:left="240" w:top="459" w:right="11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21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June 30, 2009 as filed with the Securities and Exchange Commission on the date hereof (the “Report”), Andrew Pascal, as President of the Company and Scott Peterson,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Pascal</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President</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August 4, 2009</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Peterson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Pr>
          <w:p>
            <w:pPr>
              <w:ind w:left="140"/>
              <w:spacing w:after="0"/>
              <w:rPr>
                <w:sz w:val="20"/>
                <w:szCs w:val="20"/>
                <w:color w:val="auto"/>
              </w:rPr>
            </w:pPr>
            <w:r>
              <w:rPr>
                <w:rFonts w:ascii="Arial" w:cs="Arial" w:eastAsia="Arial" w:hAnsi="Arial"/>
                <w:sz w:val="18"/>
                <w:szCs w:val="18"/>
                <w:color w:val="auto"/>
              </w:rPr>
              <w:t>Scott Peterson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August 4, 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2019-12-10T22:19:49Z</dcterms:created>
  <dcterms:modified xsi:type="dcterms:W3CDTF">2019-12-10T22:19:49Z</dcterms:modified>
</cp:coreProperties>
</file>