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FORM 10-K/A</w:t>
      </w:r>
    </w:p>
    <w:p>
      <w:pPr>
        <w:spacing w:after="0" w:line="1"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(Amendment No. 1)</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03" w:right="1440" w:bottom="0" w:gutter="0" w:footer="0" w:header="0"/>
        </w:sect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5" w:lineRule="exact"/>
        <w:rPr>
          <w:sz w:val="24"/>
          <w:szCs w:val="24"/>
          <w:color w:val="auto"/>
        </w:rPr>
      </w:pPr>
    </w:p>
    <w:p>
      <w:pPr>
        <w:sectPr>
          <w:pgSz w:w="11900" w:h="16838" w:orient="portrait"/>
          <w:cols w:equalWidth="0" w:num="2">
            <w:col w:w="260" w:space="440"/>
            <w:col w:w="9519"/>
          </w:cols>
          <w:pgMar w:left="240" w:top="403" w:right="1440"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For the fiscal year ended December 31, 2005</w:t>
      </w:r>
    </w:p>
    <w:p>
      <w:pPr>
        <w:spacing w:after="0" w:line="180"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19"/>
          </w:cols>
          <w:pgMar w:left="240" w:top="403" w:right="1440" w:bottom="0" w:gutter="0" w:footer="0" w:header="0"/>
          <w:type w:val="continuous"/>
        </w:sectPr>
      </w:pP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2" w:lineRule="exact"/>
        <w:rPr>
          <w:sz w:val="24"/>
          <w:szCs w:val="24"/>
          <w:color w:val="auto"/>
        </w:rPr>
      </w:pPr>
    </w:p>
    <w:p>
      <w:pPr>
        <w:sectPr>
          <w:pgSz w:w="11900" w:h="16838" w:orient="portrait"/>
          <w:cols w:equalWidth="0" w:num="2">
            <w:col w:w="260" w:space="440"/>
            <w:col w:w="9519"/>
          </w:cols>
          <w:pgMar w:left="240" w:top="403" w:right="1440" w:bottom="0" w:gutter="0" w:footer="0" w:header="0"/>
          <w:type w:val="continuous"/>
        </w:sectPr>
      </w:pP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For the transition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to</w:t>
      </w:r>
    </w:p>
    <w:p>
      <w:pPr>
        <w:spacing w:after="0" w:line="171" w:lineRule="exact"/>
        <w:rPr>
          <w:sz w:val="24"/>
          <w:szCs w:val="24"/>
          <w:color w:val="auto"/>
        </w:rPr>
      </w:pPr>
    </w:p>
    <w:p>
      <w:pPr>
        <w:sectPr>
          <w:pgSz w:w="11900" w:h="16838" w:orient="portrait"/>
          <w:cols w:equalWidth="0" w:num="2">
            <w:col w:w="3080" w:space="720"/>
            <w:col w:w="6419"/>
          </w:cols>
          <w:pgMar w:left="240" w:top="403" w:right="1440" w:bottom="0" w:gutter="0" w:footer="0" w:header="0"/>
          <w:type w:val="continuous"/>
        </w:sectPr>
      </w:pPr>
    </w:p>
    <w:p>
      <w:pPr>
        <w:ind w:left="2300"/>
        <w:spacing w:after="0"/>
        <w:rPr>
          <w:sz w:val="20"/>
          <w:szCs w:val="20"/>
          <w:color w:val="auto"/>
        </w:rPr>
      </w:pPr>
      <w:r>
        <w:rPr>
          <w:rFonts w:ascii="Courier New" w:cs="Courier New" w:eastAsia="Courier New" w:hAnsi="Courier New"/>
          <w:sz w:val="15"/>
          <w:szCs w:val="15"/>
          <w:color w:val="auto"/>
        </w:rPr>
        <w:t>Commission File No. 333-98369</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WYNN LAS VEGAS, LLC</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403" w:right="1440" w:bottom="0" w:gutter="0" w:footer="0" w:header="0"/>
          <w:type w:val="continuous"/>
        </w:sectPr>
      </w:pPr>
    </w:p>
    <w:p>
      <w:pPr>
        <w:spacing w:after="0" w:line="35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NEVADA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46-0484987</w:t>
      </w:r>
    </w:p>
    <w:p>
      <w:pPr>
        <w:spacing w:after="0" w:line="1"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Identification Number)</w:t>
      </w:r>
    </w:p>
    <w:p>
      <w:pPr>
        <w:spacing w:after="0" w:line="182" w:lineRule="exact"/>
        <w:rPr>
          <w:sz w:val="24"/>
          <w:szCs w:val="24"/>
          <w:color w:val="auto"/>
        </w:rPr>
      </w:pPr>
    </w:p>
    <w:p>
      <w:pPr>
        <w:sectPr>
          <w:pgSz w:w="11900" w:h="16838" w:orient="portrait"/>
          <w:cols w:equalWidth="0" w:num="2">
            <w:col w:w="4240" w:space="720"/>
            <w:col w:w="5259"/>
          </w:cols>
          <w:pgMar w:left="240" w:top="403" w:right="1440" w:bottom="0" w:gutter="0" w:footer="0" w:header="0"/>
          <w:type w:val="continuous"/>
        </w:sectPr>
      </w:pPr>
    </w:p>
    <w:p>
      <w:pPr>
        <w:ind w:left="1060"/>
        <w:spacing w:after="0"/>
        <w:rPr>
          <w:sz w:val="20"/>
          <w:szCs w:val="20"/>
          <w:color w:val="auto"/>
        </w:rPr>
      </w:pPr>
      <w:r>
        <w:rPr>
          <w:rFonts w:ascii="Courier New" w:cs="Courier New" w:eastAsia="Courier New" w:hAnsi="Courier New"/>
          <w:sz w:val="14"/>
          <w:szCs w:val="14"/>
          <w:color w:val="auto"/>
        </w:rPr>
        <w:t>3131 Las Vegas Boulevard South - Las Vegas, Nevada 89109</w:t>
      </w:r>
    </w:p>
    <w:p>
      <w:pPr>
        <w:spacing w:after="0" w:line="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(702) 770-7555</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03" w:right="1440" w:bottom="0" w:gutter="0" w:footer="0" w:header="0"/>
          <w:type w:val="continuous"/>
        </w:sectPr>
      </w:pP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w w:val="99"/>
              </w:rPr>
              <w:t>Indicate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by check</w:t>
            </w:r>
          </w:p>
        </w:tc>
        <w:tc>
          <w:tcPr>
            <w:tcW w:w="232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mark if the registrant is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 well-known</w:t>
            </w:r>
          </w:p>
        </w:tc>
        <w:tc>
          <w:tcPr>
            <w:tcW w:w="15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seasoned issuer,</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as defined in</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Rule 405</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Securities Act.</w:t>
            </w:r>
          </w:p>
        </w:tc>
        <w:tc>
          <w:tcPr>
            <w:tcW w:w="28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Yes</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|_|</w:t>
            </w:r>
          </w:p>
        </w:tc>
        <w:tc>
          <w:tcPr>
            <w:tcW w:w="28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No  |X|</w:t>
            </w:r>
          </w:p>
        </w:tc>
      </w:tr>
      <w:tr>
        <w:trPr>
          <w:trHeight w:val="341"/>
        </w:trPr>
        <w:tc>
          <w:tcPr>
            <w:tcW w:w="1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Indicate by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check</w:t>
            </w:r>
          </w:p>
        </w:tc>
        <w:tc>
          <w:tcPr>
            <w:tcW w:w="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if the registrant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not required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file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reports</w:t>
            </w:r>
          </w:p>
        </w:tc>
      </w:tr>
      <w:tr>
        <w:trPr>
          <w:trHeight w:val="171"/>
        </w:trPr>
        <w:tc>
          <w:tcPr>
            <w:tcW w:w="1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pursuant to Section 13</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or</w:t>
            </w:r>
          </w:p>
        </w:tc>
        <w:tc>
          <w:tcPr>
            <w:tcW w:w="25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Section 15(d) of the Act.</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|_|</w:t>
            </w:r>
          </w:p>
        </w:tc>
        <w:tc>
          <w:tcPr>
            <w:tcW w:w="12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  |X|</w:t>
            </w:r>
          </w:p>
        </w:tc>
      </w:tr>
      <w:tr>
        <w:trPr>
          <w:trHeight w:val="341"/>
        </w:trPr>
        <w:tc>
          <w:tcPr>
            <w:tcW w:w="14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Indicate by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check</w:t>
            </w:r>
          </w:p>
        </w:tc>
        <w:tc>
          <w:tcPr>
            <w:tcW w:w="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w:t>
            </w:r>
          </w:p>
        </w:tc>
        <w:tc>
          <w:tcPr>
            <w:tcW w:w="372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whether the registrant: (1) has filed all</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reports</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required to be filed by</w:t>
            </w:r>
          </w:p>
        </w:tc>
        <w:tc>
          <w:tcPr>
            <w:tcW w:w="5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Section 13 or 15(d) of the Securities Exchange Act of</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1934 during the preceding 12</w:t>
            </w:r>
          </w:p>
        </w:tc>
        <w:tc>
          <w:tcPr>
            <w:tcW w:w="4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months (or for such shorter period that the</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registrant was required</w:t>
            </w:r>
          </w:p>
        </w:tc>
        <w:tc>
          <w:tcPr>
            <w:tcW w:w="5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to file such reports), and (2) has been subject to such</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filing requirements for</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past 90 days.</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Yes |X|</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No |_|</w:t>
            </w:r>
          </w:p>
        </w:tc>
      </w:tr>
      <w:tr>
        <w:trPr>
          <w:trHeight w:val="341"/>
        </w:trPr>
        <w:tc>
          <w:tcPr>
            <w:tcW w:w="492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9"/>
              </w:rPr>
              <w:t>Indicate by check mark if disclosure of delinquent</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filers pursuant to Item</w:t>
            </w:r>
          </w:p>
        </w:tc>
      </w:tr>
      <w:tr>
        <w:trPr>
          <w:trHeight w:val="171"/>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8"/>
              </w:rPr>
              <w:t>405 of Regulation S-K is not contained herein, and will</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w w:val="98"/>
              </w:rPr>
              <w:t>not be contained, to the</w:t>
            </w:r>
          </w:p>
        </w:tc>
      </w:tr>
      <w:tr>
        <w:trPr>
          <w:trHeight w:val="171"/>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8"/>
              </w:rPr>
              <w:t>best of the registrant's knowledge, in definitive proxy</w:t>
            </w:r>
          </w:p>
        </w:tc>
        <w:tc>
          <w:tcPr>
            <w:tcW w:w="2180" w:type="dxa"/>
            <w:vAlign w:val="bottom"/>
          </w:tcPr>
          <w:p>
            <w:pPr>
              <w:ind w:left="40"/>
              <w:spacing w:after="0"/>
              <w:rPr>
                <w:sz w:val="20"/>
                <w:szCs w:val="20"/>
                <w:color w:val="auto"/>
              </w:rPr>
            </w:pPr>
            <w:r>
              <w:rPr>
                <w:rFonts w:ascii="Courier New" w:cs="Courier New" w:eastAsia="Courier New" w:hAnsi="Courier New"/>
                <w:sz w:val="15"/>
                <w:szCs w:val="15"/>
                <w:color w:val="auto"/>
              </w:rPr>
              <w:t>or information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statements incorporated</w:t>
            </w:r>
          </w:p>
        </w:tc>
        <w:tc>
          <w:tcPr>
            <w:tcW w:w="50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by reference in Part III of this Form 10-K or any</w:t>
            </w:r>
          </w:p>
        </w:tc>
      </w:tr>
      <w:tr>
        <w:trPr>
          <w:trHeight w:val="171"/>
        </w:trPr>
        <w:tc>
          <w:tcPr>
            <w:tcW w:w="2520" w:type="dxa"/>
            <w:vAlign w:val="bottom"/>
            <w:gridSpan w:val="2"/>
          </w:tcPr>
          <w:p>
            <w:pPr>
              <w:spacing w:after="0"/>
              <w:rPr>
                <w:sz w:val="20"/>
                <w:szCs w:val="20"/>
                <w:color w:val="auto"/>
              </w:rPr>
            </w:pPr>
            <w:r>
              <w:rPr>
                <w:rFonts w:ascii="Courier New" w:cs="Courier New" w:eastAsia="Courier New" w:hAnsi="Courier New"/>
                <w:sz w:val="15"/>
                <w:szCs w:val="15"/>
                <w:color w:val="auto"/>
                <w:w w:val="99"/>
              </w:rPr>
              <w:t>amendment to this Form 10-K.</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|X|</w:t>
            </w:r>
          </w:p>
        </w:tc>
        <w:tc>
          <w:tcPr>
            <w:tcW w:w="1120" w:type="dxa"/>
            <w:vAlign w:val="bottom"/>
          </w:tcPr>
          <w:p>
            <w:pPr>
              <w:spacing w:after="0"/>
              <w:rPr>
                <w:sz w:val="14"/>
                <w:szCs w:val="14"/>
                <w:color w:val="auto"/>
              </w:rPr>
            </w:pPr>
          </w:p>
        </w:tc>
        <w:tc>
          <w:tcPr>
            <w:tcW w:w="2180" w:type="dxa"/>
            <w:vAlign w:val="bottom"/>
          </w:tcPr>
          <w:p>
            <w:pPr>
              <w:spacing w:after="0"/>
              <w:rPr>
                <w:sz w:val="14"/>
                <w:szCs w:val="14"/>
                <w:color w:val="auto"/>
              </w:rPr>
            </w:pPr>
          </w:p>
        </w:tc>
      </w:tr>
    </w:tbl>
    <w:p>
      <w:pPr>
        <w:spacing w:after="0" w:line="174" w:lineRule="exact"/>
        <w:rPr>
          <w:sz w:val="24"/>
          <w:szCs w:val="24"/>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219"/>
          </w:cols>
          <w:pgMar w:left="240" w:top="403" w:right="1440" w:bottom="0" w:gutter="0" w:footer="0" w:header="0"/>
          <w:type w:val="continuous"/>
        </w:sectPr>
      </w:pPr>
    </w:p>
    <w:p>
      <w:pPr>
        <w:spacing w:after="0" w:line="3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Large accelerated filer |_|</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Accelerated filer |_|</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Non-accelerated filer |X|</w:t>
      </w:r>
    </w:p>
    <w:p>
      <w:pPr>
        <w:spacing w:after="0" w:line="183" w:lineRule="exact"/>
        <w:rPr>
          <w:sz w:val="24"/>
          <w:szCs w:val="24"/>
          <w:color w:val="auto"/>
        </w:rPr>
      </w:pPr>
    </w:p>
    <w:p>
      <w:pPr>
        <w:sectPr>
          <w:pgSz w:w="11900" w:h="16838" w:orient="portrait"/>
          <w:cols w:equalWidth="0" w:num="3">
            <w:col w:w="2380" w:space="180"/>
            <w:col w:w="1860" w:space="360"/>
            <w:col w:w="5439"/>
          </w:cols>
          <w:pgMar w:left="240" w:top="403" w:right="1440" w:bottom="0" w:gutter="0" w:footer="0" w:header="0"/>
          <w:type w:val="continuous"/>
        </w:sectPr>
      </w:pPr>
    </w:p>
    <w:p>
      <w:pPr>
        <w:ind w:right="3759" w:firstLine="444"/>
        <w:spacing w:after="0" w:line="238" w:lineRule="auto"/>
        <w:rPr>
          <w:sz w:val="20"/>
          <w:szCs w:val="20"/>
          <w:color w:val="auto"/>
        </w:rPr>
      </w:pPr>
      <w:r>
        <w:rPr>
          <w:rFonts w:ascii="Courier New" w:cs="Courier New" w:eastAsia="Courier New" w:hAnsi="Courier New"/>
          <w:sz w:val="15"/>
          <w:szCs w:val="15"/>
          <w:color w:val="auto"/>
        </w:rPr>
        <w:t>Indicate by check mark whether the registrant is a shell company (as defined in Rule 12b-2 of the Exchange Act). Yes |_| No |X|</w:t>
      </w:r>
    </w:p>
    <w:p>
      <w:pPr>
        <w:sectPr>
          <w:pgSz w:w="11900" w:h="16838" w:orient="portrait"/>
          <w:cols w:equalWidth="0" w:num="1">
            <w:col w:w="10219"/>
          </w:cols>
          <w:pgMar w:left="240" w:top="403" w:right="1440" w:bottom="0" w:gutter="0" w:footer="0" w:header="0"/>
          <w:type w:val="continuous"/>
        </w:sectPr>
      </w:pPr>
    </w:p>
    <w:p>
      <w:pPr>
        <w:spacing w:after="0" w:line="175" w:lineRule="exact"/>
        <w:rPr>
          <w:sz w:val="24"/>
          <w:szCs w:val="24"/>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aggregate market value of the registrant's voting interests held by non-affiliates on June 30, 2005 was $0. Wynn Resorts Holdings, LLC owns all of the membership interests of the registrant as of March 27, 2006.</w:t>
      </w:r>
    </w:p>
    <w:p>
      <w:pPr>
        <w:spacing w:after="0" w:line="172" w:lineRule="exact"/>
        <w:rPr>
          <w:sz w:val="24"/>
          <w:szCs w:val="24"/>
          <w:color w:val="auto"/>
        </w:rPr>
      </w:pPr>
    </w:p>
    <w:p>
      <w:pPr>
        <w:ind w:left="2840"/>
        <w:spacing w:after="0"/>
        <w:rPr>
          <w:sz w:val="20"/>
          <w:szCs w:val="20"/>
          <w:color w:val="auto"/>
        </w:rPr>
      </w:pPr>
      <w:r>
        <w:rPr>
          <w:rFonts w:ascii="Courier New" w:cs="Courier New" w:eastAsia="Courier New" w:hAnsi="Courier New"/>
          <w:sz w:val="15"/>
          <w:szCs w:val="15"/>
          <w:color w:val="auto"/>
        </w:rPr>
        <w:t>EXPLANATORY NOTE</w:t>
      </w:r>
    </w:p>
    <w:p>
      <w:pPr>
        <w:spacing w:after="0" w:line="174" w:lineRule="exact"/>
        <w:rPr>
          <w:sz w:val="24"/>
          <w:szCs w:val="24"/>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This Amendment No. 1 to Annual Report on Form 10-K/A (this "Amendment") is being filed to correct certain information regarding executive compensation in Item 11 of the Registrant's Annual Report on Form 10-K for the year ended December 31, 2005, as filed with the Securities and Exchange Commission on March 31, 2006 (the "Original Filing"). Pursuant to Rule 12b-15 under the Securities Exchange Act of 1934, as a result of this Amendment, the certifications filed pursuant to Section 302 of the Sarbanes-Oxley Act of 2002, included as exhibits to the Original Filing, have been amended, restated, re-executed and re-filed as</w:t>
      </w:r>
    </w:p>
    <w:p>
      <w:pPr>
        <w:sectPr>
          <w:pgSz w:w="11900" w:h="16838" w:orient="portrait"/>
          <w:cols w:equalWidth="0" w:num="1">
            <w:col w:w="10219"/>
          </w:cols>
          <w:pgMar w:left="240" w:top="403" w:right="1440" w:bottom="0" w:gutter="0" w:footer="0" w:header="0"/>
          <w:type w:val="continuous"/>
        </w:sectPr>
      </w:pPr>
    </w:p>
    <w:bookmarkStart w:id="1" w:name="page2"/>
    <w:bookmarkEnd w:id="1"/>
    <w:p>
      <w:pPr>
        <w:ind w:left="9"/>
        <w:spacing w:after="0"/>
        <w:rPr>
          <w:sz w:val="20"/>
          <w:szCs w:val="20"/>
          <w:color w:val="auto"/>
        </w:rPr>
      </w:pPr>
      <w:r>
        <w:rPr>
          <w:rFonts w:ascii="Courier New" w:cs="Courier New" w:eastAsia="Courier New" w:hAnsi="Courier New"/>
          <w:sz w:val="15"/>
          <w:szCs w:val="15"/>
          <w:color w:val="auto"/>
        </w:rPr>
        <w:t>of the date of this Amendment and are included as Exhibits 31.1 and 31.2 hereto.</w:t>
      </w:r>
    </w:p>
    <w:p>
      <w:pPr>
        <w:spacing w:after="0" w:line="174" w:lineRule="exact"/>
        <w:rPr>
          <w:sz w:val="20"/>
          <w:szCs w:val="20"/>
          <w:color w:val="auto"/>
        </w:rPr>
      </w:pPr>
    </w:p>
    <w:p>
      <w:pPr>
        <w:ind w:left="9" w:right="4420" w:firstLine="444"/>
        <w:spacing w:after="0" w:line="239" w:lineRule="auto"/>
        <w:rPr>
          <w:sz w:val="20"/>
          <w:szCs w:val="20"/>
          <w:color w:val="auto"/>
        </w:rPr>
      </w:pPr>
      <w:r>
        <w:rPr>
          <w:rFonts w:ascii="Courier New" w:cs="Courier New" w:eastAsia="Courier New" w:hAnsi="Courier New"/>
          <w:sz w:val="15"/>
          <w:szCs w:val="15"/>
          <w:color w:val="auto"/>
        </w:rPr>
        <w:t>Except for the matters described above, this Amendment does not modify or update disclosures in, or exhibits to, the Original Filing. Furthermore, this Amendment does not change any previously reported financial results, nor does it reflect events occurring after the date of the Original Filing.</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9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left="9" w:right="4520" w:firstLine="444"/>
        <w:spacing w:after="0" w:line="260" w:lineRule="auto"/>
        <w:rPr>
          <w:sz w:val="20"/>
          <w:szCs w:val="20"/>
          <w:color w:val="auto"/>
        </w:rPr>
      </w:pPr>
      <w:r>
        <w:rPr>
          <w:rFonts w:ascii="Courier New" w:cs="Courier New" w:eastAsia="Courier New" w:hAnsi="Courier New"/>
          <w:sz w:val="14"/>
          <w:szCs w:val="14"/>
          <w:color w:val="auto"/>
        </w:rPr>
        <w:t>The following table sets forth the compensation paid or accrued by the Company to the Chief Executive Officer of the Company (or persons acting in a similar capacity) and to each of the four most highly compensated executive officers of the Company (other than the Chief Executive Officer) (collectively, the "Named Executive Officers"), for services rendered to the Company and its affiliates in all capacities during the last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3720" w:type="dxa"/>
            <w:vAlign w:val="bottom"/>
            <w:gridSpan w:val="4"/>
          </w:tcPr>
          <w:p>
            <w:pPr>
              <w:ind w:left="1420"/>
              <w:spacing w:after="0"/>
              <w:rPr>
                <w:sz w:val="20"/>
                <w:szCs w:val="20"/>
                <w:color w:val="auto"/>
              </w:rPr>
            </w:pPr>
            <w:r>
              <w:rPr>
                <w:rFonts w:ascii="Courier New" w:cs="Courier New" w:eastAsia="Courier New" w:hAnsi="Courier New"/>
                <w:sz w:val="15"/>
                <w:szCs w:val="15"/>
                <w:color w:val="auto"/>
                <w:w w:val="97"/>
              </w:rPr>
              <w:t>SUMMARY COMPENSATION TABLE</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Long-Term</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Annual Compensation</w:t>
            </w:r>
          </w:p>
        </w:tc>
        <w:tc>
          <w:tcPr>
            <w:tcW w:w="1240" w:type="dxa"/>
            <w:vAlign w:val="bottom"/>
          </w:tcPr>
          <w:p>
            <w:pPr>
              <w:spacing w:after="0"/>
              <w:rPr>
                <w:sz w:val="14"/>
                <w:szCs w:val="14"/>
                <w:color w:val="auto"/>
              </w:rPr>
            </w:pPr>
          </w:p>
        </w:tc>
        <w:tc>
          <w:tcPr>
            <w:tcW w:w="230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5"/>
                <w:szCs w:val="5"/>
                <w:color w:val="auto"/>
                <w:w w:val="74"/>
              </w:rPr>
              <w: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Awards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Securities</w:t>
            </w:r>
          </w:p>
        </w:tc>
        <w:tc>
          <w:tcPr>
            <w:tcW w:w="180" w:type="dxa"/>
            <w:vAlign w:val="bottom"/>
          </w:tcPr>
          <w:p>
            <w:pPr>
              <w:spacing w:after="0"/>
              <w:rPr>
                <w:sz w:val="14"/>
                <w:szCs w:val="14"/>
                <w:color w:val="auto"/>
              </w:rPr>
            </w:pPr>
          </w:p>
        </w:tc>
        <w:tc>
          <w:tcPr>
            <w:tcW w:w="7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All</w:t>
            </w: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Restricted</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Underlying</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Other</w:t>
            </w: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Other Annual</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Options/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Comp-</w:t>
            </w:r>
          </w:p>
        </w:tc>
      </w:tr>
      <w:tr>
        <w:trPr>
          <w:trHeight w:val="171"/>
        </w:trPr>
        <w:tc>
          <w:tcPr>
            <w:tcW w:w="2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Salary</w:t>
            </w:r>
          </w:p>
        </w:tc>
        <w:tc>
          <w:tcPr>
            <w:tcW w:w="1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Bonus</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Award(s)</w:t>
            </w:r>
          </w:p>
        </w:tc>
        <w:tc>
          <w:tcPr>
            <w:tcW w:w="11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4"/>
              </w:rPr>
              <w:t>SARs</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nsation</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Name and Principal Position</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20" w:type="dxa"/>
            <w:vAlign w:val="bottom"/>
          </w:tcPr>
          <w:p>
            <w:pPr>
              <w:spacing w:after="0"/>
              <w:rPr>
                <w:sz w:val="14"/>
                <w:szCs w:val="14"/>
                <w:color w:val="auto"/>
              </w:rPr>
            </w:pP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60"/>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e($)(1)</w:t>
            </w: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w w:val="93"/>
              </w:rPr>
              <w:t>- --------------------------------------------</w:t>
            </w:r>
          </w:p>
        </w:tc>
        <w:tc>
          <w:tcPr>
            <w:tcW w:w="980" w:type="dxa"/>
            <w:vAlign w:val="bottom"/>
          </w:tcPr>
          <w:p>
            <w:pPr>
              <w:ind w:left="520"/>
              <w:spacing w:after="0"/>
              <w:rPr>
                <w:sz w:val="20"/>
                <w:szCs w:val="20"/>
                <w:color w:val="auto"/>
              </w:rPr>
            </w:pPr>
            <w:r>
              <w:rPr>
                <w:rFonts w:ascii="Courier New" w:cs="Courier New" w:eastAsia="Courier New" w:hAnsi="Courier New"/>
                <w:sz w:val="15"/>
                <w:szCs w:val="15"/>
                <w:color w:val="auto"/>
                <w:w w:val="97"/>
              </w:rPr>
              <w:t>-----</w:t>
            </w:r>
          </w:p>
        </w:tc>
        <w:tc>
          <w:tcPr>
            <w:tcW w:w="1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ind w:left="160"/>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Marc D. Schorr (5)</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Chief Executive Officer and President</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2005</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$1,000,000</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$1,500,000</w:t>
            </w:r>
          </w:p>
        </w:tc>
        <w:tc>
          <w:tcPr>
            <w:tcW w:w="1240" w:type="dxa"/>
            <w:vAlign w:val="bottom"/>
          </w:tcPr>
          <w:p>
            <w:pPr>
              <w:ind w:left="160"/>
              <w:spacing w:after="0"/>
              <w:rPr>
                <w:sz w:val="20"/>
                <w:szCs w:val="20"/>
                <w:color w:val="auto"/>
              </w:rPr>
            </w:pPr>
            <w:r>
              <w:rPr>
                <w:rFonts w:ascii="Courier New" w:cs="Courier New" w:eastAsia="Courier New" w:hAnsi="Courier New"/>
                <w:sz w:val="15"/>
                <w:szCs w:val="15"/>
                <w:color w:val="auto"/>
              </w:rPr>
              <w:t>$119,781</w:t>
            </w:r>
          </w:p>
        </w:tc>
        <w:tc>
          <w:tcPr>
            <w:tcW w:w="11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$8,425,000</w:t>
            </w:r>
          </w:p>
        </w:tc>
        <w:tc>
          <w:tcPr>
            <w:tcW w:w="116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5"/>
              </w:rPr>
              <w:t>$11,202</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Andrew Pascal (5)</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Chief Operating Officer and President</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400,731</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370</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David Sisk</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Chief Financial Officer and Senior Vice</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350,000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$ 6,660</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President</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Matt Maddox</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Senior Vice President--Business Development</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337,886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$ 61,321</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6,589</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Richard Cotter</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Executive Vice President--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Hotel Operations</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407,692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7,266</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Robert Oseland</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w w:val="97"/>
              </w:rPr>
              <w:t>Executive Vice President--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Casino Operations</w:t>
            </w:r>
          </w:p>
        </w:tc>
        <w:tc>
          <w:tcPr>
            <w:tcW w:w="980" w:type="dxa"/>
            <w:vAlign w:val="bottom"/>
          </w:tcPr>
          <w:p>
            <w:pPr>
              <w:ind w:left="44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300,000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7,065</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Arthur Nathan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Chief Human Resources Officer and Senior</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2005</w:t>
            </w:r>
          </w:p>
        </w:tc>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300,000</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7,590</w:t>
            </w:r>
          </w:p>
        </w:tc>
      </w:tr>
      <w:tr>
        <w:trPr>
          <w:trHeight w:val="171"/>
        </w:trPr>
        <w:tc>
          <w:tcPr>
            <w:tcW w:w="2300" w:type="dxa"/>
            <w:vAlign w:val="bottom"/>
          </w:tcPr>
          <w:p>
            <w:pPr>
              <w:ind w:left="260"/>
              <w:spacing w:after="0"/>
              <w:rPr>
                <w:sz w:val="20"/>
                <w:szCs w:val="20"/>
                <w:color w:val="auto"/>
              </w:rPr>
            </w:pPr>
            <w:r>
              <w:rPr>
                <w:rFonts w:ascii="Courier New" w:cs="Courier New" w:eastAsia="Courier New" w:hAnsi="Courier New"/>
                <w:sz w:val="15"/>
                <w:szCs w:val="15"/>
                <w:color w:val="auto"/>
              </w:rPr>
              <w:t>Vice President</w:t>
            </w: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9"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amounts are included in All Other Compensation: (i) the Company's matching contributions</w:t>
      </w:r>
    </w:p>
    <w:p>
      <w:pPr>
        <w:spacing w:after="0" w:line="3" w:lineRule="exact"/>
        <w:rPr>
          <w:rFonts w:ascii="Courier New" w:cs="Courier New" w:eastAsia="Courier New" w:hAnsi="Courier New"/>
          <w:sz w:val="15"/>
          <w:szCs w:val="15"/>
          <w:color w:val="auto"/>
        </w:rPr>
      </w:pPr>
    </w:p>
    <w:p>
      <w:pPr>
        <w:ind w:left="449" w:righ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made in fiscal year 2005 to Wynn Resorts' 401(k) Plan, as follows: Marc D. Schorr ($6,300), Andrew Pascal ($0), David Sisk ($6,300), Matt Maddox ($6,300), Richard Cotter ($6,300), Robert Oseland ($6,300) and Arthur Nathan ($6,300) and (ii) executive life insurance premiums paid in 2005, as follows: Marc D. Schorr ($4,902), Andrew Pascal ($370), David Sisk ($360), Matt Maddox ($289), Richard Cotter ($966), Robert Oseland ($270) and Arthur Nathan ($1,290). The Company also paid $495 for cellular service for Mr. Oseland during 2005.</w:t>
      </w:r>
    </w:p>
    <w:p>
      <w:pPr>
        <w:spacing w:after="0" w:line="175" w:lineRule="exact"/>
        <w:rPr>
          <w:rFonts w:ascii="Courier New" w:cs="Courier New" w:eastAsia="Courier New" w:hAnsi="Courier New"/>
          <w:sz w:val="15"/>
          <w:szCs w:val="15"/>
          <w:color w:val="auto"/>
        </w:rPr>
      </w:pPr>
    </w:p>
    <w:p>
      <w:pPr>
        <w:ind w:left="449" w:right="1760" w:hanging="449"/>
        <w:spacing w:after="0"/>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Other Annual Compensation of Mr. Schorr in 2005, is $119,781 attributable to personal use of the Company's and Wynn Resorts' corporate aircraft. The amount attributable to personal use by the executive includes the allocated variable expenses of maintaining and operating the aircraft allocated to the executive's personal use using Internal Revenue Services principles, to the extent that the allocated expenses exceed amounts paid by the executive. The amount paid by the executive is determined by reference to the Internal Revenue Service's Standard Industry Fare Level ("SIFL") tables. Internal Revenue Service rules prohibit the Company from deducting the amount attributable to personal use. The SIFL amount is used by the Company and its executives for tax reporting purposes.</w:t>
      </w:r>
    </w:p>
    <w:p>
      <w:pPr>
        <w:spacing w:after="0" w:line="176" w:lineRule="exact"/>
        <w:rPr>
          <w:rFonts w:ascii="Courier New" w:cs="Courier New" w:eastAsia="Courier New" w:hAnsi="Courier New"/>
          <w:sz w:val="15"/>
          <w:szCs w:val="15"/>
          <w:color w:val="auto"/>
        </w:rPr>
      </w:pPr>
    </w:p>
    <w:p>
      <w:pPr>
        <w:ind w:left="449" w:right="2300" w:hanging="449"/>
        <w:spacing w:after="0" w:line="238"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Other Annual Compensation for Mr. Maddox was approximately $61,321 paid for housing and relocation costs.</w:t>
      </w:r>
    </w:p>
    <w:p>
      <w:pPr>
        <w:spacing w:after="0" w:line="174" w:lineRule="exact"/>
        <w:rPr>
          <w:rFonts w:ascii="Courier New" w:cs="Courier New" w:eastAsia="Courier New" w:hAnsi="Courier New"/>
          <w:sz w:val="15"/>
          <w:szCs w:val="15"/>
          <w:color w:val="auto"/>
        </w:rPr>
      </w:pPr>
    </w:p>
    <w:p>
      <w:pPr>
        <w:ind w:left="449" w:right="2040" w:hanging="449"/>
        <w:spacing w:after="0" w:line="258" w:lineRule="auto"/>
        <w:tabs>
          <w:tab w:leader="none" w:pos="44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27, 2004, subject to certain conditions, the Compensation Committee approved a grant to Mr. Schorr of 125,000 shares of restricted stock for services rendered during 2004. This grant became effective on February 3, 2005. Twenty (20) percent of the grant vests annually over a five-year period beginning with December 15, 2005. As of December 31, 2005, the value of the unvested portion of</w:t>
      </w:r>
    </w:p>
    <w:p>
      <w:pPr>
        <w:ind w:left="449" w:right="2040"/>
        <w:spacing w:after="0" w:line="26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Schorr's grant was $5,485,000, based on a closing price of $54.85 per share on December 30, 2005. There are no voting rights associated with any unvested shares and any distributions or dividends with respect to unvested shares are held by the Company and are released only upon vesting.</w:t>
      </w:r>
    </w:p>
    <w:p>
      <w:pPr>
        <w:spacing w:after="0" w:line="159" w:lineRule="exact"/>
        <w:rPr>
          <w:rFonts w:ascii="Courier New" w:cs="Courier New" w:eastAsia="Courier New" w:hAnsi="Courier New"/>
          <w:sz w:val="14"/>
          <w:szCs w:val="14"/>
          <w:color w:val="auto"/>
        </w:rPr>
      </w:pPr>
    </w:p>
    <w:p>
      <w:pPr>
        <w:ind w:left="449" w:right="1760" w:hanging="449"/>
        <w:spacing w:after="0" w:line="239" w:lineRule="auto"/>
        <w:tabs>
          <w:tab w:leader="none" w:pos="44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Schorr served as President and Chief Executive Officer of the Company until October 2005, at which time Mr. Pascal was appointed President and Chief Operating Officer of the Company, and Mr. Schorr ceased to be an officer of the Company.</w:t>
      </w:r>
    </w:p>
    <w:p>
      <w:pPr>
        <w:sectPr>
          <w:pgSz w:w="11900" w:h="16838" w:orient="portrait"/>
          <w:cols w:equalWidth="0" w:num="1">
            <w:col w:w="11529"/>
          </w:cols>
          <w:pgMar w:left="231" w:top="139" w:right="139" w:bottom="117" w:gutter="0" w:footer="0" w:header="0"/>
        </w:sectPr>
      </w:pPr>
    </w:p>
    <w:bookmarkStart w:id="2" w:name="page3"/>
    <w:bookmarkEnd w:id="2"/>
    <w:p>
      <w:pPr>
        <w:spacing w:after="0" w:line="52" w:lineRule="exact"/>
        <w:rPr>
          <w:sz w:val="20"/>
          <w:szCs w:val="20"/>
          <w:color w:val="auto"/>
        </w:rPr>
      </w:pPr>
    </w:p>
    <w:p>
      <w:pPr>
        <w:jc w:val="center"/>
        <w:ind w:right="3531"/>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3800" w:firstLine="444"/>
        <w:spacing w:after="0"/>
        <w:rPr>
          <w:sz w:val="20"/>
          <w:szCs w:val="20"/>
          <w:color w:val="auto"/>
        </w:rPr>
      </w:pPr>
      <w:r>
        <w:rPr>
          <w:rFonts w:ascii="Courier New" w:cs="Courier New" w:eastAsia="Courier New" w:hAnsi="Courier New"/>
          <w:sz w:val="15"/>
          <w:szCs w:val="15"/>
          <w:color w:val="auto"/>
        </w:rPr>
        <w:t>The following table provides information related to options to purchase Wynn Resorts common stock granted to the Named Executive Officers during the year ended December 31, 2005, and the number and value of such options held as of the end of the year. For the year ended December 31, 2005, Wynn Resorts did not grant any SARs.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Potential Realizable Value at</w:t>
            </w:r>
          </w:p>
        </w:tc>
      </w:tr>
      <w:tr>
        <w:trPr>
          <w:trHeight w:val="171"/>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3"/>
          </w:tcPr>
          <w:p>
            <w:pPr>
              <w:jc w:val="center"/>
              <w:ind w:right="126"/>
              <w:spacing w:after="0"/>
              <w:rPr>
                <w:sz w:val="20"/>
                <w:szCs w:val="20"/>
                <w:color w:val="auto"/>
              </w:rPr>
            </w:pPr>
            <w:r>
              <w:rPr>
                <w:rFonts w:ascii="Courier New" w:cs="Courier New" w:eastAsia="Courier New" w:hAnsi="Courier New"/>
                <w:sz w:val="15"/>
                <w:szCs w:val="15"/>
                <w:color w:val="auto"/>
                <w:w w:val="98"/>
              </w:rPr>
              <w:t>Assumed Annual Rates of</w:t>
            </w:r>
          </w:p>
        </w:tc>
      </w:tr>
      <w:tr>
        <w:trPr>
          <w:trHeight w:val="171"/>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Stock Price Appreciation</w:t>
            </w:r>
          </w:p>
        </w:tc>
      </w:tr>
      <w:tr>
        <w:trPr>
          <w:trHeight w:val="171"/>
        </w:trPr>
        <w:tc>
          <w:tcPr>
            <w:tcW w:w="2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Individual Grants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3"/>
          </w:tcPr>
          <w:p>
            <w:pPr>
              <w:jc w:val="center"/>
              <w:ind w:right="146"/>
              <w:spacing w:after="0"/>
              <w:rPr>
                <w:sz w:val="20"/>
                <w:szCs w:val="20"/>
                <w:color w:val="auto"/>
              </w:rPr>
            </w:pPr>
            <w:r>
              <w:rPr>
                <w:rFonts w:ascii="Courier New" w:cs="Courier New" w:eastAsia="Courier New" w:hAnsi="Courier New"/>
                <w:sz w:val="15"/>
                <w:szCs w:val="15"/>
                <w:color w:val="auto"/>
                <w:w w:val="99"/>
              </w:rPr>
              <w:t>For Option Term</w:t>
            </w:r>
          </w:p>
        </w:tc>
      </w:tr>
      <w:tr>
        <w:trPr>
          <w:trHeight w:val="171"/>
        </w:trPr>
        <w:tc>
          <w:tcPr>
            <w:tcW w:w="2260" w:type="dxa"/>
            <w:vAlign w:val="bottom"/>
          </w:tcPr>
          <w:p>
            <w:pPr>
              <w:spacing w:after="0"/>
              <w:rPr>
                <w:sz w:val="14"/>
                <w:szCs w:val="14"/>
                <w:color w:val="auto"/>
              </w:rPr>
            </w:pPr>
          </w:p>
        </w:tc>
        <w:tc>
          <w:tcPr>
            <w:tcW w:w="35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Number of</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Percent of Total</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Securities</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Options Granted</w:t>
            </w:r>
          </w:p>
        </w:tc>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or Base</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1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Underlying Options</w:t>
            </w:r>
          </w:p>
        </w:tc>
        <w:tc>
          <w:tcPr>
            <w:tcW w:w="1760" w:type="dxa"/>
            <w:vAlign w:val="bottom"/>
          </w:tcPr>
          <w:p>
            <w:pPr>
              <w:ind w:left="80"/>
              <w:spacing w:after="0"/>
              <w:rPr>
                <w:sz w:val="20"/>
                <w:szCs w:val="20"/>
                <w:color w:val="auto"/>
              </w:rPr>
            </w:pPr>
            <w:r>
              <w:rPr>
                <w:rFonts w:ascii="Courier New" w:cs="Courier New" w:eastAsia="Courier New" w:hAnsi="Courier New"/>
                <w:sz w:val="15"/>
                <w:szCs w:val="15"/>
                <w:color w:val="auto"/>
              </w:rPr>
              <w:t>to Employees in</w:t>
            </w:r>
          </w:p>
        </w:tc>
        <w:tc>
          <w:tcPr>
            <w:tcW w:w="100" w:type="dxa"/>
            <w:vAlign w:val="bottom"/>
          </w:tcPr>
          <w:p>
            <w:pPr>
              <w:spacing w:after="0"/>
              <w:rPr>
                <w:sz w:val="14"/>
                <w:szCs w:val="14"/>
                <w:color w:val="auto"/>
              </w:rPr>
            </w:pP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1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7"/>
              </w:rPr>
              <w:t>Expiration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8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Granted (#)</w:t>
            </w:r>
          </w:p>
        </w:tc>
        <w:tc>
          <w:tcPr>
            <w:tcW w:w="17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Fiscal Year (1)</w:t>
            </w: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1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Date</w:t>
            </w: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5% ($)</w:t>
            </w:r>
          </w:p>
        </w:tc>
        <w:tc>
          <w:tcPr>
            <w:tcW w:w="140" w:type="dxa"/>
            <w:vAlign w:val="bottom"/>
          </w:tcPr>
          <w:p>
            <w:pPr>
              <w:spacing w:after="0"/>
              <w:rPr>
                <w:sz w:val="14"/>
                <w:szCs w:val="14"/>
                <w:color w:val="auto"/>
              </w:rPr>
            </w:pPr>
          </w:p>
        </w:tc>
        <w:tc>
          <w:tcPr>
            <w:tcW w:w="13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 ($)</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12"/>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Marc D. Schorr.........</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9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Andrew Pascal..........</w:t>
            </w:r>
          </w:p>
        </w:tc>
        <w:tc>
          <w:tcPr>
            <w:tcW w:w="182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100,000(2)</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7.54%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56.67</w:t>
            </w:r>
          </w:p>
        </w:tc>
        <w:tc>
          <w:tcPr>
            <w:tcW w:w="11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08/01/15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3,563,946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9,031,739</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David Sisk.............</w:t>
            </w:r>
          </w:p>
        </w:tc>
        <w:tc>
          <w:tcPr>
            <w:tcW w:w="182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100,000(2)</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7.54%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56.67</w:t>
            </w:r>
          </w:p>
        </w:tc>
        <w:tc>
          <w:tcPr>
            <w:tcW w:w="11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08/01/15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3,563,946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9,031,739</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Matt Maddox............</w:t>
            </w:r>
          </w:p>
        </w:tc>
        <w:tc>
          <w:tcPr>
            <w:tcW w:w="182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50,000(3)</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3.77%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51.08</w:t>
            </w:r>
          </w:p>
        </w:tc>
        <w:tc>
          <w:tcPr>
            <w:tcW w:w="116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11/07/15</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1,606,197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4,070,418</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Cotter.........</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9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Robert Oseland.........</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9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Arthur Nathan..........</w:t>
            </w:r>
          </w:p>
        </w:tc>
        <w:tc>
          <w:tcPr>
            <w:tcW w:w="18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9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13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1" w:lineRule="exact"/>
        <w:rPr>
          <w:sz w:val="20"/>
          <w:szCs w:val="20"/>
          <w:color w:val="auto"/>
        </w:rPr>
      </w:pPr>
    </w:p>
    <w:p>
      <w:pPr>
        <w:ind w:left="529" w:hanging="529"/>
        <w:spacing w:after="0"/>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2002 Stock Incentive Plan under which options are granted is a plan sponsored by Wynn Resorts.</w:t>
      </w:r>
    </w:p>
    <w:p>
      <w:pPr>
        <w:ind w:left="529" w:hanging="529"/>
        <w:spacing w:after="0"/>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vest in three equal installments on August 1, 2008, August 1, 2009 and August 1, 2010.</w:t>
      </w:r>
    </w:p>
    <w:p>
      <w:pPr>
        <w:spacing w:after="0" w:line="3" w:lineRule="exact"/>
        <w:rPr>
          <w:rFonts w:ascii="Courier New" w:cs="Courier New" w:eastAsia="Courier New" w:hAnsi="Courier New"/>
          <w:sz w:val="15"/>
          <w:szCs w:val="15"/>
          <w:color w:val="auto"/>
        </w:rPr>
      </w:pPr>
    </w:p>
    <w:p>
      <w:pPr>
        <w:ind w:left="529" w:right="1500" w:hanging="529"/>
        <w:spacing w:after="0" w:line="238" w:lineRule="auto"/>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option vest in three equal installments on November 7, 2008, November 7, 2009 and November 7, 2010.</w:t>
      </w:r>
    </w:p>
    <w:p>
      <w:pPr>
        <w:spacing w:after="0" w:line="200" w:lineRule="exact"/>
        <w:rPr>
          <w:sz w:val="20"/>
          <w:szCs w:val="20"/>
          <w:color w:val="auto"/>
        </w:rPr>
      </w:pPr>
    </w:p>
    <w:p>
      <w:pPr>
        <w:spacing w:after="0" w:line="314"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2005 Option Values</w:t>
      </w:r>
    </w:p>
    <w:p>
      <w:pPr>
        <w:spacing w:after="0" w:line="174" w:lineRule="exact"/>
        <w:rPr>
          <w:sz w:val="20"/>
          <w:szCs w:val="20"/>
          <w:color w:val="auto"/>
        </w:rPr>
      </w:pPr>
    </w:p>
    <w:p>
      <w:pPr>
        <w:ind w:left="9" w:right="3800" w:firstLine="444"/>
        <w:spacing w:after="0" w:line="239" w:lineRule="auto"/>
        <w:rPr>
          <w:sz w:val="20"/>
          <w:szCs w:val="20"/>
          <w:color w:val="auto"/>
        </w:rPr>
      </w:pPr>
      <w:r>
        <w:rPr>
          <w:rFonts w:ascii="Courier New" w:cs="Courier New" w:eastAsia="Courier New" w:hAnsi="Courier New"/>
          <w:sz w:val="15"/>
          <w:szCs w:val="15"/>
          <w:color w:val="auto"/>
        </w:rPr>
        <w:t>The following table provides information related to options to purchase Wynn Resorts common stock held by the Named Executive Officers at December 31,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Number of Securities</w:t>
            </w:r>
          </w:p>
        </w:tc>
        <w:tc>
          <w:tcPr>
            <w:tcW w:w="180" w:type="dxa"/>
            <w:vAlign w:val="bottom"/>
          </w:tcPr>
          <w:p>
            <w:pPr>
              <w:spacing w:after="0"/>
              <w:rPr>
                <w:sz w:val="14"/>
                <w:szCs w:val="14"/>
                <w:color w:val="auto"/>
              </w:rPr>
            </w:pPr>
          </w:p>
        </w:tc>
        <w:tc>
          <w:tcPr>
            <w:tcW w:w="244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Underlying Unexercised Options</w:t>
            </w:r>
          </w:p>
        </w:tc>
        <w:tc>
          <w:tcPr>
            <w:tcW w:w="180" w:type="dxa"/>
            <w:vAlign w:val="bottom"/>
          </w:tcPr>
          <w:p>
            <w:pPr>
              <w:spacing w:after="0"/>
              <w:rPr>
                <w:sz w:val="14"/>
                <w:szCs w:val="14"/>
                <w:color w:val="auto"/>
              </w:rPr>
            </w:pPr>
          </w:p>
        </w:tc>
        <w:tc>
          <w:tcPr>
            <w:tcW w:w="24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In-the-Money Options at</w:t>
            </w:r>
          </w:p>
        </w:tc>
      </w:tr>
      <w:tr>
        <w:trPr>
          <w:trHeight w:val="171"/>
        </w:trPr>
        <w:tc>
          <w:tcPr>
            <w:tcW w:w="2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at December</w:t>
            </w: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31, 2005</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31,</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2005 (1)</w:t>
            </w:r>
          </w:p>
        </w:tc>
      </w:tr>
      <w:tr>
        <w:trPr>
          <w:trHeight w:val="171"/>
        </w:trPr>
        <w:tc>
          <w:tcPr>
            <w:tcW w:w="296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Options</w:t>
            </w:r>
          </w:p>
        </w:tc>
        <w:tc>
          <w:tcPr>
            <w:tcW w:w="2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5"/>
              </w:rPr>
              <w:t>Value</w:t>
            </w:r>
            <w:r>
              <w:rPr>
                <w:rFonts w:ascii="Courier New" w:cs="Courier New" w:eastAsia="Courier New" w:hAnsi="Courier New"/>
                <w:sz w:val="11"/>
                <w:szCs w:val="11"/>
                <w:color w:val="auto"/>
                <w:w w:val="75"/>
              </w:rPr>
              <w:t>------------------------------</w:t>
            </w:r>
          </w:p>
        </w:tc>
        <w:tc>
          <w:tcPr>
            <w:tcW w:w="1380" w:type="dxa"/>
            <w:vAlign w:val="bottom"/>
          </w:tcPr>
          <w:p>
            <w:pPr>
              <w:spacing w:after="0"/>
              <w:rPr>
                <w:sz w:val="14"/>
                <w:szCs w:val="14"/>
                <w:color w:val="auto"/>
              </w:rPr>
            </w:pPr>
          </w:p>
        </w:tc>
        <w:tc>
          <w:tcPr>
            <w:tcW w:w="26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Exercised</w:t>
            </w:r>
          </w:p>
        </w:tc>
        <w:tc>
          <w:tcPr>
            <w:tcW w:w="220" w:type="dxa"/>
            <w:vAlign w:val="bottom"/>
          </w:tcPr>
          <w:p>
            <w:pPr>
              <w:spacing w:after="0"/>
              <w:rPr>
                <w:sz w:val="14"/>
                <w:szCs w:val="1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Realized</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Exercisable</w:t>
            </w: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Unexercisable</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Exercisable</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7"/>
              </w:rPr>
              <w:t>Unexercisable</w:t>
            </w: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1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2960" w:type="dxa"/>
            <w:vAlign w:val="bottom"/>
          </w:tcPr>
          <w:p>
            <w:pPr>
              <w:spacing w:after="0"/>
              <w:rPr>
                <w:sz w:val="20"/>
                <w:szCs w:val="20"/>
                <w:color w:val="auto"/>
              </w:rPr>
            </w:pPr>
            <w:r>
              <w:rPr>
                <w:rFonts w:ascii="Courier New" w:cs="Courier New" w:eastAsia="Courier New" w:hAnsi="Courier New"/>
                <w:sz w:val="15"/>
                <w:szCs w:val="15"/>
                <w:color w:val="auto"/>
              </w:rPr>
              <w:t>Marc D. Schorr.................</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100,000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3,945,000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3,945,000</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Andrew Pascal..................</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5,000</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264,300</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28,750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141,250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1,013,250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1,342,800</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David Sisk.....................</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37,500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137,500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1,307,250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1,307,250</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Matt Maddox....................</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43,750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106,250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1,273,125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941,625</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Richard Cotter.................</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37,500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37,500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1,307,250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1,307,250</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Robert Oseland.................</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12,500</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653,750</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18,750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18,750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753,125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753,125</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Arthur Nathan..................</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320" w:type="dxa"/>
            <w:vAlign w:val="bottom"/>
          </w:tcPr>
          <w:p>
            <w:pPr>
              <w:jc w:val="right"/>
              <w:ind w:right="37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12,500</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12,500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493,125</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74" w:lineRule="exact"/>
        <w:rPr>
          <w:sz w:val="20"/>
          <w:szCs w:val="20"/>
          <w:color w:val="auto"/>
        </w:rPr>
      </w:pPr>
    </w:p>
    <w:p>
      <w:pPr>
        <w:ind w:left="529" w:right="1060" w:hanging="529"/>
        <w:spacing w:after="0"/>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are "in-the-money" if, on December 31, 2005, the market price of Wynn Resorts' common stock exceeded the exercise price of such options. The value of such options is calculated by determining the difference between the aggregate market price of Wynn Resorts' common stock covered by the options on December 31, 2005, and the aggregate exercise price of such options. The market price of Wynn Resorts stock on December 31, 2005 was $54.85.</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left="9" w:right="3800" w:firstLine="444"/>
        <w:spacing w:after="0" w:line="271" w:lineRule="auto"/>
        <w:rPr>
          <w:sz w:val="20"/>
          <w:szCs w:val="20"/>
          <w:color w:val="auto"/>
        </w:rPr>
      </w:pPr>
      <w:r>
        <w:rPr>
          <w:rFonts w:ascii="Courier New" w:cs="Courier New" w:eastAsia="Courier New" w:hAnsi="Courier New"/>
          <w:sz w:val="14"/>
          <w:szCs w:val="14"/>
          <w:color w:val="auto"/>
        </w:rPr>
        <w:t>Directors who are not employees of Wynn Resorts receive a monthly fee of $4,000 for services as a director. Directors who serve on the Audit Committee,</w:t>
      </w:r>
    </w:p>
    <w:p>
      <w:pPr>
        <w:sectPr>
          <w:pgSz w:w="11900" w:h="16891" w:orient="portrait"/>
          <w:cols w:equalWidth="0" w:num="1">
            <w:col w:w="10729"/>
          </w:cols>
          <w:pgMar w:left="231" w:top="799" w:right="939" w:bottom="0" w:gutter="0" w:footer="0" w:header="0"/>
        </w:sectPr>
      </w:pPr>
    </w:p>
    <w:bookmarkStart w:id="3" w:name="page4"/>
    <w:bookmarkEnd w:id="3"/>
    <w:p>
      <w:pPr>
        <w:spacing w:after="0" w:line="5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Compensation Committee or the Nominating/ Governance Committee receive an additional monthly fee of $1,000 per committee ($2,000 for committee chairman). Each non-employee also receives a $1,500 meeting fee for each board or committee meeting they attend. All directors are reimbursed for expenses connected with attendance at meetings of the Board of 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non-employee director, other than non-employee directors who beneficially own more than five percent of Wynn Resorts' issued and outstanding common stock, received an immediately exercisable option grant for 10,000 shares of Wynn Resorts' common stock upon their initial appointment to the Board of Directors. In addition, on May 1, 2005, each member of the Board of Directors, other than Messrs. Wynn, Okada, Kramer and Mrs. Wynn, were granted an option to purchase 10,000 shares of Wynn Resorts' common stock. This option grant vests pro rata over a four year period and has a per share exercise price of $52.94, the fair market value of Wynn Resorts' common stock on the date of grant.</w:t>
      </w:r>
    </w:p>
    <w:p>
      <w:pPr>
        <w:spacing w:after="0" w:line="164"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Robert J. Miller, a member of the Board of Directors, also receives a</w:t>
      </w:r>
    </w:p>
    <w:p>
      <w:pPr>
        <w:spacing w:after="0" w:line="3"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$50,000 annual retainer for his service as the Chairman of the Company's Gaming Compliance Committee.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Wynn Resorts or the Company has entered into employment agreements with each of the Named Executive Officers:</w:t>
      </w:r>
    </w:p>
    <w:p>
      <w:pPr>
        <w:spacing w:after="0" w:line="175" w:lineRule="exact"/>
        <w:rPr>
          <w:sz w:val="20"/>
          <w:szCs w:val="20"/>
          <w:color w:val="auto"/>
        </w:rPr>
      </w:pPr>
    </w:p>
    <w:p>
      <w:pPr>
        <w:ind w:left="780" w:right="3219" w:hanging="345"/>
        <w:spacing w:after="0" w:line="239"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Schorr's employment agreement was effective as of October 25, 2002 and terminates on October 25, 2007. His employment agreement provides for an annual base salary of $750,000 for the first year and $1,000,000 for the remainder of the term of his employment agreement.</w:t>
      </w:r>
    </w:p>
    <w:p>
      <w:pPr>
        <w:spacing w:after="0" w:line="176"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Pascal's employment agreement was effective as of July 21, 2005 and terminates on November 7, 2009. His employment agreement provides for an annual base salary of $750,000 for each year during of the term of his employment agreement.</w:t>
      </w:r>
    </w:p>
    <w:p>
      <w:pPr>
        <w:spacing w:after="0" w:line="176"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Sisk's employment agreement was effective as of October 27, 2003 and terminates on October 27, 2007. His employment agreement provides for an annual base salary of $350,000.</w:t>
      </w:r>
    </w:p>
    <w:p>
      <w:pPr>
        <w:spacing w:after="0" w:line="175"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Maddox's employment agreement was effective as of October 1, 2005 and terminates on March 17, 2011. His employment agreement provides for an annual base salary of $375,000; increasing to $400,000 on September 30, 2006.</w:t>
      </w:r>
    </w:p>
    <w:p>
      <w:pPr>
        <w:spacing w:after="0" w:line="176" w:lineRule="exact"/>
        <w:rPr>
          <w:rFonts w:ascii="Courier New" w:cs="Courier New" w:eastAsia="Courier New" w:hAnsi="Courier New"/>
          <w:sz w:val="15"/>
          <w:szCs w:val="15"/>
          <w:color w:val="auto"/>
        </w:rPr>
      </w:pPr>
    </w:p>
    <w:p>
      <w:pPr>
        <w:ind w:left="780" w:right="3219" w:hanging="345"/>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Cotter's employment agreement was effective as of October 20, 2003 and terminated on October 20, 2007. His employment agreement provides for an annual base salary of $400,000 for the remainder of the term of the agreement. Mr. Cotter's employment agreement was terminated effective March 30, 2006.</w:t>
      </w:r>
    </w:p>
    <w:p>
      <w:pPr>
        <w:spacing w:after="0" w:line="174" w:lineRule="exact"/>
        <w:rPr>
          <w:rFonts w:ascii="Courier New" w:cs="Courier New" w:eastAsia="Courier New" w:hAnsi="Courier New"/>
          <w:sz w:val="15"/>
          <w:szCs w:val="15"/>
          <w:color w:val="auto"/>
        </w:rPr>
      </w:pPr>
    </w:p>
    <w:p>
      <w:pPr>
        <w:ind w:left="780" w:right="3299" w:hanging="345"/>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Oseland's employment agreement was effective as of July 1, 2001 and terminates on July 1, 2007. His employment agreement provides for an annual base salary of $300,000 and a guaranteed annual bonus of $125,000 during the term of the agreement. In addition, Mr. Oseland shall receive an incentive bonus of $250,000 upon the sixth anniversary of the effective date of his employment.</w:t>
      </w:r>
    </w:p>
    <w:p>
      <w:pPr>
        <w:spacing w:after="0" w:line="175" w:lineRule="exact"/>
        <w:rPr>
          <w:rFonts w:ascii="Courier New" w:cs="Courier New" w:eastAsia="Courier New" w:hAnsi="Courier New"/>
          <w:sz w:val="15"/>
          <w:szCs w:val="15"/>
          <w:color w:val="auto"/>
        </w:rPr>
      </w:pPr>
    </w:p>
    <w:p>
      <w:pPr>
        <w:ind w:left="780" w:right="3399" w:hanging="345"/>
        <w:spacing w:after="0" w:line="239" w:lineRule="auto"/>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Nathan's employment agreement is effective as of January 6, 2003 and terminates on January 6, 2007. Mr. Nathan's employment agreement provides for an annual base salary of $300,000 for each year of his term.</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other terms of the employment agreements are similar for each Named Executive Officer, except as noted below. Each executive is eligible to receive a bonus and an increase in base salary at such times and in such amounts as the Board of Directors, in its sole and exclusive discretion, may determine. Each executive will (i) be entitled to participate, to the extent that he or she is otherwise eligible, in all employee benefit plans that we maintain for our executives, and (ii) receive reimbursement for reasonable business expenses (including entertainment, promotional, gift and travel expenses and club memberships).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Wynn Resorts terminates Marc Schorr's employment agreement for "cause," or if Mr. Schorr terminates his employment upon Wynn Resorts' material breach of his employment agreement or for "good reason" following a "change of control" (as these terms are defined in his employment contracts), Wynn Resorts will pay the Mr. Schorr a separation payment in a lump sum equal to the following:</w:t>
      </w:r>
    </w:p>
    <w:p>
      <w:pPr>
        <w:spacing w:after="0" w:line="175" w:lineRule="exact"/>
        <w:rPr>
          <w:sz w:val="20"/>
          <w:szCs w:val="20"/>
          <w:color w:val="auto"/>
        </w:rPr>
      </w:pPr>
    </w:p>
    <w:p>
      <w:pPr>
        <w:ind w:right="4019" w:firstLine="435"/>
        <w:spacing w:after="0" w:line="238"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Schorr's base salary for the remainder of the term of the employment agreement, but not for less than one year;</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 that Mr. Schorr received for the preceding bonus period, projected over the remainder of the term (but not less than the preceding bonus that was paid),</w:t>
      </w:r>
    </w:p>
    <w:p>
      <w:pPr>
        <w:spacing w:after="0" w:line="175" w:lineRule="exact"/>
        <w:rPr>
          <w:rFonts w:ascii="Courier New" w:cs="Courier New" w:eastAsia="Courier New" w:hAnsi="Courier New"/>
          <w:sz w:val="15"/>
          <w:szCs w:val="15"/>
          <w:color w:val="auto"/>
        </w:rPr>
      </w:pPr>
    </w:p>
    <w:p>
      <w:pPr>
        <w:ind w:right="3839" w:firstLine="435"/>
        <w:spacing w:after="0" w:line="238"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and any accrued but unpaid vacation pay through the termination date; and</w:t>
      </w:r>
    </w:p>
    <w:p>
      <w:pPr>
        <w:spacing w:after="0" w:line="174" w:lineRule="exact"/>
        <w:rPr>
          <w:rFonts w:ascii="Courier New" w:cs="Courier New" w:eastAsia="Courier New" w:hAnsi="Courier New"/>
          <w:sz w:val="15"/>
          <w:szCs w:val="15"/>
          <w:color w:val="auto"/>
        </w:rPr>
      </w:pPr>
    </w:p>
    <w:p>
      <w:pPr>
        <w:ind w:right="3399" w:firstLine="435"/>
        <w:spacing w:after="0" w:line="238" w:lineRule="auto"/>
        <w:tabs>
          <w:tab w:leader="none" w:pos="79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necessary to reimburse Mr. Schorr for any golden parachute excise tax he incurs under Internal Revenue Code Section 4999.</w:t>
      </w:r>
    </w:p>
    <w:p>
      <w:pPr>
        <w:spacing w:after="0" w:line="175"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If Mr. Nathan is terminated for any reason, we will pay Mr. Nathan his base salary and any accrued but unpaid vacation pay through his termination date.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the exception of Messrs. Schorr, Maddox and Nathan, if we or Wynn</w:t>
      </w:r>
    </w:p>
    <w:p>
      <w:pPr>
        <w:sectPr>
          <w:pgSz w:w="11900" w:h="16893" w:orient="portrait"/>
          <w:cols w:equalWidth="0" w:num="1">
            <w:col w:w="10219"/>
          </w:cols>
          <w:pgMar w:left="240" w:top="141" w:right="1440" w:bottom="0" w:gutter="0" w:footer="0" w:header="0"/>
        </w:sectPr>
      </w:pPr>
    </w:p>
    <w:bookmarkStart w:id="4" w:name="page5"/>
    <w:bookmarkEnd w:id="4"/>
    <w:p>
      <w:pPr>
        <w:ind w:right="3299"/>
        <w:spacing w:after="0"/>
        <w:rPr>
          <w:sz w:val="20"/>
          <w:szCs w:val="20"/>
          <w:color w:val="auto"/>
        </w:rPr>
      </w:pPr>
      <w:r>
        <w:rPr>
          <w:rFonts w:ascii="Courier New" w:cs="Courier New" w:eastAsia="Courier New" w:hAnsi="Courier New"/>
          <w:sz w:val="15"/>
          <w:szCs w:val="15"/>
          <w:color w:val="auto"/>
        </w:rPr>
        <w:t>Resorts terminate any of the other Named Executive Officers employment agreement for "cause," or if executive terminates his employment upon our or Wynn Resorts' material breach of his employment agreement or for "good reason" following a "change of control" (as these terms are defined in his employment contracts), we or Wynn Resorts, as the case may be, will pay the executive a separation payment equal to:</w:t>
      </w:r>
    </w:p>
    <w:p>
      <w:pPr>
        <w:spacing w:after="0" w:line="172" w:lineRule="exact"/>
        <w:rPr>
          <w:sz w:val="20"/>
          <w:szCs w:val="20"/>
          <w:color w:val="auto"/>
        </w:rPr>
      </w:pPr>
    </w:p>
    <w:p>
      <w:pPr>
        <w:ind w:left="1060" w:hanging="537"/>
        <w:spacing w:after="0"/>
        <w:tabs>
          <w:tab w:leader="none" w:pos="106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months of the executive's base salary;</w:t>
      </w:r>
    </w:p>
    <w:p>
      <w:pPr>
        <w:spacing w:after="0" w:line="174" w:lineRule="exact"/>
        <w:rPr>
          <w:rFonts w:ascii="Courier New" w:cs="Courier New" w:eastAsia="Courier New" w:hAnsi="Courier New"/>
          <w:sz w:val="15"/>
          <w:szCs w:val="15"/>
          <w:color w:val="auto"/>
        </w:rPr>
      </w:pPr>
    </w:p>
    <w:p>
      <w:pPr>
        <w:ind w:left="440" w:right="3399" w:hanging="5"/>
        <w:spacing w:after="0" w:line="238" w:lineRule="auto"/>
        <w:tabs>
          <w:tab w:leader="none" w:pos="79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bonus previously paid to the executive in the preceding bonus period;</w:t>
      </w:r>
    </w:p>
    <w:p>
      <w:pPr>
        <w:spacing w:after="0" w:line="174" w:lineRule="exact"/>
        <w:rPr>
          <w:rFonts w:ascii="Courier New" w:cs="Courier New" w:eastAsia="Courier New" w:hAnsi="Courier New"/>
          <w:sz w:val="15"/>
          <w:szCs w:val="15"/>
          <w:color w:val="auto"/>
        </w:rPr>
      </w:pPr>
    </w:p>
    <w:p>
      <w:pPr>
        <w:ind w:left="440" w:right="3839" w:hanging="5"/>
        <w:spacing w:after="0" w:line="238" w:lineRule="auto"/>
        <w:tabs>
          <w:tab w:leader="none" w:pos="79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and any accrued but unpaid vacation pay through the termination date; and</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necessary to reimburse the executive for any golden</w:t>
      </w:r>
    </w:p>
    <w:p>
      <w:pPr>
        <w:spacing w:after="0" w:line="3" w:lineRule="exact"/>
        <w:rPr>
          <w:rFonts w:ascii="Courier New" w:cs="Courier New" w:eastAsia="Courier New" w:hAnsi="Courier New"/>
          <w:sz w:val="15"/>
          <w:szCs w:val="15"/>
          <w:color w:val="auto"/>
        </w:rPr>
      </w:pPr>
    </w:p>
    <w:p>
      <w:pPr>
        <w:ind w:left="440" w:right="36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parachute excise tax the executive incurs under Internal Revenue Code Section 4999 (Mr. Oseland is not entitled to this payment).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Upon employment termination and in addition to the separation payment set forth above, the Named Executive Officers other than Messrs. Nathan, Oseland, and Maddox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Wynn Resorts.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the employment of any of the Named Executive Officers is terminated for any reason, other than as described above, before the expiration of the term (e.g., because of the executive's death, disability, discharge for cause or revocation of gaming license), we or Wynn Resorts, as the case may be, will pay the executive only his base salary and any accrued but unpaid vacation pay through his termination date.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will also provide to Mr. Schorr and his family the right to personal use of our aircraft, and have entered into a time-sharing agreement with him that requires, among other things, that he pay to us his and his family's share of the direct costs that we incur in operating the aircraft, up to an amount determined by using the Internal Revenue Service Standard Industry Fare Level (SIFL) tables.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members of the Compensation Committee of Wynn Resorts' Board of Directors (the "Compensation Committee") are appointed by the Board of Directors each year. The current members of the Compensation Committee, Messrs. Moran, Miller, Wayson and Zax, were appointed on May 2, 2005.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3.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640" w:type="dxa"/>
            <w:vAlign w:val="bottom"/>
          </w:tcPr>
          <w:p>
            <w:pPr>
              <w:ind w:left="1200"/>
              <w:spacing w:after="0"/>
              <w:rPr>
                <w:sz w:val="20"/>
                <w:szCs w:val="20"/>
                <w:color w:val="auto"/>
              </w:rPr>
            </w:pPr>
            <w:r>
              <w:rPr>
                <w:rFonts w:ascii="Courier New" w:cs="Courier New" w:eastAsia="Courier New" w:hAnsi="Courier New"/>
                <w:sz w:val="15"/>
                <w:szCs w:val="15"/>
                <w:color w:val="auto"/>
              </w:rPr>
              <w:t>EXHIBIT INDEX</w:t>
            </w:r>
          </w:p>
        </w:tc>
        <w:tc>
          <w:tcPr>
            <w:tcW w:w="1820" w:type="dxa"/>
            <w:vAlign w:val="bottom"/>
          </w:tcPr>
          <w:p>
            <w:pPr>
              <w:spacing w:after="0"/>
              <w:rPr>
                <w:sz w:val="14"/>
                <w:szCs w:val="14"/>
                <w:color w:val="auto"/>
              </w:rPr>
            </w:pPr>
          </w:p>
        </w:tc>
      </w:tr>
      <w:tr>
        <w:trPr>
          <w:trHeight w:val="512"/>
        </w:trPr>
        <w:tc>
          <w:tcPr>
            <w:tcW w:w="17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Exhibit No.</w:t>
            </w:r>
          </w:p>
        </w:tc>
        <w:tc>
          <w:tcPr>
            <w:tcW w:w="3640" w:type="dxa"/>
            <w:vAlign w:val="bottom"/>
          </w:tcPr>
          <w:p>
            <w:pPr>
              <w:ind w:left="2080"/>
              <w:spacing w:after="0"/>
              <w:rPr>
                <w:sz w:val="20"/>
                <w:szCs w:val="20"/>
                <w:color w:val="auto"/>
              </w:rPr>
            </w:pPr>
            <w:r>
              <w:rPr>
                <w:rFonts w:ascii="Courier New" w:cs="Courier New" w:eastAsia="Courier New" w:hAnsi="Courier New"/>
                <w:sz w:val="15"/>
                <w:szCs w:val="15"/>
                <w:color w:val="auto"/>
              </w:rPr>
              <w:t>Description</w:t>
            </w:r>
          </w:p>
        </w:tc>
        <w:tc>
          <w:tcPr>
            <w:tcW w:w="1820" w:type="dxa"/>
            <w:vAlign w:val="bottom"/>
          </w:tcPr>
          <w:p>
            <w:pPr>
              <w:spacing w:after="0"/>
              <w:rPr>
                <w:sz w:val="24"/>
                <w:szCs w:val="24"/>
                <w:color w:val="auto"/>
              </w:rPr>
            </w:pPr>
          </w:p>
        </w:tc>
      </w:tr>
      <w:tr>
        <w:trPr>
          <w:trHeight w:val="171"/>
        </w:trPr>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46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31.1</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w w:val="99"/>
              </w:rPr>
              <w:t>Certification of Chief Executive Officer</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pursuant to</w:t>
            </w:r>
          </w:p>
        </w:tc>
      </w:tr>
      <w:tr>
        <w:trPr>
          <w:trHeight w:val="171"/>
        </w:trPr>
        <w:tc>
          <w:tcPr>
            <w:tcW w:w="1720" w:type="dxa"/>
            <w:vAlign w:val="bottom"/>
          </w:tcPr>
          <w:p>
            <w:pPr>
              <w:spacing w:after="0"/>
              <w:rPr>
                <w:sz w:val="14"/>
                <w:szCs w:val="14"/>
                <w:color w:val="auto"/>
              </w:rPr>
            </w:pP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w w:val="99"/>
              </w:rPr>
              <w:t>Section 302 of the Sarbanes-Oxley Act of</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512"/>
        </w:trPr>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31.2</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w w:val="99"/>
              </w:rPr>
              <w:t>Certification of Chief Financial Officer</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pursuant to</w:t>
            </w:r>
          </w:p>
        </w:tc>
      </w:tr>
      <w:tr>
        <w:trPr>
          <w:trHeight w:val="171"/>
        </w:trPr>
        <w:tc>
          <w:tcPr>
            <w:tcW w:w="1720" w:type="dxa"/>
            <w:vAlign w:val="bottom"/>
          </w:tcPr>
          <w:p>
            <w:pPr>
              <w:spacing w:after="0"/>
              <w:rPr>
                <w:sz w:val="14"/>
                <w:szCs w:val="14"/>
                <w:color w:val="auto"/>
              </w:rPr>
            </w:pP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w w:val="99"/>
              </w:rPr>
              <w:t>Section 302 of the Sarbanes-Oxley Act of</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bl>
    <w:p>
      <w:pPr>
        <w:sectPr>
          <w:pgSz w:w="11900" w:h="16838" w:orient="portrait"/>
          <w:cols w:equalWidth="0" w:num="1">
            <w:col w:w="10219"/>
          </w:cols>
          <w:pgMar w:left="240" w:top="141"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WYNN LAS VEGAS, LLC</w:t>
      </w:r>
    </w:p>
    <w:p>
      <w:pPr>
        <w:sectPr>
          <w:pgSz w:w="11900" w:h="16838" w:orient="portrait"/>
          <w:cols w:equalWidth="0" w:num="1">
            <w:col w:w="10219"/>
          </w:cols>
          <w:pgMar w:left="240" w:top="799" w:right="1440" w:bottom="1440" w:gutter="0" w:footer="0" w:header="0"/>
        </w:sectPr>
      </w:pP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 RESORTS HOLDINGS, LLC</w:t>
      </w:r>
    </w:p>
    <w:p>
      <w:pPr>
        <w:spacing w:after="0" w:line="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its sole member</w:t>
      </w:r>
    </w:p>
    <w:p>
      <w:pPr>
        <w:spacing w:after="0" w:line="174" w:lineRule="exact"/>
        <w:rPr>
          <w:sz w:val="20"/>
          <w:szCs w:val="20"/>
          <w:color w:val="auto"/>
        </w:rPr>
      </w:pPr>
    </w:p>
    <w:p>
      <w:pPr>
        <w:sectPr>
          <w:pgSz w:w="11900" w:h="16838" w:orient="portrait"/>
          <w:cols w:equalWidth="0" w:num="2">
            <w:col w:w="3180" w:space="180"/>
            <w:col w:w="6859"/>
          </w:cols>
          <w:pgMar w:left="240" w:top="799" w:right="1440" w:bottom="1440" w:gutter="0" w:footer="0" w:header="0"/>
          <w:type w:val="continuous"/>
        </w:sectPr>
      </w:pPr>
    </w:p>
    <w:p>
      <w:pPr>
        <w:ind w:left="2920"/>
        <w:spacing w:after="0"/>
        <w:rPr>
          <w:sz w:val="20"/>
          <w:szCs w:val="20"/>
          <w:color w:val="auto"/>
        </w:rPr>
      </w:pPr>
      <w:r>
        <w:rPr>
          <w:rFonts w:ascii="Courier New" w:cs="Courier New" w:eastAsia="Courier New" w:hAnsi="Courier New"/>
          <w:sz w:val="14"/>
          <w:szCs w:val="14"/>
          <w:color w:val="auto"/>
        </w:rPr>
        <w:t>By: WYNN RESORTS, LIMITED</w:t>
      </w:r>
    </w:p>
    <w:p>
      <w:pPr>
        <w:spacing w:after="0" w:line="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its sole member</w:t>
      </w:r>
    </w:p>
    <w:p>
      <w:pPr>
        <w:sectPr>
          <w:pgSz w:w="11900" w:h="16838" w:orient="portrait"/>
          <w:cols w:equalWidth="0" w:num="1">
            <w:col w:w="10219"/>
          </w:cols>
          <w:pgMar w:left="240" w:top="799" w:right="1440" w:bottom="1440" w:gutter="0" w:footer="0" w:header="0"/>
          <w:type w:val="continuous"/>
        </w:sectPr>
      </w:pPr>
    </w:p>
    <w:p>
      <w:pPr>
        <w:spacing w:after="0" w:line="34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JOHN STRZEMP</w:t>
      </w:r>
    </w:p>
    <w:p>
      <w:pPr>
        <w:spacing w:after="0" w:line="9" w:lineRule="exact"/>
        <w:rPr>
          <w:sz w:val="20"/>
          <w:szCs w:val="20"/>
          <w:color w:val="auto"/>
        </w:rPr>
      </w:pPr>
    </w:p>
    <w:p>
      <w:pPr>
        <w:sectPr>
          <w:pgSz w:w="11900" w:h="16838" w:orient="portrait"/>
          <w:cols w:equalWidth="0" w:num="2">
            <w:col w:w="3100" w:space="520"/>
            <w:col w:w="6599"/>
          </w:cols>
          <w:pgMar w:left="240" w:top="799" w:right="1440" w:bottom="1440" w:gutter="0" w:footer="0" w:header="0"/>
          <w:type w:val="continuous"/>
        </w:sectPr>
      </w:pPr>
    </w:p>
    <w:p>
      <w:pPr>
        <w:spacing w:after="0"/>
        <w:tabs>
          <w:tab w:leader="none" w:pos="3080" w:val="left"/>
        </w:tabs>
        <w:rPr>
          <w:sz w:val="20"/>
          <w:szCs w:val="20"/>
          <w:color w:val="auto"/>
        </w:rPr>
      </w:pPr>
      <w:r>
        <w:rPr>
          <w:rFonts w:ascii="Courier New" w:cs="Courier New" w:eastAsia="Courier New" w:hAnsi="Courier New"/>
          <w:sz w:val="15"/>
          <w:szCs w:val="15"/>
          <w:color w:val="auto"/>
        </w:rPr>
        <w:t>Dated: April 11, 2006</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John Strzemp</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Executive Vice President and Chief Financial</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Officer of Wynn Resorts, Limited</w:t>
      </w:r>
    </w:p>
    <w:p>
      <w:pPr>
        <w:sectPr>
          <w:pgSz w:w="11900" w:h="16838" w:orient="portrait"/>
          <w:cols w:equalWidth="0" w:num="1">
            <w:col w:w="10219"/>
          </w:cols>
          <w:pgMar w:left="240" w:top="799" w:right="1440" w:bottom="1440" w:gutter="0" w:footer="0" w:header="0"/>
          <w:type w:val="continuous"/>
        </w:sectPr>
      </w:pPr>
    </w:p>
    <w:bookmarkStart w:id="6" w:name="page7"/>
    <w:bookmarkEnd w:id="6"/>
    <w:p>
      <w:pPr>
        <w:ind w:left="5769"/>
        <w:spacing w:after="0"/>
        <w:rPr>
          <w:sz w:val="20"/>
          <w:szCs w:val="20"/>
          <w:color w:val="auto"/>
        </w:rPr>
      </w:pPr>
      <w:r>
        <w:rPr>
          <w:rFonts w:ascii="Courier New" w:cs="Courier New" w:eastAsia="Courier New" w:hAnsi="Courier New"/>
          <w:sz w:val="15"/>
          <w:szCs w:val="15"/>
          <w:color w:val="auto"/>
        </w:rPr>
        <w:t>Exhibit 31.1</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Certification of the Chief Executive Officer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Andrew Pascal, certify that:</w:t>
      </w:r>
    </w:p>
    <w:p>
      <w:pPr>
        <w:spacing w:after="0" w:line="174" w:lineRule="exact"/>
        <w:rPr>
          <w:sz w:val="20"/>
          <w:szCs w:val="20"/>
          <w:color w:val="auto"/>
        </w:rPr>
      </w:pPr>
    </w:p>
    <w:p>
      <w:pPr>
        <w:ind w:left="449" w:right="3479" w:hanging="449"/>
        <w:spacing w:after="0" w:line="238"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Amendment No. 1 to Annual Report on Form 10-K/A of Wynn Las Vegas, LLC;</w:t>
      </w:r>
    </w:p>
    <w:p>
      <w:pPr>
        <w:spacing w:after="0" w:line="174"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6" w:lineRule="exact"/>
        <w:rPr>
          <w:rFonts w:ascii="Courier New" w:cs="Courier New" w:eastAsia="Courier New" w:hAnsi="Courier New"/>
          <w:sz w:val="15"/>
          <w:szCs w:val="15"/>
          <w:color w:val="auto"/>
        </w:rPr>
      </w:pPr>
    </w:p>
    <w:p>
      <w:pPr>
        <w:ind w:left="789" w:right="3299" w:hanging="345"/>
        <w:spacing w:after="0"/>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789" w:right="3219" w:hanging="345"/>
        <w:spacing w:after="0" w:line="262" w:lineRule="auto"/>
        <w:tabs>
          <w:tab w:leader="none" w:pos="789"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Courier New" w:cs="Courier New" w:eastAsia="Courier New" w:hAnsi="Courier New"/>
          <w:sz w:val="14"/>
          <w:szCs w:val="14"/>
          <w:color w:val="auto"/>
        </w:rPr>
      </w:pPr>
    </w:p>
    <w:p>
      <w:pPr>
        <w:ind w:left="789" w:right="3219" w:hanging="345"/>
        <w:spacing w:after="0"/>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April 11, 2006</w:t>
      </w:r>
    </w:p>
    <w:p>
      <w:pPr>
        <w:spacing w:after="0" w:line="200" w:lineRule="exact"/>
        <w:rPr>
          <w:sz w:val="20"/>
          <w:szCs w:val="20"/>
          <w:color w:val="auto"/>
        </w:rPr>
      </w:pPr>
    </w:p>
    <w:p>
      <w:pPr>
        <w:spacing w:after="0" w:line="313" w:lineRule="exact"/>
        <w:rPr>
          <w:sz w:val="20"/>
          <w:szCs w:val="20"/>
          <w:color w:val="auto"/>
        </w:rPr>
      </w:pPr>
    </w:p>
    <w:p>
      <w:pPr>
        <w:ind w:left="3469"/>
        <w:spacing w:after="0"/>
        <w:tabs>
          <w:tab w:leader="none" w:pos="406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ANDREW PASCAL</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Andrew Pascal</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Chief Operating Officer and President</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(Principal Executive Officer)</w:t>
      </w:r>
    </w:p>
    <w:p>
      <w:pPr>
        <w:sectPr>
          <w:pgSz w:w="11900" w:h="16838" w:orient="portrait"/>
          <w:cols w:equalWidth="0" w:num="1">
            <w:col w:w="10228"/>
          </w:cols>
          <w:pgMar w:left="231" w:top="799" w:right="1440" w:bottom="1440" w:gutter="0" w:footer="0" w:header="0"/>
        </w:sectPr>
      </w:pPr>
    </w:p>
    <w:bookmarkStart w:id="7" w:name="page8"/>
    <w:bookmarkEnd w:id="7"/>
    <w:p>
      <w:pPr>
        <w:ind w:left="5769"/>
        <w:spacing w:after="0"/>
        <w:rPr>
          <w:sz w:val="20"/>
          <w:szCs w:val="20"/>
          <w:color w:val="auto"/>
        </w:rPr>
      </w:pPr>
      <w:r>
        <w:rPr>
          <w:rFonts w:ascii="Courier New" w:cs="Courier New" w:eastAsia="Courier New" w:hAnsi="Courier New"/>
          <w:sz w:val="15"/>
          <w:szCs w:val="15"/>
          <w:color w:val="auto"/>
        </w:rPr>
        <w:t>Exhibit 31.2</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Certification of the Chief Financial Officer</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Pursuant to Section 302 of the Sarbanes-Oxley Act of 2002</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 David Sisk, certify that:</w:t>
      </w:r>
    </w:p>
    <w:p>
      <w:pPr>
        <w:spacing w:after="0" w:line="174" w:lineRule="exact"/>
        <w:rPr>
          <w:sz w:val="20"/>
          <w:szCs w:val="20"/>
          <w:color w:val="auto"/>
        </w:rPr>
      </w:pPr>
    </w:p>
    <w:p>
      <w:pPr>
        <w:ind w:left="449" w:right="34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Amendment No. 1 to Annual Report on Form 10-K/A of Wynn Las Vegas, LLC;</w:t>
      </w:r>
    </w:p>
    <w:p>
      <w:pPr>
        <w:spacing w:after="0" w:line="174"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6" w:lineRule="exact"/>
        <w:rPr>
          <w:rFonts w:ascii="Courier New" w:cs="Courier New" w:eastAsia="Courier New" w:hAnsi="Courier New"/>
          <w:sz w:val="15"/>
          <w:szCs w:val="15"/>
          <w:color w:val="auto"/>
        </w:rPr>
      </w:pPr>
    </w:p>
    <w:p>
      <w:pPr>
        <w:ind w:left="789" w:right="3299" w:hanging="345"/>
        <w:spacing w:after="0"/>
        <w:tabs>
          <w:tab w:leader="none" w:pos="78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789" w:right="3219" w:hanging="345"/>
        <w:spacing w:after="0" w:line="262" w:lineRule="auto"/>
        <w:tabs>
          <w:tab w:leader="none" w:pos="78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Courier New" w:cs="Courier New" w:eastAsia="Courier New" w:hAnsi="Courier New"/>
          <w:sz w:val="14"/>
          <w:szCs w:val="14"/>
          <w:color w:val="auto"/>
        </w:rPr>
      </w:pPr>
    </w:p>
    <w:p>
      <w:pPr>
        <w:ind w:left="789" w:right="3219" w:hanging="345"/>
        <w:spacing w:after="0"/>
        <w:tabs>
          <w:tab w:leader="none" w:pos="78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Date: April 11, 2006</w:t>
      </w:r>
    </w:p>
    <w:p>
      <w:pPr>
        <w:spacing w:after="0" w:line="342" w:lineRule="exact"/>
        <w:rPr>
          <w:sz w:val="20"/>
          <w:szCs w:val="20"/>
          <w:color w:val="auto"/>
        </w:rPr>
      </w:pPr>
    </w:p>
    <w:p>
      <w:pPr>
        <w:ind w:left="3549"/>
        <w:spacing w:after="0"/>
        <w:tabs>
          <w:tab w:leader="none" w:pos="4149"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DAVID SISK</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David Sisk</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Chief Financial Officer and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Senior Vice President</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(Principal Financial Officer and</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Principal Accounting Officer)</w:t>
      </w:r>
    </w:p>
    <w:sectPr>
      <w:pgSz w:w="11900" w:h="16838" w:orient="portrait"/>
      <w:cols w:equalWidth="0" w:num="1">
        <w:col w:w="10228"/>
      </w:cols>
      <w:pgMar w:left="231"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lvl w:ilvl="1">
      <w:lvlJc w:val="left"/>
      <w:lvlText w:val="(%2)"/>
      <w:numFmt w:val="lowerLetter"/>
      <w:start w:val="1"/>
    </w:lvl>
  </w:abstractNum>
  <w:abstractNum w:abstractNumId="6">
    <w:nsid w:val="7545E146"/>
    <w:multiLevelType w:val="hybridMultilevel"/>
    <w:lvl w:ilvl="0">
      <w:lvlJc w:val="left"/>
      <w:lvlText w:val="(%1)"/>
      <w:numFmt w:val="lowerLetter"/>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2019-12-15T06:10:52Z</dcterms:created>
  <dcterms:modified xsi:type="dcterms:W3CDTF">2019-12-15T06:10:52Z</dcterms:modified>
</cp:coreProperties>
</file>