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jc w:val="center"/>
        <w:ind w:right="-1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26" w:lineRule="auto"/>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8"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186" w:lineRule="exact"/>
        <w:rPr>
          <w:sz w:val="24"/>
          <w:szCs w:val="24"/>
          <w:color w:val="auto"/>
        </w:rPr>
      </w:pPr>
    </w:p>
    <w:p>
      <w:pPr>
        <w:ind w:left="3240"/>
        <w:spacing w:after="0"/>
        <w:rPr>
          <w:sz w:val="20"/>
          <w:szCs w:val="20"/>
          <w:color w:val="auto"/>
        </w:rPr>
      </w:pPr>
      <w:r>
        <w:rPr>
          <w:rFonts w:ascii="Arial" w:cs="Arial" w:eastAsia="Arial" w:hAnsi="Arial"/>
          <w:sz w:val="20"/>
          <w:szCs w:val="20"/>
          <w:color w:val="auto"/>
        </w:rPr>
        <w:t>Date of Report (Date of earliest event reported): July 24, 2008</w:t>
      </w:r>
    </w:p>
    <w:p>
      <w:pPr>
        <w:spacing w:after="0" w:line="196"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199" w:lineRule="exact"/>
        <w:rPr>
          <w:sz w:val="24"/>
          <w:szCs w:val="24"/>
          <w:color w:val="auto"/>
        </w:rPr>
      </w:pPr>
    </w:p>
    <w:tbl>
      <w:tblPr>
        <w:tblLayout w:type="fixed"/>
        <w:tblInd w:w="80" w:type="dxa"/>
        <w:tblCellMar>
          <w:top w:w="0" w:type="dxa"/>
          <w:left w:w="0" w:type="dxa"/>
          <w:bottom w:w="0" w:type="dxa"/>
          <w:right w:w="0" w:type="dxa"/>
        </w:tblCellMar>
      </w:tblPr>
      <w:tr>
        <w:trPr>
          <w:trHeight w:val="230"/>
        </w:trPr>
        <w:tc>
          <w:tcPr>
            <w:tcW w:w="3420" w:type="dxa"/>
            <w:vAlign w:val="bottom"/>
          </w:tcPr>
          <w:p>
            <w:pPr>
              <w:jc w:val="center"/>
              <w:ind w:right="41"/>
              <w:spacing w:after="0"/>
              <w:rPr>
                <w:sz w:val="20"/>
                <w:szCs w:val="20"/>
                <w:color w:val="auto"/>
              </w:rPr>
            </w:pPr>
            <w:r>
              <w:rPr>
                <w:rFonts w:ascii="Arial" w:cs="Arial" w:eastAsia="Arial" w:hAnsi="Arial"/>
                <w:sz w:val="20"/>
                <w:szCs w:val="20"/>
                <w:b w:val="1"/>
                <w:bCs w:val="1"/>
                <w:color w:val="auto"/>
                <w:w w:val="89"/>
              </w:rPr>
              <w:t>Nevada</w:t>
            </w:r>
          </w:p>
        </w:tc>
        <w:tc>
          <w:tcPr>
            <w:tcW w:w="4360" w:type="dxa"/>
            <w:vAlign w:val="bottom"/>
          </w:tcPr>
          <w:p>
            <w:pPr>
              <w:ind w:left="1420"/>
              <w:spacing w:after="0"/>
              <w:rPr>
                <w:sz w:val="20"/>
                <w:szCs w:val="20"/>
                <w:color w:val="auto"/>
              </w:rPr>
            </w:pPr>
            <w:r>
              <w:rPr>
                <w:rFonts w:ascii="Arial" w:cs="Arial" w:eastAsia="Arial" w:hAnsi="Arial"/>
                <w:sz w:val="20"/>
                <w:szCs w:val="20"/>
                <w:b w:val="1"/>
                <w:bCs w:val="1"/>
                <w:color w:val="auto"/>
              </w:rPr>
              <w:t>000-50028</w:t>
            </w:r>
          </w:p>
        </w:tc>
        <w:tc>
          <w:tcPr>
            <w:tcW w:w="2940" w:type="dxa"/>
            <w:vAlign w:val="bottom"/>
          </w:tcPr>
          <w:p>
            <w:pPr>
              <w:jc w:val="center"/>
              <w:spacing w:after="0"/>
              <w:rPr>
                <w:sz w:val="20"/>
                <w:szCs w:val="20"/>
                <w:color w:val="auto"/>
              </w:rPr>
            </w:pPr>
            <w:r>
              <w:rPr>
                <w:rFonts w:ascii="Arial" w:cs="Arial" w:eastAsia="Arial" w:hAnsi="Arial"/>
                <w:sz w:val="20"/>
                <w:szCs w:val="20"/>
                <w:b w:val="1"/>
                <w:bCs w:val="1"/>
                <w:color w:val="auto"/>
                <w:w w:val="89"/>
              </w:rPr>
              <w:t>46-0484987</w:t>
            </w:r>
          </w:p>
        </w:tc>
      </w:tr>
      <w:tr>
        <w:trPr>
          <w:trHeight w:val="216"/>
        </w:trPr>
        <w:tc>
          <w:tcPr>
            <w:tcW w:w="3420" w:type="dxa"/>
            <w:vAlign w:val="bottom"/>
          </w:tcPr>
          <w:p>
            <w:pPr>
              <w:jc w:val="center"/>
              <w:ind w:right="61"/>
              <w:spacing w:after="0" w:line="216" w:lineRule="exact"/>
              <w:rPr>
                <w:sz w:val="20"/>
                <w:szCs w:val="20"/>
                <w:color w:val="auto"/>
              </w:rPr>
            </w:pPr>
            <w:r>
              <w:rPr>
                <w:rFonts w:ascii="Arial" w:cs="Arial" w:eastAsia="Arial" w:hAnsi="Arial"/>
                <w:sz w:val="20"/>
                <w:szCs w:val="20"/>
                <w:color w:val="auto"/>
                <w:w w:val="91"/>
              </w:rPr>
              <w:t>(State or other jurisdiction of</w:t>
            </w:r>
          </w:p>
        </w:tc>
        <w:tc>
          <w:tcPr>
            <w:tcW w:w="4360" w:type="dxa"/>
            <w:vAlign w:val="bottom"/>
          </w:tcPr>
          <w:p>
            <w:pPr>
              <w:ind w:left="760"/>
              <w:spacing w:after="0" w:line="216" w:lineRule="exact"/>
              <w:rPr>
                <w:sz w:val="20"/>
                <w:szCs w:val="20"/>
                <w:color w:val="auto"/>
              </w:rPr>
            </w:pPr>
            <w:r>
              <w:rPr>
                <w:rFonts w:ascii="Arial" w:cs="Arial" w:eastAsia="Arial" w:hAnsi="Arial"/>
                <w:sz w:val="20"/>
                <w:szCs w:val="20"/>
                <w:color w:val="auto"/>
              </w:rPr>
              <w:t>(Commission File Number)</w:t>
            </w:r>
          </w:p>
        </w:tc>
        <w:tc>
          <w:tcPr>
            <w:tcW w:w="2940" w:type="dxa"/>
            <w:vAlign w:val="bottom"/>
          </w:tcPr>
          <w:p>
            <w:pPr>
              <w:jc w:val="center"/>
              <w:spacing w:after="0" w:line="216"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3420" w:type="dxa"/>
            <w:vAlign w:val="bottom"/>
          </w:tcPr>
          <w:p>
            <w:pPr>
              <w:jc w:val="center"/>
              <w:ind w:right="41"/>
              <w:spacing w:after="0"/>
              <w:rPr>
                <w:sz w:val="20"/>
                <w:szCs w:val="20"/>
                <w:color w:val="auto"/>
              </w:rPr>
            </w:pPr>
            <w:r>
              <w:rPr>
                <w:rFonts w:ascii="Arial" w:cs="Arial" w:eastAsia="Arial" w:hAnsi="Arial"/>
                <w:sz w:val="20"/>
                <w:szCs w:val="20"/>
                <w:color w:val="auto"/>
                <w:w w:val="91"/>
              </w:rPr>
              <w:t>incorporation)</w:t>
            </w:r>
          </w:p>
        </w:tc>
        <w:tc>
          <w:tcPr>
            <w:tcW w:w="436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425"/>
        </w:trPr>
        <w:tc>
          <w:tcPr>
            <w:tcW w:w="342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20"/>
                <w:szCs w:val="20"/>
                <w:b w:val="1"/>
                <w:bCs w:val="1"/>
                <w:color w:val="auto"/>
                <w:w w:val="99"/>
              </w:rPr>
              <w:t>WYNN LAS VEGAS, LLC</w:t>
            </w:r>
          </w:p>
        </w:tc>
        <w:tc>
          <w:tcPr>
            <w:tcW w:w="2940" w:type="dxa"/>
            <w:vAlign w:val="bottom"/>
          </w:tcPr>
          <w:p>
            <w:pPr>
              <w:spacing w:after="0"/>
              <w:rPr>
                <w:sz w:val="24"/>
                <w:szCs w:val="24"/>
                <w:color w:val="auto"/>
              </w:rPr>
            </w:pPr>
          </w:p>
        </w:tc>
      </w:tr>
      <w:tr>
        <w:trPr>
          <w:trHeight w:val="250"/>
        </w:trPr>
        <w:tc>
          <w:tcPr>
            <w:tcW w:w="3420" w:type="dxa"/>
            <w:vAlign w:val="bottom"/>
          </w:tcPr>
          <w:p>
            <w:pPr>
              <w:spacing w:after="0"/>
              <w:rPr>
                <w:sz w:val="21"/>
                <w:szCs w:val="21"/>
                <w:color w:val="auto"/>
              </w:rPr>
            </w:pPr>
          </w:p>
        </w:tc>
        <w:tc>
          <w:tcPr>
            <w:tcW w:w="4360" w:type="dxa"/>
            <w:vAlign w:val="bottom"/>
          </w:tcPr>
          <w:p>
            <w:pPr>
              <w:jc w:val="center"/>
              <w:spacing w:after="0"/>
              <w:rPr>
                <w:sz w:val="20"/>
                <w:szCs w:val="20"/>
                <w:color w:val="auto"/>
              </w:rPr>
            </w:pPr>
            <w:r>
              <w:rPr>
                <w:rFonts w:ascii="Arial" w:cs="Arial" w:eastAsia="Arial" w:hAnsi="Arial"/>
                <w:sz w:val="20"/>
                <w:szCs w:val="20"/>
                <w:color w:val="auto"/>
                <w:w w:val="89"/>
              </w:rPr>
              <w:t>(Exact name of registrant as specified in its charter)</w:t>
            </w:r>
          </w:p>
        </w:tc>
        <w:tc>
          <w:tcPr>
            <w:tcW w:w="2940" w:type="dxa"/>
            <w:vAlign w:val="bottom"/>
          </w:tcPr>
          <w:p>
            <w:pPr>
              <w:spacing w:after="0"/>
              <w:rPr>
                <w:sz w:val="21"/>
                <w:szCs w:val="21"/>
                <w:color w:val="auto"/>
              </w:rPr>
            </w:pPr>
          </w:p>
        </w:tc>
      </w:tr>
      <w:tr>
        <w:trPr>
          <w:trHeight w:val="425"/>
        </w:trPr>
        <w:tc>
          <w:tcPr>
            <w:tcW w:w="3420" w:type="dxa"/>
            <w:vAlign w:val="bottom"/>
          </w:tcPr>
          <w:p>
            <w:pPr>
              <w:jc w:val="center"/>
              <w:ind w:right="41"/>
              <w:spacing w:after="0"/>
              <w:rPr>
                <w:sz w:val="20"/>
                <w:szCs w:val="20"/>
                <w:color w:val="auto"/>
              </w:rPr>
            </w:pPr>
            <w:r>
              <w:rPr>
                <w:rFonts w:ascii="Arial" w:cs="Arial" w:eastAsia="Arial" w:hAnsi="Arial"/>
                <w:sz w:val="20"/>
                <w:szCs w:val="20"/>
                <w:b w:val="1"/>
                <w:bCs w:val="1"/>
                <w:color w:val="auto"/>
                <w:w w:val="89"/>
              </w:rPr>
              <w:t>Nevada</w:t>
            </w:r>
          </w:p>
        </w:tc>
        <w:tc>
          <w:tcPr>
            <w:tcW w:w="4360" w:type="dxa"/>
            <w:vAlign w:val="bottom"/>
          </w:tcPr>
          <w:p>
            <w:pPr>
              <w:ind w:left="1400"/>
              <w:spacing w:after="0"/>
              <w:rPr>
                <w:sz w:val="20"/>
                <w:szCs w:val="20"/>
                <w:color w:val="auto"/>
              </w:rPr>
            </w:pPr>
            <w:r>
              <w:rPr>
                <w:rFonts w:ascii="Arial" w:cs="Arial" w:eastAsia="Arial" w:hAnsi="Arial"/>
                <w:sz w:val="20"/>
                <w:szCs w:val="20"/>
                <w:b w:val="1"/>
                <w:bCs w:val="1"/>
                <w:color w:val="auto"/>
              </w:rPr>
              <w:t>333-100768</w:t>
            </w:r>
          </w:p>
        </w:tc>
        <w:tc>
          <w:tcPr>
            <w:tcW w:w="2940" w:type="dxa"/>
            <w:vAlign w:val="bottom"/>
          </w:tcPr>
          <w:p>
            <w:pPr>
              <w:jc w:val="right"/>
              <w:ind w:right="861"/>
              <w:spacing w:after="0"/>
              <w:rPr>
                <w:sz w:val="20"/>
                <w:szCs w:val="20"/>
                <w:color w:val="auto"/>
              </w:rPr>
            </w:pPr>
            <w:r>
              <w:rPr>
                <w:rFonts w:ascii="Arial" w:cs="Arial" w:eastAsia="Arial" w:hAnsi="Arial"/>
                <w:sz w:val="20"/>
                <w:szCs w:val="20"/>
                <w:b w:val="1"/>
                <w:bCs w:val="1"/>
                <w:color w:val="auto"/>
              </w:rPr>
              <w:t>88-0494875</w:t>
            </w:r>
          </w:p>
        </w:tc>
      </w:tr>
      <w:tr>
        <w:trPr>
          <w:trHeight w:val="216"/>
        </w:trPr>
        <w:tc>
          <w:tcPr>
            <w:tcW w:w="3420" w:type="dxa"/>
            <w:vAlign w:val="bottom"/>
          </w:tcPr>
          <w:p>
            <w:pPr>
              <w:jc w:val="center"/>
              <w:ind w:right="21"/>
              <w:spacing w:after="0" w:line="216" w:lineRule="exact"/>
              <w:rPr>
                <w:sz w:val="20"/>
                <w:szCs w:val="20"/>
                <w:color w:val="auto"/>
              </w:rPr>
            </w:pPr>
            <w:r>
              <w:rPr>
                <w:rFonts w:ascii="Arial" w:cs="Arial" w:eastAsia="Arial" w:hAnsi="Arial"/>
                <w:sz w:val="20"/>
                <w:szCs w:val="20"/>
                <w:color w:val="auto"/>
                <w:w w:val="91"/>
              </w:rPr>
              <w:t>(State or other jurisdiction of</w:t>
            </w:r>
          </w:p>
        </w:tc>
        <w:tc>
          <w:tcPr>
            <w:tcW w:w="4360" w:type="dxa"/>
            <w:vAlign w:val="bottom"/>
          </w:tcPr>
          <w:p>
            <w:pPr>
              <w:ind w:left="780"/>
              <w:spacing w:after="0" w:line="216" w:lineRule="exact"/>
              <w:rPr>
                <w:sz w:val="20"/>
                <w:szCs w:val="20"/>
                <w:color w:val="auto"/>
              </w:rPr>
            </w:pPr>
            <w:r>
              <w:rPr>
                <w:rFonts w:ascii="Arial" w:cs="Arial" w:eastAsia="Arial" w:hAnsi="Arial"/>
                <w:sz w:val="20"/>
                <w:szCs w:val="20"/>
                <w:color w:val="auto"/>
              </w:rPr>
              <w:t>(Commission File Number)</w:t>
            </w:r>
          </w:p>
        </w:tc>
        <w:tc>
          <w:tcPr>
            <w:tcW w:w="2940" w:type="dxa"/>
            <w:vAlign w:val="bottom"/>
          </w:tcPr>
          <w:p>
            <w:pPr>
              <w:jc w:val="center"/>
              <w:spacing w:after="0" w:line="216"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3420" w:type="dxa"/>
            <w:vAlign w:val="bottom"/>
          </w:tcPr>
          <w:p>
            <w:pPr>
              <w:jc w:val="center"/>
              <w:ind w:right="41"/>
              <w:spacing w:after="0"/>
              <w:rPr>
                <w:sz w:val="20"/>
                <w:szCs w:val="20"/>
                <w:color w:val="auto"/>
              </w:rPr>
            </w:pPr>
            <w:r>
              <w:rPr>
                <w:rFonts w:ascii="Arial" w:cs="Arial" w:eastAsia="Arial" w:hAnsi="Arial"/>
                <w:sz w:val="20"/>
                <w:szCs w:val="20"/>
                <w:color w:val="auto"/>
                <w:w w:val="91"/>
              </w:rPr>
              <w:t>incorporation)</w:t>
            </w:r>
          </w:p>
        </w:tc>
        <w:tc>
          <w:tcPr>
            <w:tcW w:w="436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419"/>
        </w:trPr>
        <w:tc>
          <w:tcPr>
            <w:tcW w:w="3420" w:type="dxa"/>
            <w:vAlign w:val="bottom"/>
          </w:tcPr>
          <w:p>
            <w:pPr>
              <w:jc w:val="center"/>
              <w:ind w:right="41"/>
              <w:spacing w:after="0"/>
              <w:rPr>
                <w:sz w:val="20"/>
                <w:szCs w:val="20"/>
                <w:color w:val="auto"/>
              </w:rPr>
            </w:pPr>
            <w:r>
              <w:rPr>
                <w:rFonts w:ascii="Arial" w:cs="Arial" w:eastAsia="Arial" w:hAnsi="Arial"/>
                <w:sz w:val="20"/>
                <w:szCs w:val="20"/>
                <w:b w:val="1"/>
                <w:bCs w:val="1"/>
                <w:color w:val="auto"/>
                <w:w w:val="87"/>
              </w:rPr>
              <w:t>3131 Las Vegas Boulevard South</w:t>
            </w:r>
          </w:p>
        </w:tc>
        <w:tc>
          <w:tcPr>
            <w:tcW w:w="43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2"/>
        </w:trPr>
        <w:tc>
          <w:tcPr>
            <w:tcW w:w="3420" w:type="dxa"/>
            <w:vAlign w:val="bottom"/>
          </w:tcPr>
          <w:p>
            <w:pPr>
              <w:jc w:val="center"/>
              <w:ind w:right="21"/>
              <w:spacing w:after="0" w:line="222" w:lineRule="exact"/>
              <w:rPr>
                <w:sz w:val="20"/>
                <w:szCs w:val="20"/>
                <w:color w:val="auto"/>
              </w:rPr>
            </w:pPr>
            <w:r>
              <w:rPr>
                <w:rFonts w:ascii="Arial" w:cs="Arial" w:eastAsia="Arial" w:hAnsi="Arial"/>
                <w:sz w:val="20"/>
                <w:szCs w:val="20"/>
                <w:b w:val="1"/>
                <w:bCs w:val="1"/>
                <w:color w:val="auto"/>
                <w:w w:val="87"/>
              </w:rPr>
              <w:t>Las Vegas, Nevada</w:t>
            </w:r>
          </w:p>
        </w:tc>
        <w:tc>
          <w:tcPr>
            <w:tcW w:w="4360" w:type="dxa"/>
            <w:vAlign w:val="bottom"/>
          </w:tcPr>
          <w:p>
            <w:pPr>
              <w:spacing w:after="0"/>
              <w:rPr>
                <w:sz w:val="19"/>
                <w:szCs w:val="19"/>
                <w:color w:val="auto"/>
              </w:rPr>
            </w:pPr>
          </w:p>
        </w:tc>
        <w:tc>
          <w:tcPr>
            <w:tcW w:w="2940" w:type="dxa"/>
            <w:vAlign w:val="bottom"/>
          </w:tcPr>
          <w:p>
            <w:pPr>
              <w:jc w:val="right"/>
              <w:ind w:right="1081"/>
              <w:spacing w:after="0" w:line="222" w:lineRule="exact"/>
              <w:rPr>
                <w:sz w:val="20"/>
                <w:szCs w:val="20"/>
                <w:color w:val="auto"/>
              </w:rPr>
            </w:pPr>
            <w:r>
              <w:rPr>
                <w:rFonts w:ascii="Arial" w:cs="Arial" w:eastAsia="Arial" w:hAnsi="Arial"/>
                <w:sz w:val="20"/>
                <w:szCs w:val="20"/>
                <w:b w:val="1"/>
                <w:bCs w:val="1"/>
                <w:color w:val="auto"/>
              </w:rPr>
              <w:t>89109</w:t>
            </w:r>
          </w:p>
        </w:tc>
      </w:tr>
      <w:tr>
        <w:trPr>
          <w:trHeight w:val="216"/>
        </w:trPr>
        <w:tc>
          <w:tcPr>
            <w:tcW w:w="3420" w:type="dxa"/>
            <w:vAlign w:val="bottom"/>
          </w:tcPr>
          <w:p>
            <w:pPr>
              <w:jc w:val="center"/>
              <w:ind w:right="41"/>
              <w:spacing w:after="0" w:line="216" w:lineRule="exact"/>
              <w:rPr>
                <w:sz w:val="20"/>
                <w:szCs w:val="20"/>
                <w:color w:val="auto"/>
              </w:rPr>
            </w:pPr>
            <w:r>
              <w:rPr>
                <w:rFonts w:ascii="Arial" w:cs="Arial" w:eastAsia="Arial" w:hAnsi="Arial"/>
                <w:sz w:val="20"/>
                <w:szCs w:val="20"/>
                <w:color w:val="auto"/>
                <w:w w:val="91"/>
              </w:rPr>
              <w:t>(Address of principal executive offices of</w:t>
            </w:r>
          </w:p>
        </w:tc>
        <w:tc>
          <w:tcPr>
            <w:tcW w:w="4360" w:type="dxa"/>
            <w:vAlign w:val="bottom"/>
          </w:tcPr>
          <w:p>
            <w:pPr>
              <w:spacing w:after="0"/>
              <w:rPr>
                <w:sz w:val="18"/>
                <w:szCs w:val="18"/>
                <w:color w:val="auto"/>
              </w:rPr>
            </w:pPr>
          </w:p>
        </w:tc>
        <w:tc>
          <w:tcPr>
            <w:tcW w:w="2940" w:type="dxa"/>
            <w:vAlign w:val="bottom"/>
          </w:tcPr>
          <w:p>
            <w:pPr>
              <w:jc w:val="center"/>
              <w:spacing w:after="0" w:line="216" w:lineRule="exact"/>
              <w:rPr>
                <w:sz w:val="20"/>
                <w:szCs w:val="20"/>
                <w:color w:val="auto"/>
              </w:rPr>
            </w:pPr>
            <w:r>
              <w:rPr>
                <w:rFonts w:ascii="Arial" w:cs="Arial" w:eastAsia="Arial" w:hAnsi="Arial"/>
                <w:sz w:val="20"/>
                <w:szCs w:val="20"/>
                <w:color w:val="auto"/>
                <w:w w:val="90"/>
              </w:rPr>
              <w:t>(Zip Code)</w:t>
            </w:r>
          </w:p>
        </w:tc>
      </w:tr>
      <w:tr>
        <w:trPr>
          <w:trHeight w:val="250"/>
        </w:trPr>
        <w:tc>
          <w:tcPr>
            <w:tcW w:w="3420" w:type="dxa"/>
            <w:vAlign w:val="bottom"/>
          </w:tcPr>
          <w:p>
            <w:pPr>
              <w:jc w:val="center"/>
              <w:ind w:right="21"/>
              <w:spacing w:after="0"/>
              <w:rPr>
                <w:sz w:val="20"/>
                <w:szCs w:val="20"/>
                <w:color w:val="auto"/>
              </w:rPr>
            </w:pPr>
            <w:r>
              <w:rPr>
                <w:rFonts w:ascii="Arial" w:cs="Arial" w:eastAsia="Arial" w:hAnsi="Arial"/>
                <w:sz w:val="20"/>
                <w:szCs w:val="20"/>
                <w:color w:val="auto"/>
                <w:w w:val="87"/>
              </w:rPr>
              <w:t>each registrant)</w:t>
            </w:r>
          </w:p>
        </w:tc>
        <w:tc>
          <w:tcPr>
            <w:tcW w:w="436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425"/>
        </w:trPr>
        <w:tc>
          <w:tcPr>
            <w:tcW w:w="342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20"/>
                <w:szCs w:val="20"/>
                <w:b w:val="1"/>
                <w:bCs w:val="1"/>
                <w:color w:val="auto"/>
                <w:w w:val="90"/>
              </w:rPr>
              <w:t>(702) 770-7555</w:t>
            </w:r>
          </w:p>
        </w:tc>
        <w:tc>
          <w:tcPr>
            <w:tcW w:w="2940" w:type="dxa"/>
            <w:vAlign w:val="bottom"/>
          </w:tcPr>
          <w:p>
            <w:pPr>
              <w:spacing w:after="0"/>
              <w:rPr>
                <w:sz w:val="24"/>
                <w:szCs w:val="24"/>
                <w:color w:val="auto"/>
              </w:rPr>
            </w:pPr>
          </w:p>
        </w:tc>
      </w:tr>
      <w:tr>
        <w:trPr>
          <w:trHeight w:val="250"/>
        </w:trPr>
        <w:tc>
          <w:tcPr>
            <w:tcW w:w="3420" w:type="dxa"/>
            <w:vAlign w:val="bottom"/>
          </w:tcPr>
          <w:p>
            <w:pPr>
              <w:spacing w:after="0"/>
              <w:rPr>
                <w:sz w:val="21"/>
                <w:szCs w:val="21"/>
                <w:color w:val="auto"/>
              </w:rPr>
            </w:pPr>
          </w:p>
        </w:tc>
        <w:tc>
          <w:tcPr>
            <w:tcW w:w="4360" w:type="dxa"/>
            <w:vAlign w:val="bottom"/>
          </w:tcPr>
          <w:p>
            <w:pPr>
              <w:jc w:val="center"/>
              <w:spacing w:after="0"/>
              <w:rPr>
                <w:sz w:val="20"/>
                <w:szCs w:val="20"/>
                <w:color w:val="auto"/>
              </w:rPr>
            </w:pPr>
            <w:r>
              <w:rPr>
                <w:rFonts w:ascii="Arial" w:cs="Arial" w:eastAsia="Arial" w:hAnsi="Arial"/>
                <w:sz w:val="20"/>
                <w:szCs w:val="20"/>
                <w:color w:val="auto"/>
                <w:w w:val="88"/>
              </w:rPr>
              <w:t>(Registrant’s telephone number, including area code)</w:t>
            </w:r>
          </w:p>
        </w:tc>
        <w:tc>
          <w:tcPr>
            <w:tcW w:w="2940" w:type="dxa"/>
            <w:vAlign w:val="bottom"/>
          </w:tcPr>
          <w:p>
            <w:pPr>
              <w:spacing w:after="0"/>
              <w:rPr>
                <w:sz w:val="21"/>
                <w:szCs w:val="21"/>
                <w:color w:val="auto"/>
              </w:rPr>
            </w:pPr>
          </w:p>
        </w:tc>
      </w:tr>
    </w:tbl>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86"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177" w:lineRule="exact"/>
        <w:rPr>
          <w:sz w:val="24"/>
          <w:szCs w:val="24"/>
          <w:color w:val="auto"/>
        </w:rPr>
      </w:pPr>
    </w:p>
    <w:p>
      <w:pPr>
        <w:ind w:left="360"/>
        <w:spacing w:after="0"/>
        <w:rPr>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02" w:lineRule="exact"/>
        <w:rPr>
          <w:sz w:val="24"/>
          <w:szCs w:val="24"/>
          <w:color w:val="auto"/>
        </w:rPr>
      </w:pPr>
    </w:p>
    <w:p>
      <w:pPr>
        <w:ind w:left="360"/>
        <w:spacing w:after="0"/>
        <w:rPr>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02" w:lineRule="exact"/>
        <w:rPr>
          <w:sz w:val="24"/>
          <w:szCs w:val="24"/>
          <w:color w:val="auto"/>
        </w:rPr>
      </w:pPr>
    </w:p>
    <w:p>
      <w:pPr>
        <w:ind w:left="360"/>
        <w:spacing w:after="0"/>
        <w:rPr>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02" w:lineRule="exact"/>
        <w:rPr>
          <w:sz w:val="24"/>
          <w:szCs w:val="24"/>
          <w:color w:val="auto"/>
        </w:rPr>
      </w:pPr>
    </w:p>
    <w:p>
      <w:pPr>
        <w:ind w:left="360"/>
        <w:spacing w:after="0"/>
        <w:rPr>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531495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ind w:firstLine="720"/>
        <w:spacing w:after="0" w:line="236" w:lineRule="auto"/>
        <w:rPr>
          <w:sz w:val="20"/>
          <w:szCs w:val="20"/>
          <w:color w:val="auto"/>
        </w:rPr>
      </w:pPr>
      <w:r>
        <w:rPr>
          <w:rFonts w:ascii="Arial" w:cs="Arial" w:eastAsia="Arial" w:hAnsi="Arial"/>
          <w:sz w:val="22"/>
          <w:szCs w:val="22"/>
          <w:color w:val="auto"/>
        </w:rPr>
        <w:t>On July 24, 2008, Wynn Resorts, Limited issued a press release announcing its results of operations for the second quarter of 2008.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1000" w:hanging="560"/>
        <w:spacing w:after="0"/>
        <w:tabs>
          <w:tab w:leader="none" w:pos="100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920"/>
        <w:spacing w:after="0"/>
        <w:tabs>
          <w:tab w:leader="none" w:pos="1940" w:val="left"/>
        </w:tabs>
        <w:rPr>
          <w:sz w:val="20"/>
          <w:szCs w:val="20"/>
          <w:color w:val="auto"/>
        </w:rPr>
      </w:pPr>
      <w:r>
        <w:rPr>
          <w:rFonts w:ascii="Arial" w:cs="Arial" w:eastAsia="Arial" w:hAnsi="Arial"/>
          <w:sz w:val="22"/>
          <w:szCs w:val="22"/>
          <w:u w:val="single" w:color="auto"/>
          <w:color w:val="auto"/>
        </w:rPr>
        <w:t>Number</w:t>
        <w:tab/>
        <w:t>Description</w:t>
      </w:r>
    </w:p>
    <w:p>
      <w:pPr>
        <w:spacing w:after="0" w:line="188" w:lineRule="exact"/>
        <w:rPr>
          <w:sz w:val="20"/>
          <w:szCs w:val="20"/>
          <w:color w:val="auto"/>
        </w:rPr>
      </w:pPr>
    </w:p>
    <w:p>
      <w:pPr>
        <w:ind w:left="920"/>
        <w:spacing w:after="0"/>
        <w:tabs>
          <w:tab w:leader="none" w:pos="19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July 24, 2008,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4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720"/>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July 24, 2008</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18" w:lineRule="exact"/>
        <w:rPr>
          <w:sz w:val="20"/>
          <w:szCs w:val="20"/>
          <w:color w:val="auto"/>
        </w:rPr>
      </w:pPr>
    </w:p>
    <w:p>
      <w:pPr>
        <w:ind w:left="6060"/>
        <w:spacing w:after="0"/>
        <w:tabs>
          <w:tab w:leader="none" w:pos="6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1905</wp:posOffset>
            </wp:positionV>
            <wp:extent cx="311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auto"/>
        </w:rPr>
        <w:t>Matt Maddox</w:t>
      </w:r>
    </w:p>
    <w:p>
      <w:pPr>
        <w:ind w:left="6520"/>
        <w:spacing w:after="0"/>
        <w:rPr>
          <w:sz w:val="20"/>
          <w:szCs w:val="20"/>
          <w:color w:val="auto"/>
        </w:rPr>
      </w:pPr>
      <w:r>
        <w:rPr>
          <w:rFonts w:ascii="Arial" w:cs="Arial" w:eastAsia="Arial" w:hAnsi="Arial"/>
          <w:sz w:val="20"/>
          <w:szCs w:val="20"/>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720"/>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July 24, 2008</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WYNN RESORTS, LIMITED</w:t>
      </w:r>
    </w:p>
    <w:p>
      <w:pPr>
        <w:spacing w:after="0" w:line="202"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By: Wynn Resorts Holdings, LLC, its sole member</w:t>
      </w:r>
    </w:p>
    <w:p>
      <w:pPr>
        <w:spacing w:after="0" w:line="202"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By: Wynn Resorts, Limited, its sole member</w:t>
      </w:r>
    </w:p>
    <w:p>
      <w:pPr>
        <w:spacing w:after="0" w:line="200" w:lineRule="exact"/>
        <w:rPr>
          <w:sz w:val="20"/>
          <w:szCs w:val="20"/>
          <w:color w:val="auto"/>
        </w:rPr>
      </w:pPr>
    </w:p>
    <w:p>
      <w:pPr>
        <w:spacing w:after="0" w:line="218" w:lineRule="exact"/>
        <w:rPr>
          <w:sz w:val="20"/>
          <w:szCs w:val="20"/>
          <w:color w:val="auto"/>
        </w:rPr>
      </w:pPr>
    </w:p>
    <w:p>
      <w:pPr>
        <w:ind w:left="6060"/>
        <w:spacing w:after="0"/>
        <w:tabs>
          <w:tab w:leader="none" w:pos="6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1905</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auto"/>
        </w:rPr>
        <w:t>Matt Maddox</w:t>
      </w:r>
    </w:p>
    <w:p>
      <w:pPr>
        <w:ind w:left="652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59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7"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auto"/>
        </w:rPr>
        <w:t>Wynn Resorts, Limited Posts Record Revenue and EBITDA for the Second Quarter of 2008</w:t>
      </w:r>
    </w:p>
    <w:p>
      <w:pPr>
        <w:spacing w:after="0" w:line="30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LAS VEGAS, July 24, 2008 (BUSINESS WIRE) -- Wynn Resorts, Limited (Nasdaq: WYNN) today reported financial results for the quarter ended June 30, 2008.</w:t>
      </w:r>
    </w:p>
    <w:p>
      <w:pPr>
        <w:spacing w:after="0" w:line="25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Net revenues for the second quarter of 2008 were $825.2 million, compared to $687.5 million in the second quarter of 2007. The revenue increase was driven primarily by a 50.3% increase in revenues at Wynn Macau.</w:t>
      </w:r>
    </w:p>
    <w:p>
      <w:pPr>
        <w:spacing w:after="0" w:line="25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Consolidated adjusted property EBITDA (1) increased 14.0% to $237.0 million for the second quarter of 2008, compared to $208.0 million in the second quarter of 2007.</w:t>
      </w: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 US GAAP (Generally Accepted Accounting Principles) basis, net income for the quarter was $272.0 million, or $2.42 per diluted share, compared to net income of $ 89.6 million, or $0.82 per diluted share in 2007. The increase resulted from higher earnings from Wynn Macau and a $140.7 million deferred tax benefit recorded during the quarter. Adjusted net income in the second quarter of 2008 was $124.3 million, or $1.11 per diluted share (adjusted EPS)(2) compared to an adjusted net income of $100.8 million, or $0.92 per diluted share in the second quarter of 2007.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Second Quarter Results</w:t>
      </w:r>
    </w:p>
    <w:p>
      <w:pPr>
        <w:spacing w:after="0" w:line="3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quarter ended June 30, 2008, Wynn Las Vegas generated adjusted property EBITDA of $ 81.8 million, compared to $115.3 million in the second quarter of 2007, with a 27.7% EBITDA margin on net revenue. The EBITDA decline was partially attributable to lower table hold percentage of 20.4% in the second quarter of 2008, compared to 24.2% in the comparable period in 2007.</w:t>
      </w:r>
    </w:p>
    <w:p>
      <w:pPr>
        <w:spacing w:after="0" w:line="25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Net casino revenues in the second quarter of 2008 were $120.7 million, compared to $ 159.4 million for the second quarter of 2007. Table games drop decreased 12.1% from the comparable period in 2007 to $493.6 million. Slot machine handle of $852.5 million was 12.7% below the comparable period of 2007 and win per unit per day was $232, compared to a win per unit per day of $269 in the second quarter of 2007.</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non-casino revenues for the quarter were $211.9 million, a 0.3% increase from the second quarter of 2007. Hotel revenues were down 3.1% to $72.1 million during the quarter, versus $74.5 million in the second quarter of 2007. Wynn Las Vegas achieved an Average Daily Rate (ADR) of $302 for the quarter, compared to $311 in the second quarter of 2007. The property’s occupancy was 96.5%, compared to 97.0% during the prior year period, generating revenue per available room (REVPAR) of $292 in the 2008 period (3.0% below the second quarter of 2007).</w:t>
      </w: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Food and beverage revenues increased 2.6% to $84.3 million in the quarter, and retail revenues declined 3.5% to $22.1 million in the quarter. Entertainment revenues were approximately $ 18.9 million compared to $18.7 million in the second quarter of 2007. Spamalot closed on July 13, 2008 and we have begun the renovation of the theater which will feature Danny Gans in the Encore Theater commencing in February 2009.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 includes a 2,034 all-suite hotel tower, an approximately 72,000 square foot casino, additional convention and meeting space, as well as restaurants, a nightclub, swimming pools, a spa and salon and retail outlets. Encore is expected to open in December 2008. Our project budget is approximately $2.3 billion for Encore and related capital improvements.</w:t>
      </w:r>
    </w:p>
    <w:p>
      <w:pPr>
        <w:spacing w:after="0" w:line="25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As of June 30, 2008, we had incurred approximately $1.5 billion of project costs related to the development and construction of Encore and related capital improvements.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Second Quarter Results</w:t>
      </w:r>
    </w:p>
    <w:p>
      <w:pPr>
        <w:spacing w:after="0" w:line="200" w:lineRule="exact"/>
        <w:rPr>
          <w:sz w:val="20"/>
          <w:szCs w:val="20"/>
          <w:color w:val="auto"/>
        </w:rPr>
      </w:pPr>
    </w:p>
    <w:p>
      <w:pPr>
        <w:spacing w:after="0" w:line="3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second quarter of 2008, Wynn Macau generated Net Revenues of $ 529.9 million compared to $352.5 million for the second quarter of 2007. Adjusted property EBITDA increased 67.5% to $155.2 million (with a 29.3% EBITDA margin on net revenue) compared to $92.7 million in the second quarter of 2007. In December 2007, we completed the Wynn Macau expansion, adding approximately 75,000 square feet of gaming space and 20,000 square feet of retail space including 11 new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following table games results are segregated into two distinct reporting categories, the VIP segment and the mass market segment.</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Table games turnover in the VIP segment increased 74.9% to $16.3 billion for the period, compared to $9.3 billion for the second quarter of 2007. VIP table games win as a percentage of turnover (calculated before discounts and commissions) was 2.96%, at the top end of the expected range of 2.7% to 3.0% and lower than the 3.25% in the comparable period of 2007.</w:t>
      </w: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Table games drop in the mass market category was approximately $ 626.9 million during the period, a 24.7% increase from $502.7 million in the second quarter of 2007. Mass market table games win percentage (calculated before discounts) of 18.9% was within the property’s range of 18% to 20% and was higher than the 18.4% in the second quarter of 2007.</w:t>
      </w: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Slot machine win increased 89.6% compared to the second quarter of 2007. Win per unit per day was $359, a 31.1% decline from the second quarter of 2007 due to the increase in the average number of slot machines from 457 to 1,258 slots.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Wynn Macau achieved an Average Daily Rate (ADR) of $277 for the quarter, compared to $258 in the second quarter of 2007. The property’s occupancy was 87.9%, compared to 86.2% during the prior year period, generating revenue per available room (REVPAR) of $244 in the 2008 period (9.9% higher than in 2007).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Wynn Macau currently features approximately 600 hotel rooms and suites, 380 table games and 1,270 slot machines in 205,000 square feet of casino gaming space, five restaurants, a spa and salon, lounges, meeting facilities and 46,000 square feet of retail space. Encore at Wynn Macau will add approximately 400 luxury suites and four villas along with restaurants, additional retail and gaming space. We commenced construction of Encore at Wynn Macau in 2007, and expect the property to open in the first half of 2010. As of June 30, 2008, we have incurred $114.1 million of an expected $700 million budget associated with the construction of Encore at Wynn Macau.</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net of $20.5 million in capitalized interest, was $41.0 million for the second quarter of 2008. Depreciation and amortization expenses were $63.8 million and Encore at Wynn Las Vegas pre-opening expenses were $6.8 million during the quarter. Corporate expense and other was $16.6 million in the second quarter, including $5.1 million in stock based compensation. Property charges of $5.3 million are primarily related to the abandonment of certain existing floor space to begin construction of a new restaurant at Wynn Macau.</w:t>
      </w:r>
    </w:p>
    <w:p>
      <w:pPr>
        <w:spacing w:after="0" w:line="2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quarter, the Company completed a study of the taxes, levies and obligations assessed on its Macau operations under Macau law and its Macau Gaming Concession. As a result, the Company recorded a $140.7 million deferred tax benefit (net of valuation allowance) for foreign tax credits applicable to the earnings of Wynn Macau which were included in the Company’s US tax expense in prior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total cash balances at the end of the quarter were $1.4 billion, including unrestricted cash balances of $1.3 billion and cash balances restricted for construction and development and stock repurchases of $75 million. Total debt outstanding at the end of the quarter was $3.9 billion, including approximately $2.3 billion of Wynn Las Vegas debt, $ 550 million of Wynn Macau related debt and $1.0 billion at Wynn Resorts, Limited. Capital expenditures during the second quarter of 2008, net of changes in construction payables and retention, totaled approximately $335 million, primarily attributable to Encore at Wynn Las Vegas.</w:t>
      </w: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10, 2008, the Company's Board of Directors authorized an increase of up to $500 million to the Company’s previously announced $1.2 billion equity repurchase program. The repurchase program may include repurchases from time to time through open market purchases or negotiated transactions, depending upon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692785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9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will hold a conference call to discuss its results on Thursday, July 24</w:t>
      </w:r>
      <w:r>
        <w:rPr>
          <w:rFonts w:ascii="Arial" w:cs="Arial" w:eastAsia="Arial" w:hAnsi="Arial"/>
          <w:sz w:val="25"/>
          <w:szCs w:val="25"/>
          <w:color w:val="auto"/>
          <w:vertAlign w:val="superscript"/>
        </w:rPr>
        <w:t>th</w:t>
      </w:r>
      <w:r>
        <w:rPr>
          <w:rFonts w:ascii="Arial" w:cs="Arial" w:eastAsia="Arial" w:hAnsi="Arial"/>
          <w:sz w:val="18"/>
          <w:szCs w:val="18"/>
          <w:color w:val="auto"/>
        </w:rPr>
        <w:t>, 2008 at 1:30 p.m. PT (4:30 p.m. ET). Interested parties are invited to join the call by accessing a live audio webcast at http://www.wynnresorts.com (Investor Relations).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0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2007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301" w:lineRule="exact"/>
        <w:rPr>
          <w:sz w:val="20"/>
          <w:szCs w:val="20"/>
          <w:color w:val="auto"/>
        </w:rPr>
      </w:pPr>
    </w:p>
    <w:p>
      <w:pPr>
        <w:jc w:val="both"/>
        <w:ind w:firstLine="8"/>
        <w:spacing w:after="0" w:line="251" w:lineRule="auto"/>
        <w:tabs>
          <w:tab w:leader="none" w:pos="286"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to adjusted net income, and (ii) operating income to adjusted property EBITDA and adjusted property EBITDA to net income.</w:t>
      </w:r>
    </w:p>
    <w:p>
      <w:pPr>
        <w:spacing w:after="0" w:line="250" w:lineRule="exact"/>
        <w:rPr>
          <w:sz w:val="20"/>
          <w:szCs w:val="20"/>
          <w:color w:val="auto"/>
        </w:rPr>
      </w:pPr>
    </w:p>
    <w:p>
      <w:pPr>
        <w:jc w:val="both"/>
        <w:ind w:firstLine="8"/>
        <w:spacing w:after="0" w:line="252"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is net income before pre-opening costs, property charges, one time tax adjustments and other, and other non-cash non-operating income and expenses. Adjusted net income and adjusted net income per share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and adjusted net income per share may be different from the calculation methods used by other companies and, therefore, comparability may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695960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7" w:name="page8"/>
    <w:bookmarkEnd w:id="7"/>
    <w:p>
      <w:pPr>
        <w:ind w:left="1740"/>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3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060" w:type="dxa"/>
            <w:vAlign w:val="bottom"/>
          </w:tcPr>
          <w:p>
            <w:pPr>
              <w:spacing w:after="0"/>
              <w:rPr>
                <w:sz w:val="20"/>
                <w:szCs w:val="20"/>
                <w:color w:val="auto"/>
              </w:rPr>
            </w:pPr>
            <w:r>
              <w:rPr>
                <w:rFonts w:ascii="Arial" w:cs="Arial" w:eastAsia="Arial" w:hAnsi="Arial"/>
                <w:sz w:val="18"/>
                <w:szCs w:val="18"/>
                <w:color w:val="auto"/>
              </w:rPr>
              <w:t>Operating revenues: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Casino</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623,637</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491,825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1,215,408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949,017</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Rooms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86,811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87,797</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172,073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173,088</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Food and beverage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96,955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92,226</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188,020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180,109</w:t>
            </w:r>
          </w:p>
        </w:tc>
        <w:tc>
          <w:tcPr>
            <w:tcW w:w="0" w:type="dxa"/>
            <w:vAlign w:val="bottom"/>
          </w:tcPr>
          <w:p>
            <w:pPr>
              <w:spacing w:after="0"/>
              <w:rPr>
                <w:sz w:val="1"/>
                <w:szCs w:val="1"/>
                <w:color w:val="auto"/>
              </w:rPr>
            </w:pPr>
          </w:p>
        </w:tc>
      </w:tr>
      <w:tr>
        <w:trPr>
          <w:trHeight w:val="217"/>
        </w:trPr>
        <w:tc>
          <w:tcPr>
            <w:tcW w:w="3060" w:type="dxa"/>
            <w:vAlign w:val="bottom"/>
          </w:tcPr>
          <w:p>
            <w:pPr>
              <w:ind w:left="180"/>
              <w:spacing w:after="0"/>
              <w:rPr>
                <w:sz w:val="20"/>
                <w:szCs w:val="20"/>
                <w:color w:val="auto"/>
              </w:rPr>
            </w:pPr>
            <w:r>
              <w:rPr>
                <w:rFonts w:ascii="Arial" w:cs="Arial" w:eastAsia="Arial" w:hAnsi="Arial"/>
                <w:sz w:val="18"/>
                <w:szCs w:val="18"/>
                <w:color w:val="auto"/>
              </w:rPr>
              <w:t>Entertainment, retail and 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72,958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141,112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114,866</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300"/>
              <w:spacing w:after="0"/>
              <w:rPr>
                <w:sz w:val="20"/>
                <w:szCs w:val="20"/>
                <w:color w:val="auto"/>
              </w:rPr>
            </w:pPr>
            <w:r>
              <w:rPr>
                <w:rFonts w:ascii="Arial" w:cs="Arial" w:eastAsia="Arial" w:hAnsi="Arial"/>
                <w:sz w:val="18"/>
                <w:szCs w:val="18"/>
                <w:color w:val="auto"/>
              </w:rPr>
              <w:t>Gross revenues</w:t>
            </w: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880,361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734,509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1,716,613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1,417,080</w:t>
            </w:r>
          </w:p>
        </w:tc>
        <w:tc>
          <w:tcPr>
            <w:tcW w:w="0" w:type="dxa"/>
            <w:vAlign w:val="bottom"/>
          </w:tcPr>
          <w:p>
            <w:pPr>
              <w:spacing w:after="0"/>
              <w:rPr>
                <w:sz w:val="1"/>
                <w:szCs w:val="1"/>
                <w:color w:val="auto"/>
              </w:rPr>
            </w:pPr>
          </w:p>
        </w:tc>
      </w:tr>
      <w:tr>
        <w:trPr>
          <w:trHeight w:val="217"/>
        </w:trPr>
        <w:tc>
          <w:tcPr>
            <w:tcW w:w="3060" w:type="dxa"/>
            <w:vAlign w:val="bottom"/>
          </w:tcPr>
          <w:p>
            <w:pPr>
              <w:ind w:left="180"/>
              <w:spacing w:after="0"/>
              <w:rPr>
                <w:sz w:val="20"/>
                <w:szCs w:val="20"/>
                <w:color w:val="auto"/>
              </w:rPr>
            </w:pPr>
            <w:r>
              <w:rPr>
                <w:rFonts w:ascii="Arial" w:cs="Arial" w:eastAsia="Arial" w:hAnsi="Arial"/>
                <w:sz w:val="18"/>
                <w:szCs w:val="18"/>
                <w:color w:val="auto"/>
              </w:rPr>
              <w:t>Less: promotional allowances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(55,204)</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(46,968)</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(112,750)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(94,222)</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300"/>
              <w:spacing w:after="0"/>
              <w:rPr>
                <w:sz w:val="20"/>
                <w:szCs w:val="20"/>
                <w:color w:val="auto"/>
              </w:rPr>
            </w:pPr>
            <w:r>
              <w:rPr>
                <w:rFonts w:ascii="Arial" w:cs="Arial" w:eastAsia="Arial" w:hAnsi="Arial"/>
                <w:sz w:val="18"/>
                <w:szCs w:val="18"/>
                <w:color w:val="auto"/>
              </w:rPr>
              <w:t>Net revenues</w:t>
            </w: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825,157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687,541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1,603,863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1,322,858</w:t>
            </w:r>
          </w:p>
        </w:tc>
        <w:tc>
          <w:tcPr>
            <w:tcW w:w="0" w:type="dxa"/>
            <w:vAlign w:val="bottom"/>
          </w:tcPr>
          <w:p>
            <w:pPr>
              <w:spacing w:after="0"/>
              <w:rPr>
                <w:sz w:val="1"/>
                <w:szCs w:val="1"/>
                <w:color w:val="auto"/>
              </w:rPr>
            </w:pPr>
          </w:p>
        </w:tc>
      </w:tr>
      <w:tr>
        <w:trPr>
          <w:trHeight w:val="425"/>
        </w:trPr>
        <w:tc>
          <w:tcPr>
            <w:tcW w:w="30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Casino</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399,947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289,668</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788,325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554,393</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Rooms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20,412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21,365</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40,743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42,341</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Food and beverage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54,953</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106,796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109,208</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Entertainment, retail and 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43,257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41,446</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87,874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76,547</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84,973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74,294</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164,235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152,460</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14,362</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12,716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22,103</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12,144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63,779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51,902</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126,511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103,426</w:t>
            </w:r>
          </w:p>
        </w:tc>
        <w:tc>
          <w:tcPr>
            <w:tcW w:w="0" w:type="dxa"/>
            <w:vAlign w:val="bottom"/>
          </w:tcPr>
          <w:p>
            <w:pPr>
              <w:spacing w:after="0"/>
              <w:rPr>
                <w:sz w:val="1"/>
                <w:szCs w:val="1"/>
                <w:color w:val="auto"/>
              </w:rPr>
            </w:pPr>
          </w:p>
        </w:tc>
      </w:tr>
      <w:tr>
        <w:trPr>
          <w:trHeight w:val="217"/>
        </w:trPr>
        <w:tc>
          <w:tcPr>
            <w:tcW w:w="3060" w:type="dxa"/>
            <w:vAlign w:val="bottom"/>
          </w:tcPr>
          <w:p>
            <w:pPr>
              <w:ind w:left="180"/>
              <w:spacing w:after="0"/>
              <w:rPr>
                <w:sz w:val="20"/>
                <w:szCs w:val="20"/>
                <w:color w:val="auto"/>
              </w:rPr>
            </w:pPr>
            <w:r>
              <w:rPr>
                <w:rFonts w:ascii="Arial" w:cs="Arial" w:eastAsia="Arial" w:hAnsi="Arial"/>
                <w:sz w:val="18"/>
                <w:szCs w:val="18"/>
                <w:color w:val="auto"/>
              </w:rPr>
              <w:t>Property charges and 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13,021</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29,565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26,290</w:t>
            </w:r>
          </w:p>
        </w:tc>
        <w:tc>
          <w:tcPr>
            <w:tcW w:w="0" w:type="dxa"/>
            <w:vAlign w:val="bottom"/>
          </w:tcPr>
          <w:p>
            <w:pPr>
              <w:spacing w:after="0"/>
              <w:rPr>
                <w:sz w:val="1"/>
                <w:szCs w:val="1"/>
                <w:color w:val="auto"/>
              </w:rPr>
            </w:pPr>
          </w:p>
        </w:tc>
      </w:tr>
      <w:tr>
        <w:trPr>
          <w:trHeight w:val="209"/>
        </w:trPr>
        <w:tc>
          <w:tcPr>
            <w:tcW w:w="3060" w:type="dxa"/>
            <w:vAlign w:val="bottom"/>
          </w:tcPr>
          <w:p>
            <w:pPr>
              <w:ind w:left="420"/>
              <w:spacing w:after="0"/>
              <w:rPr>
                <w:sz w:val="20"/>
                <w:szCs w:val="20"/>
                <w:color w:val="auto"/>
              </w:rPr>
            </w:pPr>
            <w:r>
              <w:rPr>
                <w:rFonts w:ascii="Arial" w:cs="Arial" w:eastAsia="Arial" w:hAnsi="Arial"/>
                <w:sz w:val="18"/>
                <w:szCs w:val="18"/>
                <w:color w:val="auto"/>
              </w:rPr>
              <w:t>Total operating costs and</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680,806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561,900</w:t>
            </w: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1,368,909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1,089,493</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Equity in income from unconsolidated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60" w:type="dxa"/>
            <w:vAlign w:val="bottom"/>
          </w:tcPr>
          <w:p>
            <w:pPr>
              <w:spacing w:after="0"/>
              <w:rPr>
                <w:sz w:val="20"/>
                <w:szCs w:val="20"/>
                <w:color w:val="auto"/>
              </w:rPr>
            </w:pPr>
            <w:r>
              <w:rPr>
                <w:rFonts w:ascii="Arial" w:cs="Arial" w:eastAsia="Arial" w:hAnsi="Arial"/>
                <w:sz w:val="18"/>
                <w:szCs w:val="18"/>
                <w:color w:val="auto"/>
              </w:rPr>
              <w:t>affiliates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144,514</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126,153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235,925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234,332</w:t>
            </w:r>
          </w:p>
        </w:tc>
        <w:tc>
          <w:tcPr>
            <w:tcW w:w="0" w:type="dxa"/>
            <w:vAlign w:val="bottom"/>
          </w:tcPr>
          <w:p>
            <w:pPr>
              <w:spacing w:after="0"/>
              <w:rPr>
                <w:sz w:val="1"/>
                <w:szCs w:val="1"/>
                <w:color w:val="auto"/>
              </w:rPr>
            </w:pPr>
          </w:p>
        </w:tc>
      </w:tr>
      <w:tr>
        <w:trPr>
          <w:trHeight w:val="425"/>
        </w:trPr>
        <w:tc>
          <w:tcPr>
            <w:tcW w:w="3060" w:type="dxa"/>
            <w:vAlign w:val="bottom"/>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Interest income and 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10,408</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17,495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22,508</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Interest expense, net of capitalized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(40,982)</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(35,460)</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(86,250)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(73,133)</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Increase in swap fair value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23,919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2,334</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7"/>
        </w:trPr>
        <w:tc>
          <w:tcPr>
            <w:tcW w:w="3060" w:type="dxa"/>
            <w:vAlign w:val="bottom"/>
          </w:tcPr>
          <w:p>
            <w:pPr>
              <w:ind w:left="180"/>
              <w:spacing w:after="0"/>
              <w:rPr>
                <w:sz w:val="20"/>
                <w:szCs w:val="20"/>
                <w:color w:val="auto"/>
              </w:rPr>
            </w:pPr>
            <w:r>
              <w:rPr>
                <w:rFonts w:ascii="Arial" w:cs="Arial" w:eastAsia="Arial" w:hAnsi="Arial"/>
                <w:sz w:val="18"/>
                <w:szCs w:val="18"/>
                <w:color w:val="auto"/>
              </w:rPr>
              <w:t>Loss from extinguishment of debt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420"/>
              <w:spacing w:after="0"/>
              <w:rPr>
                <w:sz w:val="20"/>
                <w:szCs w:val="20"/>
                <w:color w:val="auto"/>
              </w:rPr>
            </w:pPr>
            <w:r>
              <w:rPr>
                <w:rFonts w:ascii="Arial" w:cs="Arial" w:eastAsia="Arial" w:hAnsi="Arial"/>
                <w:sz w:val="18"/>
                <w:szCs w:val="18"/>
                <w:color w:val="auto"/>
              </w:rPr>
              <w:t>Other income (expense), net</w:t>
            </w: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(10,642)</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(22,718)</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(60,048)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(48,923)</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133,872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103,435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175,877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185,409</w:t>
            </w:r>
          </w:p>
        </w:tc>
        <w:tc>
          <w:tcPr>
            <w:tcW w:w="0" w:type="dxa"/>
            <w:vAlign w:val="bottom"/>
          </w:tcPr>
          <w:p>
            <w:pPr>
              <w:spacing w:after="0"/>
              <w:rPr>
                <w:sz w:val="1"/>
                <w:szCs w:val="1"/>
                <w:color w:val="auto"/>
              </w:rPr>
            </w:pPr>
          </w:p>
        </w:tc>
      </w:tr>
      <w:tr>
        <w:trPr>
          <w:trHeight w:val="419"/>
        </w:trPr>
        <w:tc>
          <w:tcPr>
            <w:tcW w:w="3060" w:type="dxa"/>
            <w:vAlign w:val="bottom"/>
          </w:tcPr>
          <w:p>
            <w:pPr>
              <w:ind w:left="180"/>
              <w:spacing w:after="0"/>
              <w:rPr>
                <w:sz w:val="20"/>
                <w:szCs w:val="20"/>
                <w:color w:val="auto"/>
              </w:rPr>
            </w:pPr>
            <w:r>
              <w:rPr>
                <w:rFonts w:ascii="Arial" w:cs="Arial" w:eastAsia="Arial" w:hAnsi="Arial"/>
                <w:sz w:val="18"/>
                <w:szCs w:val="18"/>
                <w:color w:val="auto"/>
              </w:rPr>
              <w:t>Benefit (provision) for income taxes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138,121</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(13,885)</w:t>
            </w:r>
          </w:p>
        </w:tc>
        <w:tc>
          <w:tcPr>
            <w:tcW w:w="2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142,833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(37,454)</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60" w:type="dxa"/>
            <w:vAlign w:val="bottom"/>
            <w:vMerge w:val="continue"/>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271,993</w:t>
            </w:r>
          </w:p>
        </w:tc>
        <w:tc>
          <w:tcPr>
            <w:tcW w:w="18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89,550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318,710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147,955</w:t>
            </w:r>
          </w:p>
        </w:tc>
        <w:tc>
          <w:tcPr>
            <w:tcW w:w="0" w:type="dxa"/>
            <w:vAlign w:val="bottom"/>
          </w:tcPr>
          <w:p>
            <w:pPr>
              <w:spacing w:after="0"/>
              <w:rPr>
                <w:sz w:val="1"/>
                <w:szCs w:val="1"/>
                <w:color w:val="auto"/>
              </w:rPr>
            </w:pPr>
          </w:p>
        </w:tc>
      </w:tr>
      <w:tr>
        <w:trPr>
          <w:trHeight w:val="21"/>
        </w:trPr>
        <w:tc>
          <w:tcPr>
            <w:tcW w:w="3060" w:type="dxa"/>
            <w:vAlign w:val="bottom"/>
            <w:vMerge w:val="restart"/>
          </w:tcPr>
          <w:p>
            <w:pPr>
              <w:spacing w:after="0"/>
              <w:rPr>
                <w:sz w:val="20"/>
                <w:szCs w:val="20"/>
                <w:color w:val="auto"/>
              </w:rPr>
            </w:pPr>
            <w:r>
              <w:rPr>
                <w:rFonts w:ascii="Arial" w:cs="Arial" w:eastAsia="Arial" w:hAnsi="Arial"/>
                <w:sz w:val="18"/>
                <w:szCs w:val="18"/>
                <w:color w:val="auto"/>
              </w:rPr>
              <w:t>Basic and diluted income per</w:t>
            </w: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common share: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30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420" w:type="dxa"/>
            <w:vAlign w:val="bottom"/>
            <w:gridSpan w:val="5"/>
          </w:tcPr>
          <w:p>
            <w:pPr>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8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111,128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101,214</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111,770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101,307</w:t>
            </w:r>
          </w:p>
        </w:tc>
        <w:tc>
          <w:tcPr>
            <w:tcW w:w="0" w:type="dxa"/>
            <w:vAlign w:val="bottom"/>
          </w:tcPr>
          <w:p>
            <w:pPr>
              <w:spacing w:after="0"/>
              <w:rPr>
                <w:sz w:val="1"/>
                <w:szCs w:val="1"/>
                <w:color w:val="auto"/>
              </w:rPr>
            </w:pPr>
          </w:p>
        </w:tc>
      </w:tr>
      <w:tr>
        <w:trPr>
          <w:trHeight w:val="230"/>
        </w:trPr>
        <w:tc>
          <w:tcPr>
            <w:tcW w:w="3060" w:type="dxa"/>
            <w:vAlign w:val="bottom"/>
          </w:tcPr>
          <w:p>
            <w:pPr>
              <w:ind w:left="38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112,365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112,111</w:t>
            </w: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112,986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112,237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firstLine="8"/>
        <w:spacing w:after="0" w:line="271" w:lineRule="auto"/>
        <w:tabs>
          <w:tab w:leader="none" w:pos="108" w:val="left"/>
        </w:tabs>
        <w:numPr>
          <w:ilvl w:val="0"/>
          <w:numId w:val="4"/>
        </w:numPr>
        <w:rPr>
          <w:rFonts w:ascii="Arial" w:cs="Arial" w:eastAsia="Arial" w:hAnsi="Arial"/>
          <w:sz w:val="16"/>
          <w:szCs w:val="16"/>
          <w:color w:val="auto"/>
        </w:rPr>
      </w:pPr>
      <w:r>
        <w:rPr>
          <w:rFonts w:ascii="Arial" w:cs="Arial" w:eastAsia="Arial" w:hAnsi="Arial"/>
          <w:sz w:val="16"/>
          <w:szCs w:val="16"/>
          <w:color w:val="auto"/>
        </w:rPr>
        <w:t>Diluted earnings per share for the three and six months ended June 30, 2007 include the assumption that the convertible subordinated debentures were converted into shares of common stock. Accordingly, net income used in the computation of diluted earnings per share is increased by approximately $2.3 million and $4.6 million, respectively, of net interest attributable to these debentures for the three and six months ended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877" w:right="599" w:bottom="1045" w:gutter="0" w:footer="0" w:header="0"/>
        </w:sectPr>
      </w:pPr>
    </w:p>
    <w:bookmarkStart w:id="8" w:name="page9"/>
    <w:bookmarkEnd w:id="8"/>
    <w:p>
      <w:pPr>
        <w:jc w:val="center"/>
        <w:ind w:right="60"/>
        <w:spacing w:after="0"/>
        <w:rPr>
          <w:sz w:val="20"/>
          <w:szCs w:val="20"/>
          <w:color w:val="auto"/>
        </w:rPr>
      </w:pPr>
      <w:r>
        <w:rPr>
          <w:rFonts w:ascii="Arial" w:cs="Arial" w:eastAsia="Arial" w:hAnsi="Arial"/>
          <w:sz w:val="21"/>
          <w:szCs w:val="21"/>
          <w:b w:val="1"/>
          <w:bCs w:val="1"/>
          <w:color w:val="auto"/>
        </w:rPr>
        <w:t>WYNN RESORTS, LIMITED AND SUBSIDIARIES</w:t>
      </w:r>
    </w:p>
    <w:p>
      <w:pPr>
        <w:sectPr>
          <w:pgSz w:w="11900" w:h="16838" w:orient="portrait"/>
          <w:cols w:equalWidth="0" w:num="1">
            <w:col w:w="11380"/>
          </w:cols>
          <w:pgMar w:left="240" w:top="66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Pre-opening costs</w:t>
      </w:r>
    </w:p>
    <w:p>
      <w:pPr>
        <w:spacing w:after="0" w:line="9" w:lineRule="exact"/>
        <w:rPr>
          <w:sz w:val="20"/>
          <w:szCs w:val="20"/>
          <w:color w:val="auto"/>
        </w:rPr>
      </w:pPr>
    </w:p>
    <w:p>
      <w:pPr>
        <w:ind w:left="280" w:right="520"/>
        <w:spacing w:after="0" w:line="253" w:lineRule="auto"/>
        <w:rPr>
          <w:sz w:val="20"/>
          <w:szCs w:val="20"/>
          <w:color w:val="auto"/>
        </w:rPr>
      </w:pPr>
      <w:r>
        <w:rPr>
          <w:rFonts w:ascii="Arial" w:cs="Arial" w:eastAsia="Arial" w:hAnsi="Arial"/>
          <w:sz w:val="18"/>
          <w:szCs w:val="18"/>
          <w:color w:val="auto"/>
        </w:rPr>
        <w:t>Loss from extinguishment of debt Increase in swap fair value Property charges and other Adjustment for taxes on above Recognition of foreign tax credit</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net income (2)</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net income per diluted share*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4220"/>
        <w:spacing w:after="0"/>
        <w:rPr>
          <w:sz w:val="20"/>
          <w:szCs w:val="20"/>
          <w:color w:val="auto"/>
        </w:rPr>
      </w:pPr>
      <w:r>
        <w:rPr>
          <w:rFonts w:ascii="Arial" w:cs="Arial" w:eastAsia="Arial" w:hAnsi="Arial"/>
          <w:sz w:val="17"/>
          <w:szCs w:val="17"/>
          <w:color w:val="auto"/>
        </w:rPr>
        <w:t>RECONCILIATION OF NET INCOME</w:t>
      </w:r>
    </w:p>
    <w:p>
      <w:pPr>
        <w:spacing w:after="0" w:line="21"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TO ADJUSTED NET INCOME</w:t>
      </w:r>
    </w:p>
    <w:p>
      <w:pPr>
        <w:spacing w:after="0" w:line="9"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8"/>
                <w:szCs w:val="18"/>
                <w:color w:val="auto"/>
              </w:rPr>
            </w:pPr>
          </w:p>
        </w:tc>
      </w:tr>
      <w:tr>
        <w:trPr>
          <w:trHeight w:val="438"/>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271,993</w:t>
            </w:r>
          </w:p>
        </w:tc>
        <w:tc>
          <w:tcPr>
            <w:tcW w:w="14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89,550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318,710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147,955</w:t>
            </w:r>
          </w:p>
        </w:tc>
      </w:tr>
      <w:tr>
        <w:trPr>
          <w:trHeight w:val="216"/>
        </w:trPr>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12,144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2,725</w:t>
            </w:r>
          </w:p>
        </w:tc>
      </w:tr>
      <w:tr>
        <w:trPr>
          <w:trHeight w:val="216"/>
        </w:trPr>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r>
      <w:tr>
        <w:trPr>
          <w:trHeight w:val="216"/>
        </w:trPr>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(23,919)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(2,334)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(8,707)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(1,859)</w:t>
            </w:r>
          </w:p>
        </w:tc>
      </w:tr>
      <w:tr>
        <w:trPr>
          <w:trHeight w:val="216"/>
        </w:trPr>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13,021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29,565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26,290</w:t>
            </w:r>
          </w:p>
        </w:tc>
      </w:tr>
      <w:tr>
        <w:trPr>
          <w:trHeight w:val="216"/>
        </w:trPr>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(1,855)</w:t>
            </w:r>
          </w:p>
        </w:tc>
      </w:tr>
      <w:tr>
        <w:trPr>
          <w:trHeight w:val="203"/>
        </w:trPr>
        <w:tc>
          <w:tcPr>
            <w:tcW w:w="240" w:type="dxa"/>
            <w:vAlign w:val="bottom"/>
          </w:tcPr>
          <w:p>
            <w:pPr>
              <w:spacing w:after="0"/>
              <w:rPr>
                <w:sz w:val="17"/>
                <w:szCs w:val="17"/>
                <w:color w:val="auto"/>
              </w:rPr>
            </w:pP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(140,655)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(140,655)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
        </w:trPr>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124,301</w:t>
            </w:r>
          </w:p>
        </w:tc>
        <w:tc>
          <w:tcPr>
            <w:tcW w:w="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100,774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202,495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173,413</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r>
      <w:tr>
        <w:trPr>
          <w:trHeight w:val="20"/>
        </w:trPr>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40" w:space="720"/>
            <w:col w:w="7220"/>
          </w:cols>
          <w:pgMar w:left="240" w:top="661" w:right="279" w:bottom="1440" w:gutter="0" w:footer="0" w:header="0"/>
          <w:type w:val="continuous"/>
        </w:sectPr>
      </w:pPr>
    </w:p>
    <w:p>
      <w:pPr>
        <w:spacing w:after="0" w:line="288" w:lineRule="exact"/>
        <w:rPr>
          <w:sz w:val="20"/>
          <w:szCs w:val="20"/>
          <w:color w:val="auto"/>
        </w:rPr>
      </w:pPr>
    </w:p>
    <w:p>
      <w:pPr>
        <w:ind w:right="120" w:firstLine="8"/>
        <w:spacing w:after="0" w:line="271" w:lineRule="auto"/>
        <w:tabs>
          <w:tab w:leader="none" w:pos="108" w:val="left"/>
        </w:tabs>
        <w:numPr>
          <w:ilvl w:val="0"/>
          <w:numId w:val="5"/>
        </w:numPr>
        <w:rPr>
          <w:rFonts w:ascii="Arial" w:cs="Arial" w:eastAsia="Arial" w:hAnsi="Arial"/>
          <w:sz w:val="16"/>
          <w:szCs w:val="16"/>
          <w:color w:val="auto"/>
        </w:rPr>
      </w:pPr>
      <w:r>
        <w:rPr>
          <w:rFonts w:ascii="Arial" w:cs="Arial" w:eastAsia="Arial" w:hAnsi="Arial"/>
          <w:sz w:val="16"/>
          <w:szCs w:val="16"/>
          <w:color w:val="auto"/>
        </w:rPr>
        <w:t>Diluted adjusted net income per share for the three and six months ended June 30, 2007 includes the assumption that the convertible subordinated debentures were converted into shares of common stock. Accordingly, adjusted net income used in the computation of diluted adjusted net income per share is increased by approximately $2.3 million and $4.6 million, respectively, of net interest attributable to these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type w:val="continuous"/>
        </w:sectPr>
      </w:pPr>
    </w:p>
    <w:bookmarkStart w:id="9" w:name="page10"/>
    <w:bookmarkEnd w:id="9"/>
    <w:p>
      <w:pPr>
        <w:jc w:val="center"/>
        <w:ind w:right="100"/>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RECONCILIATION OF OPERATING INCOME TO ADJUSTED PROPERTY EBITDA</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AND ADJUSTED PROPERTY EBITDA TO NET INCOME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12"/>
          </w:tcPr>
          <w:p>
            <w:pPr>
              <w:jc w:val="right"/>
              <w:ind w:right="200"/>
              <w:spacing w:after="0"/>
              <w:rPr>
                <w:sz w:val="20"/>
                <w:szCs w:val="20"/>
                <w:color w:val="auto"/>
              </w:rPr>
            </w:pPr>
            <w:r>
              <w:rPr>
                <w:rFonts w:ascii="Arial" w:cs="Arial" w:eastAsia="Arial" w:hAnsi="Arial"/>
                <w:sz w:val="18"/>
                <w:szCs w:val="18"/>
                <w:b w:val="1"/>
                <w:bCs w:val="1"/>
                <w:color w:val="auto"/>
              </w:rPr>
              <w:t>Three Months Ended June 30, 2008</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0"/>
              <w:spacing w:after="0" w:line="187"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20"/>
              <w:spacing w:after="0" w:line="187"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4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Vegas</w:t>
            </w: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Wynn Macau</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46"/>
        </w:trPr>
        <w:tc>
          <w:tcPr>
            <w:tcW w:w="44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20,299</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102,943</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21,272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144,514</w:t>
            </w:r>
          </w:p>
        </w:tc>
        <w:tc>
          <w:tcPr>
            <w:tcW w:w="0" w:type="dxa"/>
            <w:vAlign w:val="bottom"/>
          </w:tcPr>
          <w:p>
            <w:pPr>
              <w:spacing w:after="0"/>
              <w:rPr>
                <w:sz w:val="1"/>
                <w:szCs w:val="1"/>
                <w:color w:val="auto"/>
              </w:rPr>
            </w:pPr>
          </w:p>
        </w:tc>
      </w:tr>
      <w:tr>
        <w:trPr>
          <w:trHeight w:val="418"/>
        </w:trPr>
        <w:tc>
          <w:tcPr>
            <w:tcW w:w="44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16"/>
        </w:trPr>
        <w:tc>
          <w:tcPr>
            <w:tcW w:w="44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22,339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63,779</w:t>
            </w:r>
          </w:p>
        </w:tc>
        <w:tc>
          <w:tcPr>
            <w:tcW w:w="0" w:type="dxa"/>
            <w:vAlign w:val="bottom"/>
          </w:tcPr>
          <w:p>
            <w:pPr>
              <w:spacing w:after="0"/>
              <w:rPr>
                <w:sz w:val="1"/>
                <w:szCs w:val="1"/>
                <w:color w:val="auto"/>
              </w:rPr>
            </w:pPr>
          </w:p>
        </w:tc>
      </w:tr>
      <w:tr>
        <w:trPr>
          <w:trHeight w:val="216"/>
        </w:trPr>
        <w:tc>
          <w:tcPr>
            <w:tcW w:w="448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Corporate expense, management</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80"/>
              <w:spacing w:after="0"/>
              <w:rPr>
                <w:sz w:val="20"/>
                <w:szCs w:val="20"/>
                <w:color w:val="auto"/>
              </w:rPr>
            </w:pPr>
            <w:r>
              <w:rPr>
                <w:rFonts w:ascii="Arial" w:cs="Arial" w:eastAsia="Arial" w:hAnsi="Arial"/>
                <w:sz w:val="18"/>
                <w:szCs w:val="18"/>
                <w:color w:val="auto"/>
              </w:rPr>
              <w:t>fees, royalties and other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(23,724)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03"/>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81,795</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155,187</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236,982</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60" w:type="dxa"/>
            <w:vAlign w:val="bottom"/>
            <w:gridSpan w:val="11"/>
          </w:tcPr>
          <w:p>
            <w:pPr>
              <w:jc w:val="right"/>
              <w:ind w:right="160"/>
              <w:spacing w:after="0"/>
              <w:rPr>
                <w:sz w:val="20"/>
                <w:szCs w:val="20"/>
                <w:color w:val="auto"/>
              </w:rPr>
            </w:pPr>
            <w:r>
              <w:rPr>
                <w:rFonts w:ascii="Arial" w:cs="Arial" w:eastAsia="Arial" w:hAnsi="Arial"/>
                <w:sz w:val="18"/>
                <w:szCs w:val="18"/>
                <w:b w:val="1"/>
                <w:bCs w:val="1"/>
                <w:color w:val="auto"/>
                <w:w w:val="99"/>
              </w:rPr>
              <w:t>Three Months Ended June 30, 2007</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Pre-opening costs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charges and 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Corporate expense, management</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fees, royalties and other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Stock-based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160"/>
              <w:spacing w:after="0" w:line="187" w:lineRule="exact"/>
              <w:rPr>
                <w:sz w:val="20"/>
                <w:szCs w:val="20"/>
                <w:color w:val="auto"/>
              </w:rPr>
            </w:pPr>
            <w:r>
              <w:rPr>
                <w:rFonts w:ascii="Arial" w:cs="Arial" w:eastAsia="Arial" w:hAnsi="Arial"/>
                <w:sz w:val="18"/>
                <w:szCs w:val="18"/>
                <w:b w:val="1"/>
                <w:bCs w:val="1"/>
                <w:color w:val="auto"/>
                <w:w w:val="98"/>
              </w:rPr>
              <w:t>Wynn Las</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ind w:left="20"/>
              <w:spacing w:after="0" w:line="187"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46"/>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7"/>
              </w:rPr>
              <w:t>Vegas</w:t>
            </w:r>
          </w:p>
        </w:tc>
        <w:tc>
          <w:tcPr>
            <w:tcW w:w="120" w:type="dxa"/>
            <w:vAlign w:val="bottom"/>
          </w:tcPr>
          <w:p>
            <w:pPr>
              <w:spacing w:after="0"/>
              <w:rPr>
                <w:sz w:val="21"/>
                <w:szCs w:val="21"/>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Wynn Macau</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r>
      <w:tr>
        <w:trPr>
          <w:trHeight w:val="44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63,420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53,220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9,513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126,153</w:t>
            </w:r>
          </w:p>
        </w:tc>
      </w:tr>
      <w:tr>
        <w:trPr>
          <w:trHeight w:val="431"/>
        </w:trPr>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r>
      <w:tr>
        <w:trPr>
          <w:trHeight w:val="216"/>
        </w:trPr>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36,517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51,902</w:t>
            </w:r>
          </w:p>
        </w:tc>
      </w:tr>
      <w:tr>
        <w:trPr>
          <w:trHeight w:val="217"/>
        </w:trPr>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13,021</w:t>
            </w:r>
          </w:p>
        </w:tc>
      </w:tr>
      <w:tr>
        <w:trPr>
          <w:trHeight w:val="431"/>
        </w:trPr>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11,769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11,871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(12,529)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11,111</w:t>
            </w:r>
          </w:p>
        </w:tc>
      </w:tr>
      <w:tr>
        <w:trPr>
          <w:trHeight w:val="217"/>
        </w:trPr>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4,881</w:t>
            </w:r>
          </w:p>
        </w:tc>
      </w:tr>
      <w:tr>
        <w:trPr>
          <w:trHeight w:val="203"/>
        </w:trPr>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115,300</w:t>
            </w:r>
          </w:p>
        </w:tc>
        <w:tc>
          <w:tcPr>
            <w:tcW w:w="120" w:type="dxa"/>
            <w:vAlign w:val="bottom"/>
          </w:tcPr>
          <w:p>
            <w:pPr>
              <w:spacing w:after="0"/>
              <w:rPr>
                <w:sz w:val="19"/>
                <w:szCs w:val="19"/>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92,657</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207,957</w:t>
            </w:r>
          </w:p>
        </w:tc>
      </w:tr>
      <w:tr>
        <w:trPr>
          <w:trHeight w:val="21"/>
        </w:trPr>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r>
      <w:tr>
        <w:trPr>
          <w:trHeight w:val="239"/>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5360" w:space="720"/>
            <w:col w:w="5340"/>
          </w:cols>
          <w:pgMar w:left="240" w:top="931"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82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236,982</w:t>
            </w:r>
          </w:p>
        </w:tc>
        <w:tc>
          <w:tcPr>
            <w:tcW w:w="1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207,957</w:t>
            </w:r>
          </w:p>
        </w:tc>
        <w:tc>
          <w:tcPr>
            <w:tcW w:w="0" w:type="dxa"/>
            <w:vAlign w:val="bottom"/>
          </w:tcPr>
          <w:p>
            <w:pPr>
              <w:spacing w:after="0"/>
              <w:rPr>
                <w:sz w:val="1"/>
                <w:szCs w:val="1"/>
                <w:color w:val="auto"/>
              </w:rPr>
            </w:pPr>
          </w:p>
        </w:tc>
      </w:tr>
      <w:tr>
        <w:trPr>
          <w:trHeight w:val="344"/>
        </w:trPr>
        <w:tc>
          <w:tcPr>
            <w:tcW w:w="882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(63,779)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(51,902)</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(13,021)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Corporate expenses and 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(11,434)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Interest income and other</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(40,982)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(35,460)</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Increase in swap fair value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23,919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138,121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(13,885)</w:t>
            </w:r>
          </w:p>
        </w:tc>
        <w:tc>
          <w:tcPr>
            <w:tcW w:w="0" w:type="dxa"/>
            <w:vAlign w:val="bottom"/>
          </w:tcPr>
          <w:p>
            <w:pPr>
              <w:spacing w:after="0"/>
              <w:rPr>
                <w:sz w:val="1"/>
                <w:szCs w:val="1"/>
                <w:color w:val="auto"/>
              </w:rPr>
            </w:pPr>
          </w:p>
        </w:tc>
      </w:tr>
      <w:tr>
        <w:trPr>
          <w:trHeight w:val="203"/>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82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271,993</w:t>
            </w:r>
          </w:p>
        </w:tc>
        <w:tc>
          <w:tcPr>
            <w:tcW w:w="1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89,550</w:t>
            </w:r>
          </w:p>
        </w:tc>
        <w:tc>
          <w:tcPr>
            <w:tcW w:w="0" w:type="dxa"/>
            <w:vAlign w:val="bottom"/>
          </w:tcPr>
          <w:p>
            <w:pPr>
              <w:spacing w:after="0"/>
              <w:rPr>
                <w:sz w:val="1"/>
                <w:szCs w:val="1"/>
                <w:color w:val="auto"/>
              </w:rPr>
            </w:pPr>
          </w:p>
        </w:tc>
      </w:tr>
      <w:tr>
        <w:trPr>
          <w:trHeight w:val="1604"/>
        </w:trPr>
        <w:tc>
          <w:tcPr>
            <w:tcW w:w="882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0" w:name="page11"/>
    <w:bookmarkEnd w:id="10"/>
    <w:p>
      <w:pPr>
        <w:jc w:val="center"/>
        <w:ind w:right="120"/>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RECONCILIATION OF OPERATING INCOME TO ADJUSTED PROPERTY EBITDA</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AND ADJUSTED PROPERTY EBITDA TO NET INCOME</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8"/>
                <w:szCs w:val="18"/>
                <w:b w:val="1"/>
                <w:bCs w:val="1"/>
                <w:color w:val="auto"/>
              </w:rPr>
              <w:t>Six Months Ended June 30, 2008</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60"/>
              <w:spacing w:after="0" w:line="187"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line="187" w:lineRule="exact"/>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6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Vegas</w:t>
            </w:r>
          </w:p>
        </w:tc>
        <w:tc>
          <w:tcPr>
            <w:tcW w:w="120" w:type="dxa"/>
            <w:vAlign w:val="bottom"/>
          </w:tcPr>
          <w:p>
            <w:pPr>
              <w:spacing w:after="0"/>
              <w:rPr>
                <w:sz w:val="21"/>
                <w:szCs w:val="21"/>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and Other</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46"/>
        </w:trPr>
        <w:tc>
          <w:tcPr>
            <w:tcW w:w="60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11,707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183,271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40,947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235,925</w:t>
            </w:r>
          </w:p>
        </w:tc>
        <w:tc>
          <w:tcPr>
            <w:tcW w:w="0" w:type="dxa"/>
            <w:vAlign w:val="bottom"/>
          </w:tcPr>
          <w:p>
            <w:pPr>
              <w:spacing w:after="0"/>
              <w:rPr>
                <w:sz w:val="1"/>
                <w:szCs w:val="1"/>
                <w:color w:val="auto"/>
              </w:rPr>
            </w:pPr>
          </w:p>
        </w:tc>
      </w:tr>
      <w:tr>
        <w:trPr>
          <w:trHeight w:val="418"/>
        </w:trPr>
        <w:tc>
          <w:tcPr>
            <w:tcW w:w="600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8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12,143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12,144</w:t>
            </w:r>
          </w:p>
        </w:tc>
        <w:tc>
          <w:tcPr>
            <w:tcW w:w="0" w:type="dxa"/>
            <w:vAlign w:val="bottom"/>
          </w:tcPr>
          <w:p>
            <w:pPr>
              <w:spacing w:after="0"/>
              <w:rPr>
                <w:sz w:val="1"/>
                <w:szCs w:val="1"/>
                <w:color w:val="auto"/>
              </w:rPr>
            </w:pPr>
          </w:p>
        </w:tc>
      </w:tr>
      <w:tr>
        <w:trPr>
          <w:trHeight w:val="216"/>
        </w:trPr>
        <w:tc>
          <w:tcPr>
            <w:tcW w:w="60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80,274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44,951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126,511</w:t>
            </w:r>
          </w:p>
        </w:tc>
        <w:tc>
          <w:tcPr>
            <w:tcW w:w="0" w:type="dxa"/>
            <w:vAlign w:val="bottom"/>
          </w:tcPr>
          <w:p>
            <w:pPr>
              <w:spacing w:after="0"/>
              <w:rPr>
                <w:sz w:val="1"/>
                <w:szCs w:val="1"/>
                <w:color w:val="auto"/>
              </w:rPr>
            </w:pPr>
          </w:p>
        </w:tc>
      </w:tr>
      <w:tr>
        <w:trPr>
          <w:trHeight w:val="216"/>
        </w:trPr>
        <w:tc>
          <w:tcPr>
            <w:tcW w:w="600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21,079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29,565</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Corporate expense, management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80"/>
              <w:spacing w:after="0"/>
              <w:rPr>
                <w:sz w:val="20"/>
                <w:szCs w:val="20"/>
                <w:color w:val="auto"/>
              </w:rPr>
            </w:pPr>
            <w:r>
              <w:rPr>
                <w:rFonts w:ascii="Arial" w:cs="Arial" w:eastAsia="Arial" w:hAnsi="Arial"/>
                <w:sz w:val="18"/>
                <w:szCs w:val="18"/>
                <w:color w:val="auto"/>
              </w:rPr>
              <w:t>fees, royalties and other</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20,652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46,523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(45,059)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22,116</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8,554</w:t>
            </w:r>
          </w:p>
        </w:tc>
        <w:tc>
          <w:tcPr>
            <w:tcW w:w="0" w:type="dxa"/>
            <w:vAlign w:val="bottom"/>
          </w:tcPr>
          <w:p>
            <w:pPr>
              <w:spacing w:after="0"/>
              <w:rPr>
                <w:sz w:val="1"/>
                <w:szCs w:val="1"/>
                <w:color w:val="auto"/>
              </w:rPr>
            </w:pPr>
          </w:p>
        </w:tc>
      </w:tr>
      <w:tr>
        <w:trPr>
          <w:trHeight w:val="203"/>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150,233</w:t>
            </w:r>
          </w:p>
        </w:tc>
        <w:tc>
          <w:tcPr>
            <w:tcW w:w="120" w:type="dxa"/>
            <w:vAlign w:val="bottom"/>
          </w:tcPr>
          <w:p>
            <w:pPr>
              <w:spacing w:after="0"/>
              <w:rPr>
                <w:sz w:val="19"/>
                <w:szCs w:val="19"/>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284,582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434,815</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8"/>
                <w:szCs w:val="18"/>
                <w:b w:val="1"/>
                <w:bCs w:val="1"/>
                <w:color w:val="auto"/>
              </w:rPr>
              <w:t>Six Months Ended June 30, 2007</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60"/>
              <w:spacing w:after="0" w:line="187"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line="187" w:lineRule="exact"/>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6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Vegas</w:t>
            </w:r>
          </w:p>
        </w:tc>
        <w:tc>
          <w:tcPr>
            <w:tcW w:w="120" w:type="dxa"/>
            <w:vAlign w:val="bottom"/>
          </w:tcPr>
          <w:p>
            <w:pPr>
              <w:spacing w:after="0"/>
              <w:rPr>
                <w:sz w:val="21"/>
                <w:szCs w:val="21"/>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and Other</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46"/>
        </w:trPr>
        <w:tc>
          <w:tcPr>
            <w:tcW w:w="60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122,434</w:t>
            </w:r>
          </w:p>
        </w:tc>
        <w:tc>
          <w:tcPr>
            <w:tcW w:w="120" w:type="dxa"/>
            <w:vAlign w:val="bottom"/>
          </w:tcPr>
          <w:p>
            <w:pPr>
              <w:spacing w:after="0"/>
              <w:rPr>
                <w:sz w:val="24"/>
                <w:szCs w:val="24"/>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94,277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17,621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234,332</w:t>
            </w:r>
          </w:p>
        </w:tc>
        <w:tc>
          <w:tcPr>
            <w:tcW w:w="0" w:type="dxa"/>
            <w:vAlign w:val="bottom"/>
          </w:tcPr>
          <w:p>
            <w:pPr>
              <w:spacing w:after="0"/>
              <w:rPr>
                <w:sz w:val="1"/>
                <w:szCs w:val="1"/>
                <w:color w:val="auto"/>
              </w:rPr>
            </w:pPr>
          </w:p>
        </w:tc>
      </w:tr>
      <w:tr>
        <w:trPr>
          <w:trHeight w:val="418"/>
        </w:trPr>
        <w:tc>
          <w:tcPr>
            <w:tcW w:w="600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60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72,587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103,426</w:t>
            </w:r>
          </w:p>
        </w:tc>
        <w:tc>
          <w:tcPr>
            <w:tcW w:w="0" w:type="dxa"/>
            <w:vAlign w:val="bottom"/>
          </w:tcPr>
          <w:p>
            <w:pPr>
              <w:spacing w:after="0"/>
              <w:rPr>
                <w:sz w:val="1"/>
                <w:szCs w:val="1"/>
                <w:color w:val="auto"/>
              </w:rPr>
            </w:pPr>
          </w:p>
        </w:tc>
      </w:tr>
      <w:tr>
        <w:trPr>
          <w:trHeight w:val="216"/>
        </w:trPr>
        <w:tc>
          <w:tcPr>
            <w:tcW w:w="600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26,290</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Corporate expense, management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80"/>
              <w:spacing w:after="0"/>
              <w:rPr>
                <w:sz w:val="20"/>
                <w:szCs w:val="20"/>
                <w:color w:val="auto"/>
              </w:rPr>
            </w:pPr>
            <w:r>
              <w:rPr>
                <w:rFonts w:ascii="Arial" w:cs="Arial" w:eastAsia="Arial" w:hAnsi="Arial"/>
                <w:sz w:val="18"/>
                <w:szCs w:val="18"/>
                <w:color w:val="auto"/>
              </w:rPr>
              <w:t>fees, royalties and other</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23,066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22,715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(23,701)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03"/>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226,527</w:t>
            </w:r>
          </w:p>
        </w:tc>
        <w:tc>
          <w:tcPr>
            <w:tcW w:w="120" w:type="dxa"/>
            <w:vAlign w:val="bottom"/>
          </w:tcPr>
          <w:p>
            <w:pPr>
              <w:spacing w:after="0"/>
              <w:rPr>
                <w:sz w:val="19"/>
                <w:szCs w:val="19"/>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171,667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398,194</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8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86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434,815</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398,194</w:t>
            </w:r>
          </w:p>
        </w:tc>
        <w:tc>
          <w:tcPr>
            <w:tcW w:w="0" w:type="dxa"/>
            <w:vAlign w:val="bottom"/>
          </w:tcPr>
          <w:p>
            <w:pPr>
              <w:spacing w:after="0"/>
              <w:rPr>
                <w:sz w:val="1"/>
                <w:szCs w:val="1"/>
                <w:color w:val="auto"/>
              </w:rPr>
            </w:pPr>
          </w:p>
        </w:tc>
      </w:tr>
      <w:tr>
        <w:trPr>
          <w:trHeight w:val="344"/>
        </w:trPr>
        <w:tc>
          <w:tcPr>
            <w:tcW w:w="886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(12,144)</w:t>
            </w:r>
          </w:p>
        </w:tc>
        <w:tc>
          <w:tcPr>
            <w:tcW w:w="2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88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(126,511)</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(103,426)</w:t>
            </w:r>
          </w:p>
        </w:tc>
        <w:tc>
          <w:tcPr>
            <w:tcW w:w="0" w:type="dxa"/>
            <w:vAlign w:val="bottom"/>
          </w:tcPr>
          <w:p>
            <w:pPr>
              <w:spacing w:after="0"/>
              <w:rPr>
                <w:sz w:val="1"/>
                <w:szCs w:val="1"/>
                <w:color w:val="auto"/>
              </w:rPr>
            </w:pPr>
          </w:p>
        </w:tc>
      </w:tr>
      <w:tr>
        <w:trPr>
          <w:trHeight w:val="216"/>
        </w:trPr>
        <w:tc>
          <w:tcPr>
            <w:tcW w:w="886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(29,565)</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(26,290)</w:t>
            </w:r>
          </w:p>
        </w:tc>
        <w:tc>
          <w:tcPr>
            <w:tcW w:w="0" w:type="dxa"/>
            <w:vAlign w:val="bottom"/>
          </w:tcPr>
          <w:p>
            <w:pPr>
              <w:spacing w:after="0"/>
              <w:rPr>
                <w:sz w:val="1"/>
                <w:szCs w:val="1"/>
                <w:color w:val="auto"/>
              </w:rPr>
            </w:pPr>
          </w:p>
        </w:tc>
      </w:tr>
      <w:tr>
        <w:trPr>
          <w:trHeight w:val="216"/>
        </w:trPr>
        <w:tc>
          <w:tcPr>
            <w:tcW w:w="8860" w:type="dxa"/>
            <w:vAlign w:val="bottom"/>
          </w:tcPr>
          <w:p>
            <w:pPr>
              <w:ind w:left="240"/>
              <w:spacing w:after="0"/>
              <w:rPr>
                <w:sz w:val="20"/>
                <w:szCs w:val="20"/>
                <w:color w:val="auto"/>
              </w:rPr>
            </w:pPr>
            <w:r>
              <w:rPr>
                <w:rFonts w:ascii="Arial" w:cs="Arial" w:eastAsia="Arial" w:hAnsi="Arial"/>
                <w:sz w:val="18"/>
                <w:szCs w:val="18"/>
                <w:color w:val="auto"/>
              </w:rPr>
              <w:t>Corporate expenses and other</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(22,116)</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16"/>
        </w:trPr>
        <w:tc>
          <w:tcPr>
            <w:tcW w:w="886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(8,554)</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16"/>
        </w:trPr>
        <w:tc>
          <w:tcPr>
            <w:tcW w:w="8860" w:type="dxa"/>
            <w:vAlign w:val="bottom"/>
          </w:tcPr>
          <w:p>
            <w:pPr>
              <w:ind w:left="240"/>
              <w:spacing w:after="0"/>
              <w:rPr>
                <w:sz w:val="20"/>
                <w:szCs w:val="20"/>
                <w:color w:val="auto"/>
              </w:rPr>
            </w:pPr>
            <w:r>
              <w:rPr>
                <w:rFonts w:ascii="Arial" w:cs="Arial" w:eastAsia="Arial" w:hAnsi="Arial"/>
                <w:sz w:val="18"/>
                <w:szCs w:val="18"/>
                <w:color w:val="auto"/>
              </w:rPr>
              <w:t>Interest income and other</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22,508</w:t>
            </w:r>
          </w:p>
        </w:tc>
        <w:tc>
          <w:tcPr>
            <w:tcW w:w="0" w:type="dxa"/>
            <w:vAlign w:val="bottom"/>
          </w:tcPr>
          <w:p>
            <w:pPr>
              <w:spacing w:after="0"/>
              <w:rPr>
                <w:sz w:val="1"/>
                <w:szCs w:val="1"/>
                <w:color w:val="auto"/>
              </w:rPr>
            </w:pPr>
          </w:p>
        </w:tc>
      </w:tr>
      <w:tr>
        <w:trPr>
          <w:trHeight w:val="216"/>
        </w:trPr>
        <w:tc>
          <w:tcPr>
            <w:tcW w:w="88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(86,250)</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(73,133)</w:t>
            </w:r>
          </w:p>
        </w:tc>
        <w:tc>
          <w:tcPr>
            <w:tcW w:w="0" w:type="dxa"/>
            <w:vAlign w:val="bottom"/>
          </w:tcPr>
          <w:p>
            <w:pPr>
              <w:spacing w:after="0"/>
              <w:rPr>
                <w:sz w:val="1"/>
                <w:szCs w:val="1"/>
                <w:color w:val="auto"/>
              </w:rPr>
            </w:pPr>
          </w:p>
        </w:tc>
      </w:tr>
      <w:tr>
        <w:trPr>
          <w:trHeight w:val="216"/>
        </w:trPr>
        <w:tc>
          <w:tcPr>
            <w:tcW w:w="8860" w:type="dxa"/>
            <w:vAlign w:val="bottom"/>
          </w:tcPr>
          <w:p>
            <w:pPr>
              <w:ind w:left="240"/>
              <w:spacing w:after="0"/>
              <w:rPr>
                <w:sz w:val="20"/>
                <w:szCs w:val="20"/>
                <w:color w:val="auto"/>
              </w:rPr>
            </w:pPr>
            <w:r>
              <w:rPr>
                <w:rFonts w:ascii="Arial" w:cs="Arial" w:eastAsia="Arial" w:hAnsi="Arial"/>
                <w:sz w:val="18"/>
                <w:szCs w:val="18"/>
                <w:color w:val="auto"/>
              </w:rPr>
              <w:t>Increase in swap fair value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Loss from extinguishment of debt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142,833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(37,454)</w:t>
            </w:r>
          </w:p>
        </w:tc>
        <w:tc>
          <w:tcPr>
            <w:tcW w:w="0" w:type="dxa"/>
            <w:vAlign w:val="bottom"/>
          </w:tcPr>
          <w:p>
            <w:pPr>
              <w:spacing w:after="0"/>
              <w:rPr>
                <w:sz w:val="1"/>
                <w:szCs w:val="1"/>
                <w:color w:val="auto"/>
              </w:rPr>
            </w:pPr>
          </w:p>
        </w:tc>
      </w:tr>
      <w:tr>
        <w:trPr>
          <w:trHeight w:val="203"/>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318,710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147,955</w:t>
            </w:r>
          </w:p>
        </w:tc>
        <w:tc>
          <w:tcPr>
            <w:tcW w:w="0" w:type="dxa"/>
            <w:vAlign w:val="bottom"/>
          </w:tcPr>
          <w:p>
            <w:pPr>
              <w:spacing w:after="0"/>
              <w:rPr>
                <w:sz w:val="1"/>
                <w:szCs w:val="1"/>
                <w:color w:val="auto"/>
              </w:rPr>
            </w:pPr>
          </w:p>
        </w:tc>
      </w:tr>
      <w:tr>
        <w:trPr>
          <w:trHeight w:val="1604"/>
        </w:trPr>
        <w:tc>
          <w:tcPr>
            <w:tcW w:w="8860" w:type="dxa"/>
            <w:vAlign w:val="bottom"/>
            <w:tcBorders>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760" w:type="dxa"/>
            <w:vAlign w:val="bottom"/>
            <w:tcBorders>
              <w:top w:val="single" w:sz="8" w:color="auto"/>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93"/>
        </w:trPr>
        <w:tc>
          <w:tcPr>
            <w:tcW w:w="4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6"/>
                <w:szCs w:val="16"/>
                <w:color w:val="auto"/>
              </w:rPr>
            </w:pPr>
          </w:p>
        </w:tc>
        <w:tc>
          <w:tcPr>
            <w:tcW w:w="120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6"/>
                <w:szCs w:val="16"/>
                <w:color w:val="auto"/>
              </w:rPr>
            </w:pPr>
          </w:p>
        </w:tc>
        <w:tc>
          <w:tcPr>
            <w:tcW w:w="118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6"/>
                <w:szCs w:val="16"/>
                <w:color w:val="auto"/>
              </w:rPr>
            </w:pPr>
          </w:p>
        </w:tc>
        <w:tc>
          <w:tcPr>
            <w:tcW w:w="114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June 30,</w:t>
            </w:r>
          </w:p>
        </w:tc>
      </w:tr>
      <w:tr>
        <w:trPr>
          <w:trHeight w:val="246"/>
        </w:trPr>
        <w:tc>
          <w:tcPr>
            <w:tcW w:w="4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Room Statistics for Wynn Las Vegas: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4880" w:type="dxa"/>
            <w:vAlign w:val="bottom"/>
          </w:tcPr>
          <w:p>
            <w:pPr>
              <w:ind w:left="640"/>
              <w:spacing w:after="0"/>
              <w:rPr>
                <w:sz w:val="20"/>
                <w:szCs w:val="20"/>
                <w:color w:val="auto"/>
              </w:rPr>
            </w:pPr>
            <w:r>
              <w:rPr>
                <w:rFonts w:ascii="Arial" w:cs="Arial" w:eastAsia="Arial" w:hAnsi="Arial"/>
                <w:sz w:val="18"/>
                <w:szCs w:val="18"/>
                <w:color w:val="auto"/>
              </w:rPr>
              <w:t>Occupancy %</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4880" w:type="dxa"/>
            <w:vAlign w:val="bottom"/>
          </w:tcPr>
          <w:p>
            <w:pPr>
              <w:ind w:left="640"/>
              <w:spacing w:after="0" w:line="216"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1"/>
                <w:szCs w:val="21"/>
                <w:color w:val="auto"/>
                <w:vertAlign w:val="superscript"/>
              </w:rPr>
              <w:t>1</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310</w:t>
            </w:r>
          </w:p>
        </w:tc>
      </w:tr>
      <w:tr>
        <w:trPr>
          <w:trHeight w:val="276"/>
        </w:trPr>
        <w:tc>
          <w:tcPr>
            <w:tcW w:w="4880" w:type="dxa"/>
            <w:vAlign w:val="bottom"/>
          </w:tcPr>
          <w:p>
            <w:pPr>
              <w:ind w:left="64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1"/>
                <w:szCs w:val="21"/>
                <w:color w:val="auto"/>
                <w:vertAlign w:val="superscript"/>
              </w:rPr>
              <w:t>2</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300</w:t>
            </w:r>
          </w:p>
        </w:tc>
      </w:tr>
      <w:tr>
        <w:trPr>
          <w:trHeight w:val="372"/>
        </w:trPr>
        <w:tc>
          <w:tcPr>
            <w:tcW w:w="4880" w:type="dxa"/>
            <w:vAlign w:val="bottom"/>
          </w:tcPr>
          <w:p>
            <w:pPr>
              <w:spacing w:after="0"/>
              <w:rPr>
                <w:sz w:val="20"/>
                <w:szCs w:val="20"/>
                <w:color w:val="auto"/>
              </w:rPr>
            </w:pPr>
            <w:r>
              <w:rPr>
                <w:rFonts w:ascii="Arial" w:cs="Arial" w:eastAsia="Arial" w:hAnsi="Arial"/>
                <w:sz w:val="18"/>
                <w:szCs w:val="18"/>
                <w:color w:val="auto"/>
              </w:rPr>
              <w:t>Other information for Wynn Las Vegas: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4880" w:type="dxa"/>
            <w:vAlign w:val="bottom"/>
          </w:tcPr>
          <w:p>
            <w:pPr>
              <w:ind w:left="540"/>
              <w:spacing w:after="0" w:line="219"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1"/>
                <w:szCs w:val="21"/>
                <w:color w:val="auto"/>
                <w:vertAlign w:val="superscript"/>
              </w:rPr>
              <w:t>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7,742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10,443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8,175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11,568</w:t>
            </w:r>
          </w:p>
        </w:tc>
      </w:tr>
      <w:tr>
        <w:trPr>
          <w:trHeight w:val="214"/>
        </w:trPr>
        <w:tc>
          <w:tcPr>
            <w:tcW w:w="4880" w:type="dxa"/>
            <w:vAlign w:val="bottom"/>
          </w:tcPr>
          <w:p>
            <w:pPr>
              <w:ind w:left="540"/>
              <w:spacing w:after="0"/>
              <w:rPr>
                <w:sz w:val="20"/>
                <w:szCs w:val="20"/>
                <w:color w:val="auto"/>
              </w:rPr>
            </w:pPr>
            <w:r>
              <w:rPr>
                <w:rFonts w:ascii="Arial" w:cs="Arial" w:eastAsia="Arial" w:hAnsi="Arial"/>
                <w:sz w:val="18"/>
                <w:szCs w:val="18"/>
                <w:color w:val="auto"/>
              </w:rPr>
              <w:t>Table Win %</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18"/>
        </w:trPr>
        <w:tc>
          <w:tcPr>
            <w:tcW w:w="4880" w:type="dxa"/>
            <w:vAlign w:val="bottom"/>
          </w:tcPr>
          <w:p>
            <w:pPr>
              <w:ind w:left="540"/>
              <w:spacing w:after="0" w:line="219"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1"/>
                <w:szCs w:val="21"/>
                <w:color w:val="auto"/>
                <w:vertAlign w:val="superscript"/>
              </w:rPr>
              <w:t>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263</w:t>
            </w:r>
          </w:p>
        </w:tc>
      </w:tr>
      <w:tr>
        <w:trPr>
          <w:trHeight w:val="216"/>
        </w:trPr>
        <w:tc>
          <w:tcPr>
            <w:tcW w:w="4880" w:type="dxa"/>
            <w:vAlign w:val="bottom"/>
          </w:tcPr>
          <w:p>
            <w:pPr>
              <w:ind w:left="540"/>
              <w:spacing w:after="0"/>
              <w:rPr>
                <w:sz w:val="20"/>
                <w:szCs w:val="20"/>
                <w:color w:val="auto"/>
              </w:rPr>
            </w:pPr>
            <w:r>
              <w:rPr>
                <w:rFonts w:ascii="Arial" w:cs="Arial" w:eastAsia="Arial" w:hAnsi="Arial"/>
                <w:sz w:val="18"/>
                <w:szCs w:val="18"/>
                <w:color w:val="auto"/>
              </w:rPr>
              <w:t>Average number of table games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138</w:t>
            </w: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1,968</w:t>
            </w:r>
          </w:p>
        </w:tc>
        <w:tc>
          <w:tcPr>
            <w:tcW w:w="2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1,976</w:t>
            </w:r>
          </w:p>
        </w:tc>
        <w:tc>
          <w:tcPr>
            <w:tcW w:w="22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1,947</w:t>
            </w:r>
          </w:p>
        </w:tc>
        <w:tc>
          <w:tcPr>
            <w:tcW w:w="2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1,956</w:t>
            </w:r>
          </w:p>
        </w:tc>
      </w:tr>
      <w:tr>
        <w:trPr>
          <w:trHeight w:val="418"/>
        </w:trPr>
        <w:tc>
          <w:tcPr>
            <w:tcW w:w="4880" w:type="dxa"/>
            <w:vAlign w:val="bottom"/>
          </w:tcPr>
          <w:p>
            <w:pPr>
              <w:spacing w:after="0"/>
              <w:rPr>
                <w:sz w:val="20"/>
                <w:szCs w:val="20"/>
                <w:color w:val="auto"/>
              </w:rPr>
            </w:pPr>
            <w:r>
              <w:rPr>
                <w:rFonts w:ascii="Arial" w:cs="Arial" w:eastAsia="Arial" w:hAnsi="Arial"/>
                <w:sz w:val="18"/>
                <w:szCs w:val="18"/>
                <w:color w:val="auto"/>
              </w:rPr>
              <w:t>Room Statistics for Wynn Macau:</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4"/>
        </w:trPr>
        <w:tc>
          <w:tcPr>
            <w:tcW w:w="4880" w:type="dxa"/>
            <w:vAlign w:val="bottom"/>
          </w:tcPr>
          <w:p>
            <w:pPr>
              <w:ind w:left="640"/>
              <w:spacing w:after="0"/>
              <w:rPr>
                <w:sz w:val="20"/>
                <w:szCs w:val="20"/>
                <w:color w:val="auto"/>
              </w:rPr>
            </w:pPr>
            <w:r>
              <w:rPr>
                <w:rFonts w:ascii="Arial" w:cs="Arial" w:eastAsia="Arial" w:hAnsi="Arial"/>
                <w:sz w:val="18"/>
                <w:szCs w:val="18"/>
                <w:color w:val="auto"/>
              </w:rPr>
              <w:t>Occupancy %</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16"/>
        </w:trPr>
        <w:tc>
          <w:tcPr>
            <w:tcW w:w="4880" w:type="dxa"/>
            <w:vAlign w:val="bottom"/>
          </w:tcPr>
          <w:p>
            <w:pPr>
              <w:ind w:left="640"/>
              <w:spacing w:after="0" w:line="216"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1"/>
                <w:szCs w:val="21"/>
                <w:color w:val="auto"/>
                <w:vertAlign w:val="superscript"/>
              </w:rPr>
              <w:t>1</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252</w:t>
            </w:r>
          </w:p>
        </w:tc>
      </w:tr>
      <w:tr>
        <w:trPr>
          <w:trHeight w:val="276"/>
        </w:trPr>
        <w:tc>
          <w:tcPr>
            <w:tcW w:w="4880" w:type="dxa"/>
            <w:vAlign w:val="bottom"/>
          </w:tcPr>
          <w:p>
            <w:pPr>
              <w:ind w:left="64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1"/>
                <w:szCs w:val="21"/>
                <w:color w:val="auto"/>
                <w:vertAlign w:val="superscript"/>
              </w:rPr>
              <w:t>2</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215</w:t>
            </w:r>
          </w:p>
        </w:tc>
      </w:tr>
      <w:tr>
        <w:trPr>
          <w:trHeight w:val="372"/>
        </w:trPr>
        <w:tc>
          <w:tcPr>
            <w:tcW w:w="4880" w:type="dxa"/>
            <w:vAlign w:val="bottom"/>
          </w:tcPr>
          <w:p>
            <w:pPr>
              <w:spacing w:after="0"/>
              <w:rPr>
                <w:sz w:val="20"/>
                <w:szCs w:val="20"/>
                <w:color w:val="auto"/>
              </w:rPr>
            </w:pPr>
            <w:r>
              <w:rPr>
                <w:rFonts w:ascii="Arial" w:cs="Arial" w:eastAsia="Arial" w:hAnsi="Arial"/>
                <w:sz w:val="18"/>
                <w:szCs w:val="18"/>
                <w:color w:val="auto"/>
              </w:rPr>
              <w:t>Other information for Wynn Macau:</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880" w:type="dxa"/>
            <w:vAlign w:val="bottom"/>
          </w:tcPr>
          <w:p>
            <w:pPr>
              <w:ind w:left="540"/>
              <w:spacing w:after="0" w:line="216"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1"/>
                <w:szCs w:val="21"/>
                <w:color w:val="auto"/>
                <w:vertAlign w:val="superscript"/>
              </w:rPr>
              <w:t>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17,289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17,292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16,740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16,356</w:t>
            </w:r>
          </w:p>
        </w:tc>
      </w:tr>
      <w:tr>
        <w:trPr>
          <w:trHeight w:val="218"/>
        </w:trPr>
        <w:tc>
          <w:tcPr>
            <w:tcW w:w="4880" w:type="dxa"/>
            <w:vAlign w:val="bottom"/>
          </w:tcPr>
          <w:p>
            <w:pPr>
              <w:ind w:left="540"/>
              <w:spacing w:after="0" w:line="219"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1"/>
                <w:szCs w:val="21"/>
                <w:color w:val="auto"/>
                <w:vertAlign w:val="superscript"/>
              </w:rPr>
              <w:t>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488</w:t>
            </w:r>
          </w:p>
        </w:tc>
      </w:tr>
      <w:tr>
        <w:trPr>
          <w:trHeight w:val="216"/>
        </w:trPr>
        <w:tc>
          <w:tcPr>
            <w:tcW w:w="4880" w:type="dxa"/>
            <w:vAlign w:val="bottom"/>
          </w:tcPr>
          <w:p>
            <w:pPr>
              <w:ind w:left="540"/>
              <w:spacing w:after="0"/>
              <w:rPr>
                <w:sz w:val="20"/>
                <w:szCs w:val="20"/>
                <w:color w:val="auto"/>
              </w:rPr>
            </w:pPr>
            <w:r>
              <w:rPr>
                <w:rFonts w:ascii="Arial" w:cs="Arial" w:eastAsia="Arial" w:hAnsi="Arial"/>
                <w:sz w:val="18"/>
                <w:szCs w:val="18"/>
                <w:color w:val="auto"/>
              </w:rPr>
              <w:t>Average number of table games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246</w:t>
            </w: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1,258</w:t>
            </w:r>
          </w:p>
        </w:tc>
        <w:tc>
          <w:tcPr>
            <w:tcW w:w="2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79" w:lineRule="exact"/>
        <w:rPr>
          <w:rFonts w:ascii="Arial" w:cs="Arial" w:eastAsia="Arial" w:hAnsi="Arial"/>
          <w:sz w:val="18"/>
          <w:szCs w:val="18"/>
          <w:color w:val="auto"/>
        </w:rPr>
      </w:pPr>
    </w:p>
    <w:p>
      <w:pPr>
        <w:ind w:right="500" w:firstLine="8"/>
        <w:spacing w:after="0" w:line="262"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spacing w:after="0" w:line="250"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7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420"/>
      </w:cols>
      <w:pgMar w:left="240" w:top="8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2019-12-15T08:08:11Z</dcterms:created>
  <dcterms:modified xsi:type="dcterms:W3CDTF">2019-12-15T08:08:11Z</dcterms:modified>
</cp:coreProperties>
</file>