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23,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2940" w:type="dxa"/>
            <w:vAlign w:val="bottom"/>
          </w:tcPr>
          <w:p>
            <w:pPr>
              <w:jc w:val="center"/>
              <w:ind w:right="1242"/>
              <w:spacing w:after="0"/>
              <w:rPr>
                <w:sz w:val="20"/>
                <w:szCs w:val="20"/>
                <w:color w:val="auto"/>
              </w:rPr>
            </w:pPr>
            <w:r>
              <w:rPr>
                <w:rFonts w:ascii="Arial" w:cs="Arial" w:eastAsia="Arial" w:hAnsi="Arial"/>
                <w:sz w:val="18"/>
                <w:szCs w:val="18"/>
                <w:b w:val="1"/>
                <w:bCs w:val="1"/>
                <w:color w:val="auto"/>
                <w:w w:val="90"/>
              </w:rPr>
              <w:t>Nevada</w:t>
            </w:r>
          </w:p>
        </w:tc>
        <w:tc>
          <w:tcPr>
            <w:tcW w:w="3500" w:type="dxa"/>
            <w:vAlign w:val="bottom"/>
          </w:tcPr>
          <w:p>
            <w:pPr>
              <w:ind w:left="1320"/>
              <w:spacing w:after="0"/>
              <w:rPr>
                <w:sz w:val="20"/>
                <w:szCs w:val="20"/>
                <w:color w:val="auto"/>
              </w:rPr>
            </w:pPr>
            <w:r>
              <w:rPr>
                <w:rFonts w:ascii="Arial" w:cs="Arial" w:eastAsia="Arial" w:hAnsi="Arial"/>
                <w:sz w:val="18"/>
                <w:szCs w:val="18"/>
                <w:b w:val="1"/>
                <w:bCs w:val="1"/>
                <w:color w:val="auto"/>
              </w:rPr>
              <w:t>000-50028</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46-0484987</w:t>
            </w:r>
          </w:p>
        </w:tc>
      </w:tr>
      <w:tr>
        <w:trPr>
          <w:trHeight w:val="180"/>
        </w:trPr>
        <w:tc>
          <w:tcPr>
            <w:tcW w:w="2940" w:type="dxa"/>
            <w:vAlign w:val="bottom"/>
          </w:tcPr>
          <w:p>
            <w:pPr>
              <w:jc w:val="center"/>
              <w:ind w:right="1222"/>
              <w:spacing w:after="0"/>
              <w:rPr>
                <w:sz w:val="20"/>
                <w:szCs w:val="20"/>
                <w:color w:val="auto"/>
              </w:rPr>
            </w:pPr>
            <w:r>
              <w:rPr>
                <w:rFonts w:ascii="Arial" w:cs="Arial" w:eastAsia="Arial" w:hAnsi="Arial"/>
                <w:sz w:val="14"/>
                <w:szCs w:val="14"/>
                <w:b w:val="1"/>
                <w:bCs w:val="1"/>
                <w:color w:val="auto"/>
                <w:w w:val="93"/>
              </w:rPr>
              <w:t>(State or other jurisdiction</w:t>
            </w:r>
          </w:p>
        </w:tc>
        <w:tc>
          <w:tcPr>
            <w:tcW w:w="3500" w:type="dxa"/>
            <w:vAlign w:val="bottom"/>
          </w:tcPr>
          <w:p>
            <w:pPr>
              <w:ind w:left="1300"/>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94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00" w:type="dxa"/>
            <w:vAlign w:val="bottom"/>
          </w:tcPr>
          <w:p>
            <w:pPr>
              <w:ind w:left="128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304800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0" w:type="dxa"/>
        <w:tblCellMar>
          <w:top w:w="0" w:type="dxa"/>
          <w:left w:w="0" w:type="dxa"/>
          <w:bottom w:w="0" w:type="dxa"/>
          <w:right w:w="0" w:type="dxa"/>
        </w:tblCellMar>
      </w:tblPr>
      <w:tr>
        <w:trPr>
          <w:trHeight w:val="234"/>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4460" w:type="dxa"/>
            <w:vAlign w:val="bottom"/>
          </w:tcPr>
          <w:p>
            <w:pPr>
              <w:jc w:val="center"/>
              <w:ind w:right="440"/>
              <w:spacing w:after="0"/>
              <w:rPr>
                <w:sz w:val="20"/>
                <w:szCs w:val="20"/>
                <w:color w:val="auto"/>
              </w:rPr>
            </w:pPr>
            <w:r>
              <w:rPr>
                <w:rFonts w:ascii="Arial" w:cs="Arial" w:eastAsia="Arial" w:hAnsi="Arial"/>
                <w:sz w:val="18"/>
                <w:szCs w:val="18"/>
                <w:b w:val="1"/>
                <w:bCs w:val="1"/>
                <w:color w:val="auto"/>
                <w:w w:val="89"/>
              </w:rPr>
              <w:t>333-100768</w:t>
            </w:r>
          </w:p>
        </w:tc>
        <w:tc>
          <w:tcPr>
            <w:tcW w:w="1700" w:type="dxa"/>
            <w:vAlign w:val="bottom"/>
          </w:tcPr>
          <w:p>
            <w:pPr>
              <w:jc w:val="right"/>
              <w:ind w:right="61"/>
              <w:spacing w:after="0"/>
              <w:rPr>
                <w:sz w:val="20"/>
                <w:szCs w:val="20"/>
                <w:color w:val="auto"/>
              </w:rPr>
            </w:pPr>
            <w:r>
              <w:rPr>
                <w:rFonts w:ascii="Arial" w:cs="Arial" w:eastAsia="Arial" w:hAnsi="Arial"/>
                <w:sz w:val="18"/>
                <w:szCs w:val="18"/>
                <w:b w:val="1"/>
                <w:bCs w:val="1"/>
                <w:color w:val="auto"/>
              </w:rPr>
              <w:t>88-0494875</w:t>
            </w:r>
          </w:p>
        </w:tc>
      </w:tr>
      <w:tr>
        <w:trPr>
          <w:trHeight w:val="180"/>
        </w:trPr>
        <w:tc>
          <w:tcPr>
            <w:tcW w:w="358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(State or other jurisdiction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2"/>
              </w:rPr>
              <w:t>(Commission</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4"/>
              </w:rPr>
              <w:t>of incorporation)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5"/>
              </w:rPr>
              <w:t>File Number)</w:t>
            </w: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3131 Las Vegas Boulevard South</w:t>
            </w:r>
          </w:p>
        </w:tc>
        <w:tc>
          <w:tcPr>
            <w:tcW w:w="44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4"/>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Las Vegas, Nevada</w:t>
            </w:r>
          </w:p>
        </w:tc>
        <w:tc>
          <w:tcPr>
            <w:tcW w:w="4460" w:type="dxa"/>
            <w:vAlign w:val="bottom"/>
          </w:tcPr>
          <w:p>
            <w:pPr>
              <w:spacing w:after="0"/>
              <w:rPr>
                <w:sz w:val="20"/>
                <w:szCs w:val="20"/>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 of each registrant)</w:t>
            </w:r>
          </w:p>
        </w:tc>
        <w:tc>
          <w:tcPr>
            <w:tcW w:w="4460" w:type="dxa"/>
            <w:vAlign w:val="bottom"/>
          </w:tcPr>
          <w:p>
            <w:pPr>
              <w:spacing w:after="0"/>
              <w:rPr>
                <w:sz w:val="18"/>
                <w:szCs w:val="18"/>
                <w:color w:val="auto"/>
              </w:rPr>
            </w:pP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5"/>
              </w:rPr>
              <w:t>(Zip Code)</w:t>
            </w:r>
          </w:p>
        </w:tc>
      </w:tr>
      <w:tr>
        <w:trPr>
          <w:trHeight w:val="489"/>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0"/>
              </w:rPr>
              <w:t>(702) 770-7555</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4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00" w:type="dxa"/>
            <w:vAlign w:val="bottom"/>
          </w:tcPr>
          <w:p>
            <w:pPr>
              <w:spacing w:after="0"/>
              <w:rPr>
                <w:sz w:val="16"/>
                <w:szCs w:val="16"/>
                <w:color w:val="auto"/>
              </w:rPr>
            </w:pPr>
          </w:p>
        </w:tc>
      </w:tr>
      <w:tr>
        <w:trPr>
          <w:trHeight w:val="408"/>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38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00" w:type="dxa"/>
            <w:vAlign w:val="bottom"/>
          </w:tcPr>
          <w:p>
            <w:pPr>
              <w:spacing w:after="0"/>
              <w:rPr>
                <w:sz w:val="16"/>
                <w:szCs w:val="16"/>
                <w:color w:val="auto"/>
              </w:rPr>
            </w:pPr>
          </w:p>
        </w:tc>
      </w:tr>
    </w:tbl>
    <w:p>
      <w:pPr>
        <w:spacing w:after="0" w:line="146" w:lineRule="exact"/>
        <w:rPr>
          <w:sz w:val="24"/>
          <w:szCs w:val="24"/>
          <w:color w:val="auto"/>
        </w:rPr>
      </w:pPr>
    </w:p>
    <w:p>
      <w:pPr>
        <w:ind w:right="560"/>
        <w:spacing w:after="0" w:line="255"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47" w:right="23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83"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As previously disclosed, in May 2017, Wynn Las Vegas, LLC (the "Company") and Wynn Las Vegas Capital Corp. (together with the Company, the "Issuers"), each an indirect wholly owned subsidiary of Wynn Resorts, Limited, settled a cash tender offer for all of the 5.375% First Mortgage Notes due 2022 (the "2022 Notes") validly tendered. The Issuers subsequently satisfied and discharged the indenture governing the 2022 Notes and redeemed any 2022 Notes not tendered. As a result of the purchase and redemption of all of the 2022 Notes, the Company is filing a Form 15 with the Securities and Exchange Commission to terminate registration of the 2022 Notes under Section 12(g) of the Securities Exchange Act of 1934, as amended (the "Exchange Act"), and suspend the Company's duty to file reports under Section 15(d) of the Exchange Act.</w:t>
      </w:r>
    </w:p>
    <w:p>
      <w:pPr>
        <w:spacing w:after="0" w:line="17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Company's deregistration under the Exchange Act does not affect the Company's obligations pursuant to the indentures governing the 5.25% Senior Notes due 2027, 5.50% Senior Notes due 2025, and 4.25% Senior Notes due 2023 to furnish or provide access to the financial reports and other information required under the applicable indentures (in the manner required by the indentures). The Company's Form 15 does not affect the status or reporting obligations of Wynn Resorts, Limited under the Exchange Act.</w:t>
      </w:r>
    </w:p>
    <w:p>
      <w:pPr>
        <w:sectPr>
          <w:pgSz w:w="11900" w:h="16838" w:orient="portrait"/>
          <w:cols w:equalWidth="0" w:num="1">
            <w:col w:w="11380"/>
          </w:cols>
          <w:pgMar w:left="240" w:top="958" w:right="27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June 23,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0780"/>
          </w:cols>
          <w:pgMar w:left="240" w:top="796" w:right="8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Arial" w:cs="Arial" w:eastAsia="Arial" w:hAnsi="Arial"/>
                <w:sz w:val="18"/>
                <w:szCs w:val="18"/>
                <w:b w:val="1"/>
                <w:bCs w:val="1"/>
                <w:color w:val="auto"/>
              </w:rPr>
              <w:t>WYNN LAS VEGAS, LLC</w:t>
            </w:r>
          </w:p>
        </w:tc>
      </w:tr>
      <w:tr>
        <w:trPr>
          <w:trHeight w:val="377"/>
        </w:trPr>
        <w:tc>
          <w:tcPr>
            <w:tcW w:w="4140" w:type="dxa"/>
            <w:vAlign w:val="bottom"/>
          </w:tcPr>
          <w:p>
            <w:pPr>
              <w:spacing w:after="0"/>
              <w:rPr>
                <w:sz w:val="20"/>
                <w:szCs w:val="20"/>
                <w:color w:val="auto"/>
              </w:rPr>
            </w:pPr>
            <w:r>
              <w:rPr>
                <w:rFonts w:ascii="Arial" w:cs="Arial" w:eastAsia="Arial" w:hAnsi="Arial"/>
                <w:sz w:val="18"/>
                <w:szCs w:val="18"/>
                <w:color w:val="auto"/>
              </w:rPr>
              <w:t>Dated: June 23, 2017</w:t>
            </w:r>
          </w:p>
        </w:tc>
        <w:tc>
          <w:tcPr>
            <w:tcW w:w="3140" w:type="dxa"/>
            <w:vAlign w:val="bottom"/>
          </w:tcPr>
          <w:p>
            <w:pPr>
              <w:ind w:left="2600"/>
              <w:spacing w:after="0"/>
              <w:rPr>
                <w:sz w:val="20"/>
                <w:szCs w:val="20"/>
                <w:color w:val="auto"/>
              </w:rPr>
            </w:pPr>
            <w:r>
              <w:rPr>
                <w:rFonts w:ascii="Arial" w:cs="Arial" w:eastAsia="Arial" w:hAnsi="Arial"/>
                <w:sz w:val="18"/>
                <w:szCs w:val="18"/>
                <w:color w:val="auto"/>
              </w:rPr>
              <w:t>By:</w:t>
            </w:r>
          </w:p>
        </w:tc>
        <w:tc>
          <w:tcPr>
            <w:tcW w:w="4100" w:type="dxa"/>
            <w:vAlign w:val="bottom"/>
          </w:tcPr>
          <w:p>
            <w:pPr>
              <w:ind w:left="120"/>
              <w:spacing w:after="0"/>
              <w:rPr>
                <w:sz w:val="20"/>
                <w:szCs w:val="20"/>
                <w:color w:val="auto"/>
              </w:rPr>
            </w:pPr>
            <w:r>
              <w:rPr>
                <w:rFonts w:ascii="Arial" w:cs="Arial" w:eastAsia="Arial" w:hAnsi="Arial"/>
                <w:sz w:val="18"/>
                <w:szCs w:val="18"/>
                <w:color w:val="auto"/>
              </w:rPr>
              <w:t>Wynn Las Vegas Holdings, LLC, its</w:t>
            </w:r>
          </w:p>
        </w:tc>
      </w:tr>
      <w:tr>
        <w:trPr>
          <w:trHeight w:val="230"/>
        </w:trPr>
        <w:tc>
          <w:tcPr>
            <w:tcW w:w="41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100" w:type="dxa"/>
            <w:vAlign w:val="bottom"/>
          </w:tcPr>
          <w:p>
            <w:pPr>
              <w:ind w:left="120"/>
              <w:spacing w:after="0"/>
              <w:rPr>
                <w:sz w:val="20"/>
                <w:szCs w:val="20"/>
                <w:color w:val="auto"/>
              </w:rPr>
            </w:pPr>
            <w:r>
              <w:rPr>
                <w:rFonts w:ascii="Arial" w:cs="Arial" w:eastAsia="Arial" w:hAnsi="Arial"/>
                <w:sz w:val="18"/>
                <w:szCs w:val="18"/>
                <w:color w:val="auto"/>
              </w:rPr>
              <w:t>sole member</w:t>
            </w:r>
          </w:p>
        </w:tc>
      </w:tr>
      <w:tr>
        <w:trPr>
          <w:trHeight w:val="567"/>
        </w:trPr>
        <w:tc>
          <w:tcPr>
            <w:tcW w:w="4140" w:type="dxa"/>
            <w:vAlign w:val="bottom"/>
          </w:tcPr>
          <w:p>
            <w:pPr>
              <w:spacing w:after="0"/>
              <w:rPr>
                <w:sz w:val="24"/>
                <w:szCs w:val="24"/>
                <w:color w:val="auto"/>
              </w:rPr>
            </w:pPr>
          </w:p>
        </w:tc>
        <w:tc>
          <w:tcPr>
            <w:tcW w:w="3140" w:type="dxa"/>
            <w:vAlign w:val="bottom"/>
          </w:tcPr>
          <w:p>
            <w:pPr>
              <w:ind w:left="2600"/>
              <w:spacing w:after="0"/>
              <w:rPr>
                <w:sz w:val="20"/>
                <w:szCs w:val="20"/>
                <w:color w:val="auto"/>
              </w:rPr>
            </w:pPr>
            <w:r>
              <w:rPr>
                <w:rFonts w:ascii="Arial" w:cs="Arial" w:eastAsia="Arial" w:hAnsi="Arial"/>
                <w:sz w:val="18"/>
                <w:szCs w:val="18"/>
                <w:color w:val="auto"/>
              </w:rPr>
              <w:t>By:</w:t>
            </w:r>
          </w:p>
        </w:tc>
        <w:tc>
          <w:tcPr>
            <w:tcW w:w="4100" w:type="dxa"/>
            <w:vAlign w:val="bottom"/>
          </w:tcPr>
          <w:p>
            <w:pPr>
              <w:ind w:left="120"/>
              <w:spacing w:after="0"/>
              <w:rPr>
                <w:sz w:val="20"/>
                <w:szCs w:val="20"/>
                <w:color w:val="auto"/>
              </w:rPr>
            </w:pPr>
            <w:r>
              <w:rPr>
                <w:rFonts w:ascii="Arial" w:cs="Arial" w:eastAsia="Arial" w:hAnsi="Arial"/>
                <w:sz w:val="18"/>
                <w:szCs w:val="18"/>
                <w:color w:val="auto"/>
              </w:rPr>
              <w:t>Wynn America, LLC, its sole member</w:t>
            </w:r>
          </w:p>
        </w:tc>
      </w:tr>
      <w:tr>
        <w:trPr>
          <w:trHeight w:val="553"/>
        </w:trPr>
        <w:tc>
          <w:tcPr>
            <w:tcW w:w="4140" w:type="dxa"/>
            <w:vAlign w:val="bottom"/>
          </w:tcPr>
          <w:p>
            <w:pPr>
              <w:spacing w:after="0"/>
              <w:rPr>
                <w:sz w:val="24"/>
                <w:szCs w:val="24"/>
                <w:color w:val="auto"/>
              </w:rPr>
            </w:pPr>
          </w:p>
        </w:tc>
        <w:tc>
          <w:tcPr>
            <w:tcW w:w="3140" w:type="dxa"/>
            <w:vAlign w:val="bottom"/>
          </w:tcPr>
          <w:p>
            <w:pPr>
              <w:ind w:left="2600"/>
              <w:spacing w:after="0"/>
              <w:rPr>
                <w:sz w:val="20"/>
                <w:szCs w:val="20"/>
                <w:color w:val="auto"/>
              </w:rPr>
            </w:pPr>
            <w:r>
              <w:rPr>
                <w:rFonts w:ascii="Arial" w:cs="Arial" w:eastAsia="Arial" w:hAnsi="Arial"/>
                <w:sz w:val="18"/>
                <w:szCs w:val="18"/>
                <w:color w:val="auto"/>
              </w:rPr>
              <w:t>By:</w:t>
            </w:r>
          </w:p>
        </w:tc>
        <w:tc>
          <w:tcPr>
            <w:tcW w:w="4100" w:type="dxa"/>
            <w:vAlign w:val="bottom"/>
          </w:tcPr>
          <w:p>
            <w:pPr>
              <w:ind w:left="120"/>
              <w:spacing w:after="0"/>
              <w:rPr>
                <w:sz w:val="20"/>
                <w:szCs w:val="20"/>
                <w:color w:val="auto"/>
              </w:rPr>
            </w:pPr>
            <w:r>
              <w:rPr>
                <w:rFonts w:ascii="Arial" w:cs="Arial" w:eastAsia="Arial" w:hAnsi="Arial"/>
                <w:sz w:val="18"/>
                <w:szCs w:val="18"/>
                <w:color w:val="auto"/>
              </w:rPr>
              <w:t>Wynn Resorts Holdings, LLC, its</w:t>
            </w:r>
          </w:p>
        </w:tc>
      </w:tr>
      <w:tr>
        <w:trPr>
          <w:trHeight w:val="230"/>
        </w:trPr>
        <w:tc>
          <w:tcPr>
            <w:tcW w:w="41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sole member</w:t>
            </w:r>
          </w:p>
        </w:tc>
      </w:tr>
      <w:tr>
        <w:trPr>
          <w:trHeight w:val="553"/>
        </w:trPr>
        <w:tc>
          <w:tcPr>
            <w:tcW w:w="4140" w:type="dxa"/>
            <w:vAlign w:val="bottom"/>
          </w:tcPr>
          <w:p>
            <w:pPr>
              <w:spacing w:after="0"/>
              <w:rPr>
                <w:sz w:val="24"/>
                <w:szCs w:val="24"/>
                <w:color w:val="auto"/>
              </w:rPr>
            </w:pPr>
          </w:p>
        </w:tc>
        <w:tc>
          <w:tcPr>
            <w:tcW w:w="3140" w:type="dxa"/>
            <w:vAlign w:val="bottom"/>
          </w:tcPr>
          <w:p>
            <w:pPr>
              <w:ind w:left="2600"/>
              <w:spacing w:after="0"/>
              <w:rPr>
                <w:sz w:val="20"/>
                <w:szCs w:val="20"/>
                <w:color w:val="auto"/>
              </w:rPr>
            </w:pPr>
            <w:r>
              <w:rPr>
                <w:rFonts w:ascii="Arial" w:cs="Arial" w:eastAsia="Arial" w:hAnsi="Arial"/>
                <w:sz w:val="18"/>
                <w:szCs w:val="18"/>
                <w:color w:val="auto"/>
              </w:rPr>
              <w:t>By:</w:t>
            </w:r>
          </w:p>
        </w:tc>
        <w:tc>
          <w:tcPr>
            <w:tcW w:w="4100" w:type="dxa"/>
            <w:vAlign w:val="bottom"/>
          </w:tcPr>
          <w:p>
            <w:pPr>
              <w:ind w:left="120"/>
              <w:spacing w:after="0"/>
              <w:rPr>
                <w:sz w:val="20"/>
                <w:szCs w:val="20"/>
                <w:color w:val="auto"/>
              </w:rPr>
            </w:pPr>
            <w:r>
              <w:rPr>
                <w:rFonts w:ascii="Arial" w:cs="Arial" w:eastAsia="Arial" w:hAnsi="Arial"/>
                <w:sz w:val="18"/>
                <w:szCs w:val="18"/>
                <w:color w:val="auto"/>
              </w:rPr>
              <w:t>Wynn Resorts, Limited, its</w:t>
            </w:r>
          </w:p>
        </w:tc>
      </w:tr>
      <w:tr>
        <w:trPr>
          <w:trHeight w:val="230"/>
        </w:trPr>
        <w:tc>
          <w:tcPr>
            <w:tcW w:w="41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sole member</w:t>
            </w:r>
          </w:p>
        </w:tc>
      </w:tr>
      <w:tr>
        <w:trPr>
          <w:trHeight w:val="567"/>
        </w:trPr>
        <w:tc>
          <w:tcPr>
            <w:tcW w:w="4140" w:type="dxa"/>
            <w:vAlign w:val="bottom"/>
          </w:tcPr>
          <w:p>
            <w:pPr>
              <w:spacing w:after="0"/>
              <w:rPr>
                <w:sz w:val="24"/>
                <w:szCs w:val="24"/>
                <w:color w:val="auto"/>
              </w:rPr>
            </w:pPr>
          </w:p>
        </w:tc>
        <w:tc>
          <w:tcPr>
            <w:tcW w:w="3140" w:type="dxa"/>
            <w:vAlign w:val="bottom"/>
          </w:tcPr>
          <w:p>
            <w:pPr>
              <w:ind w:left="2600"/>
              <w:spacing w:after="0"/>
              <w:rPr>
                <w:sz w:val="20"/>
                <w:szCs w:val="20"/>
                <w:color w:val="auto"/>
              </w:rPr>
            </w:pPr>
            <w:r>
              <w:rPr>
                <w:rFonts w:ascii="Arial" w:cs="Arial" w:eastAsia="Arial" w:hAnsi="Arial"/>
                <w:sz w:val="18"/>
                <w:szCs w:val="18"/>
                <w:color w:val="auto"/>
              </w:rPr>
              <w:t>By:</w:t>
            </w:r>
          </w:p>
        </w:tc>
        <w:tc>
          <w:tcPr>
            <w:tcW w:w="4100" w:type="dxa"/>
            <w:vAlign w:val="bottom"/>
          </w:tcPr>
          <w:p>
            <w:pPr>
              <w:ind w:left="160"/>
              <w:spacing w:after="0"/>
              <w:rPr>
                <w:sz w:val="20"/>
                <w:szCs w:val="20"/>
                <w:color w:val="auto"/>
              </w:rPr>
            </w:pPr>
            <w:r>
              <w:rPr>
                <w:rFonts w:ascii="Arial" w:cs="Arial" w:eastAsia="Arial" w:hAnsi="Arial"/>
                <w:sz w:val="18"/>
                <w:szCs w:val="18"/>
                <w:color w:val="auto"/>
              </w:rPr>
              <w:t>/s/ Craig S. Billings</w:t>
            </w:r>
          </w:p>
        </w:tc>
      </w:tr>
      <w:tr>
        <w:trPr>
          <w:trHeight w:val="27"/>
        </w:trPr>
        <w:tc>
          <w:tcPr>
            <w:tcW w:w="41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24"/>
        </w:trPr>
        <w:tc>
          <w:tcPr>
            <w:tcW w:w="4140" w:type="dxa"/>
            <w:vAlign w:val="bottom"/>
          </w:tcPr>
          <w:p>
            <w:pPr>
              <w:spacing w:after="0"/>
              <w:rPr>
                <w:sz w:val="19"/>
                <w:szCs w:val="19"/>
                <w:color w:val="auto"/>
              </w:rPr>
            </w:pPr>
          </w:p>
        </w:tc>
        <w:tc>
          <w:tcPr>
            <w:tcW w:w="7240" w:type="dxa"/>
            <w:vAlign w:val="bottom"/>
            <w:gridSpan w:val="2"/>
          </w:tcPr>
          <w:p>
            <w:pPr>
              <w:ind w:left="2600"/>
              <w:spacing w:after="0"/>
              <w:rPr>
                <w:sz w:val="20"/>
                <w:szCs w:val="20"/>
                <w:color w:val="auto"/>
              </w:rPr>
            </w:pPr>
            <w:r>
              <w:rPr>
                <w:rFonts w:ascii="Arial" w:cs="Arial" w:eastAsia="Arial" w:hAnsi="Arial"/>
                <w:sz w:val="18"/>
                <w:szCs w:val="18"/>
                <w:color w:val="auto"/>
              </w:rPr>
              <w:t>Craig S. Billings</w:t>
            </w:r>
          </w:p>
        </w:tc>
      </w:tr>
      <w:tr>
        <w:trPr>
          <w:trHeight w:val="269"/>
        </w:trPr>
        <w:tc>
          <w:tcPr>
            <w:tcW w:w="4140" w:type="dxa"/>
            <w:vAlign w:val="bottom"/>
          </w:tcPr>
          <w:p>
            <w:pPr>
              <w:spacing w:after="0"/>
              <w:rPr>
                <w:sz w:val="23"/>
                <w:szCs w:val="23"/>
                <w:color w:val="auto"/>
              </w:rPr>
            </w:pPr>
          </w:p>
        </w:tc>
        <w:tc>
          <w:tcPr>
            <w:tcW w:w="7240" w:type="dxa"/>
            <w:vAlign w:val="bottom"/>
            <w:gridSpan w:val="2"/>
          </w:tcPr>
          <w:p>
            <w:pPr>
              <w:ind w:left="2600"/>
              <w:spacing w:after="0"/>
              <w:rPr>
                <w:sz w:val="20"/>
                <w:szCs w:val="20"/>
                <w:color w:val="auto"/>
              </w:rPr>
            </w:pPr>
            <w:r>
              <w:rPr>
                <w:rFonts w:ascii="Arial" w:cs="Arial" w:eastAsia="Arial" w:hAnsi="Arial"/>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2019-12-06T18:54:54Z</dcterms:created>
  <dcterms:modified xsi:type="dcterms:W3CDTF">2019-12-06T18:54:54Z</dcterms:modified>
</cp:coreProperties>
</file>