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3360" w:type="dxa"/>
            <w:vAlign w:val="bottom"/>
          </w:tcPr>
          <w:p>
            <w:pPr>
              <w:jc w:val="center"/>
              <w:ind w:left="298"/>
              <w:spacing w:after="0"/>
              <w:rPr>
                <w:sz w:val="20"/>
                <w:szCs w:val="20"/>
                <w:color w:val="auto"/>
              </w:rPr>
            </w:pPr>
            <w:r>
              <w:rPr>
                <w:rFonts w:ascii="Arial" w:cs="Arial" w:eastAsia="Arial" w:hAnsi="Arial"/>
                <w:sz w:val="18"/>
                <w:szCs w:val="18"/>
                <w:b w:val="1"/>
                <w:bCs w:val="1"/>
                <w:color w:val="auto"/>
                <w:w w:val="90"/>
              </w:rPr>
              <w:t>Nevada</w:t>
            </w:r>
          </w:p>
        </w:tc>
        <w:tc>
          <w:tcPr>
            <w:tcW w:w="3300" w:type="dxa"/>
            <w:vAlign w:val="bottom"/>
            <w:gridSpan w:val="4"/>
          </w:tcPr>
          <w:p>
            <w:pPr>
              <w:jc w:val="center"/>
              <w:ind w:left="1122"/>
              <w:spacing w:after="0"/>
              <w:rPr>
                <w:sz w:val="20"/>
                <w:szCs w:val="20"/>
                <w:color w:val="auto"/>
              </w:rPr>
            </w:pPr>
            <w:r>
              <w:rPr>
                <w:rFonts w:ascii="Arial" w:cs="Arial" w:eastAsia="Arial" w:hAnsi="Arial"/>
                <w:sz w:val="18"/>
                <w:szCs w:val="18"/>
                <w:b w:val="1"/>
                <w:bCs w:val="1"/>
                <w:color w:val="auto"/>
                <w:w w:val="90"/>
              </w:rPr>
              <w:t>000-50028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126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48"/>
        </w:trPr>
        <w:tc>
          <w:tcPr>
            <w:tcW w:w="3360" w:type="dxa"/>
            <w:vAlign w:val="bottom"/>
          </w:tcPr>
          <w:p>
            <w:pPr>
              <w:jc w:val="center"/>
              <w:ind w:left="27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(Commission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3360" w:type="dxa"/>
            <w:vAlign w:val="bottom"/>
          </w:tcPr>
          <w:p>
            <w:pPr>
              <w:jc w:val="center"/>
              <w:ind w:left="298"/>
              <w:spacing w:after="0"/>
              <w:rPr>
                <w:sz w:val="20"/>
                <w:szCs w:val="20"/>
                <w:color w:val="auto"/>
              </w:rPr>
            </w:pPr>
            <w:r>
              <w:rPr>
                <w:rFonts w:ascii="Arial" w:cs="Arial" w:eastAsia="Arial" w:hAnsi="Arial"/>
                <w:sz w:val="14"/>
                <w:szCs w:val="14"/>
                <w:b w:val="1"/>
                <w:bCs w:val="1"/>
                <w:color w:val="auto"/>
                <w:w w:val="94"/>
              </w:rPr>
              <w:t>of incorporation)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File Number)</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12"/>
        </w:trPr>
        <w:tc>
          <w:tcPr>
            <w:tcW w:w="3360" w:type="dxa"/>
            <w:vAlign w:val="bottom"/>
          </w:tcPr>
          <w:p>
            <w:pPr>
              <w:jc w:val="center"/>
              <w:ind w:left="278"/>
              <w:spacing w:after="0"/>
              <w:rPr>
                <w:sz w:val="20"/>
                <w:szCs w:val="20"/>
                <w:color w:val="auto"/>
              </w:rPr>
            </w:pPr>
            <w:r>
              <w:rPr>
                <w:rFonts w:ascii="Arial" w:cs="Arial" w:eastAsia="Arial" w:hAnsi="Arial"/>
                <w:sz w:val="18"/>
                <w:szCs w:val="18"/>
                <w:b w:val="1"/>
                <w:bCs w:val="1"/>
                <w:color w:val="auto"/>
                <w:w w:val="88"/>
              </w:rPr>
              <w:t>3131 Las Vegas Boulevard South</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60" w:type="dxa"/>
            <w:vAlign w:val="bottom"/>
          </w:tcPr>
          <w:p>
            <w:pPr>
              <w:jc w:val="center"/>
              <w:ind w:left="278"/>
              <w:spacing w:after="0"/>
              <w:rPr>
                <w:sz w:val="20"/>
                <w:szCs w:val="20"/>
                <w:color w:val="auto"/>
              </w:rPr>
            </w:pPr>
            <w:r>
              <w:rPr>
                <w:rFonts w:ascii="Arial" w:cs="Arial" w:eastAsia="Arial" w:hAnsi="Arial"/>
                <w:sz w:val="18"/>
                <w:szCs w:val="18"/>
                <w:b w:val="1"/>
                <w:bCs w:val="1"/>
                <w:color w:val="auto"/>
                <w:w w:val="88"/>
              </w:rPr>
              <w:t>Las Vegas, Nevada</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jc w:val="right"/>
              <w:ind w:right="14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186"/>
        </w:trPr>
        <w:tc>
          <w:tcPr>
            <w:tcW w:w="3360" w:type="dxa"/>
            <w:vAlign w:val="bottom"/>
          </w:tcPr>
          <w:p>
            <w:pPr>
              <w:jc w:val="center"/>
              <w:ind w:left="2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7"/>
              </w:rPr>
              <w:t>(ZIP code)</w:t>
            </w:r>
          </w:p>
        </w:tc>
        <w:tc>
          <w:tcPr>
            <w:tcW w:w="0" w:type="dxa"/>
            <w:vAlign w:val="bottom"/>
          </w:tcPr>
          <w:p>
            <w:pPr>
              <w:spacing w:after="0"/>
              <w:rPr>
                <w:sz w:val="1"/>
                <w:szCs w:val="1"/>
                <w:color w:val="auto"/>
              </w:rPr>
            </w:pPr>
          </w:p>
        </w:tc>
      </w:tr>
      <w:tr>
        <w:trPr>
          <w:trHeight w:val="286"/>
        </w:trPr>
        <w:tc>
          <w:tcPr>
            <w:tcW w:w="3360" w:type="dxa"/>
            <w:vAlign w:val="bottom"/>
          </w:tcPr>
          <w:p>
            <w:pPr>
              <w:spacing w:after="0"/>
              <w:rPr>
                <w:sz w:val="24"/>
                <w:szCs w:val="24"/>
                <w:color w:val="auto"/>
              </w:rPr>
            </w:pPr>
          </w:p>
        </w:tc>
        <w:tc>
          <w:tcPr>
            <w:tcW w:w="3300" w:type="dxa"/>
            <w:vAlign w:val="bottom"/>
            <w:gridSpan w:val="4"/>
          </w:tcPr>
          <w:p>
            <w:pPr>
              <w:jc w:val="center"/>
              <w:ind w:left="922"/>
              <w:spacing w:after="0"/>
              <w:rPr>
                <w:sz w:val="20"/>
                <w:szCs w:val="20"/>
                <w:color w:val="auto"/>
              </w:rPr>
            </w:pPr>
            <w:r>
              <w:rPr>
                <w:rFonts w:ascii="Arial" w:cs="Arial" w:eastAsia="Arial" w:hAnsi="Arial"/>
                <w:sz w:val="14"/>
                <w:szCs w:val="14"/>
                <w:b w:val="1"/>
                <w:bCs w:val="1"/>
                <w:color w:val="auto"/>
                <w:w w:val="93"/>
              </w:rPr>
              <w:t>(708) 770-7555</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3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2"/>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4120" w:type="dxa"/>
            <w:vAlign w:val="bottom"/>
            <w:gridSpan w:val="6"/>
          </w:tcPr>
          <w:p>
            <w:pPr>
              <w:jc w:val="center"/>
              <w:ind w:left="82"/>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37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480" w:type="dxa"/>
            <w:vAlign w:val="bottom"/>
            <w:gridSpan w:val="7"/>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360" w:type="dxa"/>
            <w:vAlign w:val="bottom"/>
            <w:vMerge w:val="restart"/>
          </w:tcPr>
          <w:p>
            <w:pPr>
              <w:jc w:val="center"/>
              <w:ind w:left="278"/>
              <w:spacing w:after="0"/>
              <w:rPr>
                <w:sz w:val="20"/>
                <w:szCs w:val="20"/>
                <w:color w:val="auto"/>
              </w:rPr>
            </w:pPr>
            <w:r>
              <w:rPr>
                <w:rFonts w:ascii="Arial" w:cs="Arial" w:eastAsia="Arial" w:hAnsi="Arial"/>
                <w:sz w:val="14"/>
                <w:szCs w:val="14"/>
                <w:b w:val="1"/>
                <w:bCs w:val="1"/>
                <w:color w:val="auto"/>
                <w:w w:val="89"/>
              </w:rPr>
              <w:t>Title of each class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3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360" w:type="dxa"/>
            <w:vAlign w:val="bottom"/>
            <w:tcBorders>
              <w:top w:val="single" w:sz="8" w:color="auto"/>
            </w:tcBorders>
          </w:tcPr>
          <w:p>
            <w:pPr>
              <w:jc w:val="center"/>
              <w:ind w:left="298"/>
              <w:spacing w:after="0"/>
              <w:rPr>
                <w:sz w:val="20"/>
                <w:szCs w:val="20"/>
                <w:color w:val="auto"/>
              </w:rPr>
            </w:pPr>
            <w:r>
              <w:rPr>
                <w:rFonts w:ascii="Arial" w:cs="Arial" w:eastAsia="Arial" w:hAnsi="Arial"/>
                <w:sz w:val="18"/>
                <w:szCs w:val="18"/>
                <w:b w:val="1"/>
                <w:bCs w:val="1"/>
                <w:color w:val="auto"/>
                <w:w w:val="90"/>
              </w:rPr>
              <w:t>Common Stock, par value $0.01</w:t>
            </w: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rPr>
              <w:t>WYNN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14, 2022, Wynn MA, LLC, a Nevada limited liability company (“Wynn MA”) and indirect, wholly owned subsidiary of Wynn Resorts, Limited, a Nevada corporation (“WRL”) entered into an equity purchase agreement (the “Equity Purchase Agreement”) with Realty Income Corporation, a Maryland corporation (“Realty”) pursuant to which, Wynn MA and certain other subsidiaries of WRL will, among other things, effect a sale and leaseback transaction through the (i) sale all of the issued and outstanding membership interests of EBH MA Property, LLC, a Massachusetts limited liability company and fee owner of certain real estate assets related to the Encore Boston Harbor Casino (“EBH” and such real estate assets, the “Property”) to MDC Encore Holdings LLC, a Delaware limited liability company and wholly owned subsidiary of Realty (“MDC”), (ii) transfer, by way of sale, assignment, easement and lease of certain parcels of real estate comprising the Property to MDC and (iii) entry into a master lease agreement (the “Master Lease Agreement”) with respect to the Property with EBH and MDC (collectively, in such capacity “Landlord”).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Purchase Agreement</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Upon the terms and subject to the conditions set forth in the Equity Purchase Agreement, Realty, through MDC, will acquire all of the issued and outstanding membership interests of EBH, and certain other rights to the Property, for cash consideration of $1,700,000,000 (the “Equity Purchase”). The transaction is expected to close in the fourth quarter of 2022, subject to the receipt of required regulatory approvals and customary closing conditions.</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representations, warranties and covenants contained in the Equity Purchase Agreement were made only for purposes of the Equity Purchase Agreement and as of the specific date (or dates) set forth therein and were solely for the benefit of the parties thereto and are subject to certain limitations as agreed upon by the contracting parties. In addition, the representations, warranties and covenants contained in the Equity Purchase Agreement may be subject to standards of materiality applicable to the contracting parties that differ from those applicable to investors. Investors are not third-party beneficiaries of the Equity Purchase Agreement and should not rely on the representations, warranties and covenants contained therein, or any descriptions thereof, as characterizations of the actual state of facts or conditions of the Wynn MA, Realty, WRL or any other parties thereto.</w:t>
      </w:r>
    </w:p>
    <w:p>
      <w:pPr>
        <w:spacing w:after="0" w:line="16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This description of the Equity Purchase Agreement is qualified in its entirety by reference to the full text of the Equity Purchase Agreement attached hereto as Exhibit 2.1. Exhibits and schedules that have been excluded from the text of the Equity Purchase Agreement attached hereto will be supplementally furnished to the Commission upon request.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Lease Agreement</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Concurrently with the closing of the transactions contemplated by the Equity Purchase Agreement, Wynn MA will enter into the Master Lease Agreement with the Landlord with respect to the Property. Pursuant to the terms of the Master Lease Agreement, the Property will be leased by Landlord to Wynn MA and certain of its affiliates (collectively, in such capacity, the “Tenant”) with an initial annual rent of $100 million (the “Rent”) for a term of thirty years with one thirty-year renewal option. The Rent will escalate annually throughout the term of the Master Lease Agreement at a rate of 1.75% per annum for the first ten years and thereafter at a rate equal to the greater of 1.75% and the CPI increase during the prior year subject to a cap of 2.5%. In addition, the Master Lease Agreement will require Tenant to make capital expenditures at the Property on a cycle consistent with Tenant’s past practices and for the Tenant to comply with a financial covenant, which, if not met, will permit Tenant to cure such non-compliance by maintaining cash security or providing one of more letters of credit in favor of Landlord in an amount equal to the Rent for the succeeding six month period. Wynn Resorts Finance, LLC will provide a guarantee of Tenant’s obligations under the Lease.</w:t>
      </w:r>
    </w:p>
    <w:p>
      <w:pPr>
        <w:sectPr>
          <w:pgSz w:w="11900" w:h="16838" w:orient="portrait"/>
          <w:cols w:equalWidth="0" w:num="1">
            <w:col w:w="11000"/>
          </w:cols>
          <w:pgMar w:left="440" w:top="297"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9040" w:type="dxa"/>
            <w:vAlign w:val="bottom"/>
            <w:gridSpan w:val="4"/>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(d) Exhibits.</w:t>
            </w:r>
          </w:p>
        </w:tc>
        <w:tc>
          <w:tcPr>
            <w:tcW w:w="2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2880" w:type="dxa"/>
            <w:vAlign w:val="bottom"/>
          </w:tcPr>
          <w:p>
            <w:pPr>
              <w:spacing w:after="0"/>
              <w:rPr>
                <w:sz w:val="24"/>
                <w:szCs w:val="24"/>
                <w:color w:val="auto"/>
              </w:rPr>
            </w:pPr>
          </w:p>
        </w:tc>
        <w:tc>
          <w:tcPr>
            <w:tcW w:w="1620" w:type="dxa"/>
            <w:vAlign w:val="bottom"/>
            <w:vMerge w:val="restart"/>
          </w:tcPr>
          <w:p>
            <w:pPr>
              <w:spacing w:after="0"/>
              <w:rPr>
                <w:sz w:val="24"/>
                <w:szCs w:val="24"/>
                <w:color w:val="auto"/>
              </w:rPr>
            </w:pPr>
          </w:p>
        </w:tc>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4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90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Equity Purchase Agreement, dated as of February 14, 2022 by and between Wynn MA, LLC and Realty Income Corporation.</w:t>
              </w:r>
            </w:hyperlink>
          </w:p>
        </w:tc>
        <w:tc>
          <w:tcPr>
            <w:tcW w:w="0" w:type="dxa"/>
            <w:vAlign w:val="bottom"/>
          </w:tcPr>
          <w:p>
            <w:pPr>
              <w:spacing w:after="0"/>
              <w:rPr>
                <w:sz w:val="1"/>
                <w:szCs w:val="1"/>
                <w:color w:val="auto"/>
              </w:rPr>
            </w:pPr>
          </w:p>
        </w:tc>
      </w:tr>
      <w:tr>
        <w:trPr>
          <w:trHeight w:val="304"/>
        </w:trPr>
        <w:tc>
          <w:tcPr>
            <w:tcW w:w="680" w:type="dxa"/>
            <w:vAlign w:val="bottom"/>
            <w:gridSpan w:val="2"/>
          </w:tcPr>
          <w:p>
            <w:pPr>
              <w:jc w:val="right"/>
              <w:ind w:right="59"/>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9040" w:type="dxa"/>
            <w:vAlign w:val="bottom"/>
            <w:gridSpan w:val="4"/>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Press Release, dated February 15, 2022.</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5460" w:right="1060" w:hanging="5241"/>
        <w:spacing w:after="0" w:line="449" w:lineRule="auto"/>
        <w:tabs>
          <w:tab w:leader="none" w:pos="108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3</w:t>
      </w:r>
    </w:p>
    <w:p>
      <w:pPr>
        <w:sectPr>
          <w:pgSz w:w="11900" w:h="16838" w:orient="portrait"/>
          <w:cols w:equalWidth="0" w:num="1">
            <w:col w:w="10120"/>
          </w:cols>
          <w:pgMar w:left="440" w:top="297" w:right="13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271780</wp:posOffset>
            </wp:positionV>
            <wp:extent cx="321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80"/>
        <w:spacing w:after="0"/>
        <w:tabs>
          <w:tab w:leader="none" w:pos="5920" w:val="left"/>
        </w:tabs>
        <w:rPr>
          <w:sz w:val="20"/>
          <w:szCs w:val="20"/>
          <w:color w:val="auto"/>
        </w:rPr>
      </w:pPr>
      <w:r>
        <w:rPr>
          <w:rFonts w:ascii="Arial" w:cs="Arial" w:eastAsia="Arial" w:hAnsi="Arial"/>
          <w:sz w:val="18"/>
          <w:szCs w:val="18"/>
          <w:color w:val="auto"/>
        </w:rPr>
        <w:t>Date: February 15, 2022</w:t>
      </w:r>
      <w:r>
        <w:rPr>
          <w:sz w:val="20"/>
          <w:szCs w:val="20"/>
          <w:color w:val="auto"/>
        </w:rPr>
        <w:tab/>
      </w:r>
      <w:r>
        <w:rPr>
          <w:rFonts w:ascii="Arial" w:cs="Arial" w:eastAsia="Arial" w:hAnsi="Arial"/>
          <w:sz w:val="17"/>
          <w:szCs w:val="17"/>
          <w:color w:val="auto"/>
        </w:rPr>
        <w:t>WYNN RESORTS, LIMITED</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Craig S. Billings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Director, Chief Executive Officer (Principal</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Financial and Accounting Officer)</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EQUITY PURCHASE AGREEMENT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February 14, 2022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WYNN MA, LLC, as Seller,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REALTY INCOME CORPORATION, as Buyer</w:t>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5840" w:type="dxa"/>
            <w:vAlign w:val="bottom"/>
            <w:gridSpan w:val="2"/>
          </w:tcPr>
          <w:p>
            <w:pPr>
              <w:jc w:val="center"/>
              <w:ind w:right="4480"/>
              <w:spacing w:after="0"/>
              <w:rPr>
                <w:sz w:val="20"/>
                <w:szCs w:val="20"/>
                <w:color w:val="auto"/>
              </w:rPr>
            </w:pPr>
            <w:r>
              <w:rPr>
                <w:rFonts w:ascii="Arial" w:cs="Arial" w:eastAsia="Arial" w:hAnsi="Arial"/>
                <w:sz w:val="18"/>
                <w:szCs w:val="18"/>
                <w:b w:val="1"/>
                <w:bCs w:val="1"/>
                <w:color w:val="auto"/>
                <w:w w:val="89"/>
              </w:rPr>
              <w:t>Table of Contents</w:t>
            </w:r>
          </w:p>
        </w:tc>
        <w:tc>
          <w:tcPr>
            <w:tcW w:w="300" w:type="dxa"/>
            <w:vAlign w:val="bottom"/>
          </w:tcPr>
          <w:p>
            <w:pPr>
              <w:spacing w:after="0"/>
              <w:rPr>
                <w:sz w:val="17"/>
                <w:szCs w:val="17"/>
                <w:color w:val="auto"/>
              </w:rPr>
            </w:pPr>
          </w:p>
        </w:tc>
      </w:tr>
      <w:tr>
        <w:trPr>
          <w:trHeight w:val="412"/>
        </w:trPr>
        <w:tc>
          <w:tcPr>
            <w:tcW w:w="10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Section 1.01.   Certain Defined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II PURCHASE AND SALE; 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Section 2.01.   Purchase and Sale of the Transferred Interests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2.02.</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2.03.</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Purchase Price</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2.04.</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Closing Deliverables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2.05.</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Withholding</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III REPRESENTATIONS AND WARRANTIES OF SELLER</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Section 3.01.   Organization of Seller</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Section 3.02.   Formation and Qualification of EBH</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Section 3.03.   Ownership; Capital Structure of the Transferred Entities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Section 3.04.   Authority of Seller; Enforceability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3.05.</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No Conflict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Section 3.06.   Consents and Approvals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3.07.</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Violations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3.08.</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Taxes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3.09.</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Gaming</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3.10.</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FCPA/Regulatory Compliance.</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3.11.</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Environmental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3.12.</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Ground Lease.</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3.13.</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Leases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3.14.</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3.15.</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Undisclosed Liabilities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3.16.</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Transferred Interests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3.17.</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No 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3.18.</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Brokers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Section 3.19.   No Other Representations or Warranties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3.20.</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Survival</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IV REPRESENTATIONS AND WARRANTIES OF BUYER</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Section 4.01.   Formation and Authority of Buyer</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10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840" w:type="dxa"/>
            <w:vAlign w:val="bottom"/>
            <w:gridSpan w:val="2"/>
          </w:tcPr>
          <w:p>
            <w:pPr>
              <w:jc w:val="center"/>
              <w:ind w:right="4480"/>
              <w:spacing w:after="0"/>
              <w:rPr>
                <w:sz w:val="20"/>
                <w:szCs w:val="20"/>
                <w:color w:val="auto"/>
              </w:rPr>
            </w:pPr>
            <w:r>
              <w:rPr>
                <w:rFonts w:ascii="Arial" w:cs="Arial" w:eastAsia="Arial" w:hAnsi="Arial"/>
                <w:sz w:val="18"/>
                <w:szCs w:val="18"/>
                <w:color w:val="auto"/>
                <w:w w:val="98"/>
              </w:rPr>
              <w:t>i</w:t>
            </w:r>
          </w:p>
        </w:tc>
        <w:tc>
          <w:tcPr>
            <w:tcW w:w="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4.02.</w:t>
            </w:r>
          </w:p>
        </w:tc>
        <w:tc>
          <w:tcPr>
            <w:tcW w:w="3940" w:type="dxa"/>
            <w:vAlign w:val="bottom"/>
          </w:tcPr>
          <w:p>
            <w:pPr>
              <w:ind w:left="120"/>
              <w:spacing w:after="0"/>
              <w:rPr>
                <w:sz w:val="20"/>
                <w:szCs w:val="20"/>
                <w:color w:val="auto"/>
              </w:rPr>
            </w:pPr>
            <w:r>
              <w:rPr>
                <w:rFonts w:ascii="Arial" w:cs="Arial" w:eastAsia="Arial" w:hAnsi="Arial"/>
                <w:sz w:val="18"/>
                <w:szCs w:val="18"/>
                <w:color w:val="auto"/>
              </w:rPr>
              <w:t>No Conflict</w:t>
            </w:r>
          </w:p>
        </w:tc>
        <w:tc>
          <w:tcPr>
            <w:tcW w:w="5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4.03.   Consents and Approvals</w:t>
            </w:r>
          </w:p>
        </w:tc>
        <w:tc>
          <w:tcPr>
            <w:tcW w:w="5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4.04.   Absence of Restraints; Compliance with Laws</w:t>
            </w:r>
          </w:p>
        </w:tc>
        <w:tc>
          <w:tcPr>
            <w:tcW w:w="5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4.05.</w:t>
            </w:r>
          </w:p>
        </w:tc>
        <w:tc>
          <w:tcPr>
            <w:tcW w:w="3940" w:type="dxa"/>
            <w:vAlign w:val="bottom"/>
          </w:tcPr>
          <w:p>
            <w:pPr>
              <w:ind w:left="120"/>
              <w:spacing w:after="0"/>
              <w:rPr>
                <w:sz w:val="20"/>
                <w:szCs w:val="20"/>
                <w:color w:val="auto"/>
              </w:rPr>
            </w:pPr>
            <w:r>
              <w:rPr>
                <w:rFonts w:ascii="Arial" w:cs="Arial" w:eastAsia="Arial" w:hAnsi="Arial"/>
                <w:sz w:val="18"/>
                <w:szCs w:val="18"/>
                <w:color w:val="auto"/>
              </w:rPr>
              <w:t>Securities Matters</w:t>
            </w:r>
          </w:p>
        </w:tc>
        <w:tc>
          <w:tcPr>
            <w:tcW w:w="5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4.06.</w:t>
            </w:r>
          </w:p>
        </w:tc>
        <w:tc>
          <w:tcPr>
            <w:tcW w:w="3940" w:type="dxa"/>
            <w:vAlign w:val="bottom"/>
          </w:tcPr>
          <w:p>
            <w:pPr>
              <w:ind w:left="120"/>
              <w:spacing w:after="0"/>
              <w:rPr>
                <w:sz w:val="20"/>
                <w:szCs w:val="20"/>
                <w:color w:val="auto"/>
              </w:rPr>
            </w:pPr>
            <w:r>
              <w:rPr>
                <w:rFonts w:ascii="Arial" w:cs="Arial" w:eastAsia="Arial" w:hAnsi="Arial"/>
                <w:sz w:val="18"/>
                <w:szCs w:val="18"/>
                <w:color w:val="auto"/>
              </w:rPr>
              <w:t>Brokers</w:t>
            </w:r>
          </w:p>
        </w:tc>
        <w:tc>
          <w:tcPr>
            <w:tcW w:w="5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4.07.   Licensability of Principals</w:t>
            </w:r>
          </w:p>
        </w:tc>
        <w:tc>
          <w:tcPr>
            <w:tcW w:w="5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4.08.   Exclusivity of Representations and Warranties</w:t>
            </w:r>
          </w:p>
        </w:tc>
        <w:tc>
          <w:tcPr>
            <w:tcW w:w="5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4.09.</w:t>
            </w:r>
          </w:p>
        </w:tc>
        <w:tc>
          <w:tcPr>
            <w:tcW w:w="3940" w:type="dxa"/>
            <w:vAlign w:val="bottom"/>
          </w:tcPr>
          <w:p>
            <w:pPr>
              <w:ind w:left="120"/>
              <w:spacing w:after="0"/>
              <w:rPr>
                <w:sz w:val="20"/>
                <w:szCs w:val="20"/>
                <w:color w:val="auto"/>
              </w:rPr>
            </w:pPr>
            <w:r>
              <w:rPr>
                <w:rFonts w:ascii="Arial" w:cs="Arial" w:eastAsia="Arial" w:hAnsi="Arial"/>
                <w:sz w:val="18"/>
                <w:szCs w:val="18"/>
                <w:color w:val="auto"/>
              </w:rPr>
              <w:t>Survival</w:t>
            </w:r>
          </w:p>
        </w:tc>
        <w:tc>
          <w:tcPr>
            <w:tcW w:w="5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ARTICLE V ADDITIONAL AGREEMENTS</w:t>
            </w:r>
          </w:p>
        </w:tc>
        <w:tc>
          <w:tcPr>
            <w:tcW w:w="5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5.01.   Conduct Prior to the Closing</w:t>
            </w:r>
          </w:p>
        </w:tc>
        <w:tc>
          <w:tcPr>
            <w:tcW w:w="5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5.02.   Access to Information</w:t>
            </w:r>
          </w:p>
        </w:tc>
        <w:tc>
          <w:tcPr>
            <w:tcW w:w="5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5.03.</w:t>
            </w:r>
          </w:p>
        </w:tc>
        <w:tc>
          <w:tcPr>
            <w:tcW w:w="394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5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5.04.   Regulatory and Other Authorizations</w:t>
            </w:r>
          </w:p>
        </w:tc>
        <w:tc>
          <w:tcPr>
            <w:tcW w:w="5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5.05.</w:t>
            </w:r>
          </w:p>
        </w:tc>
        <w:tc>
          <w:tcPr>
            <w:tcW w:w="3940" w:type="dxa"/>
            <w:vAlign w:val="bottom"/>
          </w:tcPr>
          <w:p>
            <w:pPr>
              <w:ind w:left="120"/>
              <w:spacing w:after="0"/>
              <w:rPr>
                <w:sz w:val="20"/>
                <w:szCs w:val="20"/>
                <w:color w:val="auto"/>
              </w:rPr>
            </w:pPr>
            <w:r>
              <w:rPr>
                <w:rFonts w:ascii="Arial" w:cs="Arial" w:eastAsia="Arial" w:hAnsi="Arial"/>
                <w:sz w:val="18"/>
                <w:szCs w:val="18"/>
                <w:color w:val="auto"/>
              </w:rPr>
              <w:t>Cooperation</w:t>
            </w:r>
          </w:p>
        </w:tc>
        <w:tc>
          <w:tcPr>
            <w:tcW w:w="5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5.06.   Casualty and Condemnation</w:t>
            </w:r>
          </w:p>
        </w:tc>
        <w:tc>
          <w:tcPr>
            <w:tcW w:w="5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5.07.</w:t>
            </w:r>
          </w:p>
        </w:tc>
        <w:tc>
          <w:tcPr>
            <w:tcW w:w="3940" w:type="dxa"/>
            <w:vAlign w:val="bottom"/>
          </w:tcPr>
          <w:p>
            <w:pPr>
              <w:ind w:left="120"/>
              <w:spacing w:after="0"/>
              <w:rPr>
                <w:sz w:val="20"/>
                <w:szCs w:val="20"/>
                <w:color w:val="auto"/>
              </w:rPr>
            </w:pPr>
            <w:r>
              <w:rPr>
                <w:rFonts w:ascii="Arial" w:cs="Arial" w:eastAsia="Arial" w:hAnsi="Arial"/>
                <w:sz w:val="18"/>
                <w:szCs w:val="18"/>
                <w:color w:val="auto"/>
              </w:rPr>
              <w:t>Prorations</w:t>
            </w:r>
          </w:p>
        </w:tc>
        <w:tc>
          <w:tcPr>
            <w:tcW w:w="5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5.08.</w:t>
            </w:r>
          </w:p>
        </w:tc>
        <w:tc>
          <w:tcPr>
            <w:tcW w:w="3940" w:type="dxa"/>
            <w:vAlign w:val="bottom"/>
          </w:tcPr>
          <w:p>
            <w:pPr>
              <w:ind w:left="120"/>
              <w:spacing w:after="0"/>
              <w:rPr>
                <w:sz w:val="20"/>
                <w:szCs w:val="20"/>
                <w:color w:val="auto"/>
              </w:rPr>
            </w:pPr>
            <w:r>
              <w:rPr>
                <w:rFonts w:ascii="Arial" w:cs="Arial" w:eastAsia="Arial" w:hAnsi="Arial"/>
                <w:sz w:val="18"/>
                <w:szCs w:val="18"/>
                <w:color w:val="auto"/>
              </w:rPr>
              <w:t>Pre-Closing Reorganization</w:t>
            </w:r>
          </w:p>
        </w:tc>
        <w:tc>
          <w:tcPr>
            <w:tcW w:w="5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5.09.   Title, Survey and Zoning</w:t>
            </w:r>
          </w:p>
        </w:tc>
        <w:tc>
          <w:tcPr>
            <w:tcW w:w="5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5.10.</w:t>
            </w:r>
          </w:p>
        </w:tc>
        <w:tc>
          <w:tcPr>
            <w:tcW w:w="3940" w:type="dxa"/>
            <w:vAlign w:val="bottom"/>
          </w:tcPr>
          <w:p>
            <w:pPr>
              <w:ind w:left="120"/>
              <w:spacing w:after="0"/>
              <w:rPr>
                <w:sz w:val="20"/>
                <w:szCs w:val="20"/>
                <w:color w:val="auto"/>
              </w:rPr>
            </w:pPr>
            <w:r>
              <w:rPr>
                <w:rFonts w:ascii="Arial" w:cs="Arial" w:eastAsia="Arial" w:hAnsi="Arial"/>
                <w:sz w:val="18"/>
                <w:szCs w:val="18"/>
                <w:color w:val="auto"/>
              </w:rPr>
              <w:t>Lien Release</w:t>
            </w:r>
          </w:p>
        </w:tc>
        <w:tc>
          <w:tcPr>
            <w:tcW w:w="5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5.11.   Additional Transaction Documents</w:t>
            </w:r>
          </w:p>
        </w:tc>
        <w:tc>
          <w:tcPr>
            <w:tcW w:w="5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5.12.</w:t>
            </w:r>
          </w:p>
        </w:tc>
        <w:tc>
          <w:tcPr>
            <w:tcW w:w="3940" w:type="dxa"/>
            <w:vAlign w:val="bottom"/>
          </w:tcPr>
          <w:p>
            <w:pPr>
              <w:ind w:left="120"/>
              <w:spacing w:after="0"/>
              <w:rPr>
                <w:sz w:val="20"/>
                <w:szCs w:val="20"/>
                <w:color w:val="auto"/>
              </w:rPr>
            </w:pPr>
            <w:r>
              <w:rPr>
                <w:rFonts w:ascii="Arial" w:cs="Arial" w:eastAsia="Arial" w:hAnsi="Arial"/>
                <w:sz w:val="18"/>
                <w:szCs w:val="18"/>
                <w:color w:val="auto"/>
              </w:rPr>
              <w:t>Gaming Matters</w:t>
            </w:r>
          </w:p>
        </w:tc>
        <w:tc>
          <w:tcPr>
            <w:tcW w:w="5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5.13.</w:t>
            </w:r>
          </w:p>
        </w:tc>
        <w:tc>
          <w:tcPr>
            <w:tcW w:w="3940" w:type="dxa"/>
            <w:vAlign w:val="bottom"/>
          </w:tcPr>
          <w:p>
            <w:pPr>
              <w:ind w:left="120"/>
              <w:spacing w:after="0"/>
              <w:rPr>
                <w:sz w:val="20"/>
                <w:szCs w:val="20"/>
                <w:color w:val="auto"/>
              </w:rPr>
            </w:pPr>
            <w:r>
              <w:rPr>
                <w:rFonts w:ascii="Arial" w:cs="Arial" w:eastAsia="Arial" w:hAnsi="Arial"/>
                <w:sz w:val="18"/>
                <w:szCs w:val="18"/>
                <w:color w:val="auto"/>
              </w:rPr>
              <w:t>“As Is” Sale</w:t>
            </w:r>
          </w:p>
        </w:tc>
        <w:tc>
          <w:tcPr>
            <w:tcW w:w="5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ARTICLE VI TAX MATTERS</w:t>
            </w:r>
          </w:p>
        </w:tc>
        <w:tc>
          <w:tcPr>
            <w:tcW w:w="5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6.01.   Tax Returns; Tax Proceedings</w:t>
            </w:r>
          </w:p>
        </w:tc>
        <w:tc>
          <w:tcPr>
            <w:tcW w:w="5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6.02.   Transfer Taxes; Allocation</w:t>
            </w:r>
          </w:p>
        </w:tc>
        <w:tc>
          <w:tcPr>
            <w:tcW w:w="5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6.03.</w:t>
            </w:r>
          </w:p>
        </w:tc>
        <w:tc>
          <w:tcPr>
            <w:tcW w:w="3940" w:type="dxa"/>
            <w:vAlign w:val="bottom"/>
          </w:tcPr>
          <w:p>
            <w:pPr>
              <w:ind w:left="120"/>
              <w:spacing w:after="0"/>
              <w:rPr>
                <w:sz w:val="20"/>
                <w:szCs w:val="20"/>
                <w:color w:val="auto"/>
              </w:rPr>
            </w:pPr>
            <w:r>
              <w:rPr>
                <w:rFonts w:ascii="Arial" w:cs="Arial" w:eastAsia="Arial" w:hAnsi="Arial"/>
                <w:sz w:val="18"/>
                <w:szCs w:val="18"/>
                <w:color w:val="auto"/>
              </w:rPr>
              <w:t>Tax Treatment</w:t>
            </w:r>
          </w:p>
        </w:tc>
        <w:tc>
          <w:tcPr>
            <w:tcW w:w="5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6.04.   Tax Treatment of Payments</w:t>
            </w:r>
          </w:p>
        </w:tc>
        <w:tc>
          <w:tcPr>
            <w:tcW w:w="5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ARTICLE VII CONDITIONS TO CLOSING</w:t>
            </w:r>
          </w:p>
        </w:tc>
        <w:tc>
          <w:tcPr>
            <w:tcW w:w="5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7.01.   Conditions to Obligations of Buyer and Seller</w:t>
            </w:r>
          </w:p>
        </w:tc>
        <w:tc>
          <w:tcPr>
            <w:tcW w:w="5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7.02.   Conditions to the Obligations of Seller</w:t>
            </w:r>
          </w:p>
        </w:tc>
        <w:tc>
          <w:tcPr>
            <w:tcW w:w="5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7.03.   Conditions to Obligations of Buyer</w:t>
            </w:r>
          </w:p>
        </w:tc>
        <w:tc>
          <w:tcPr>
            <w:tcW w:w="5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7.04.   Frustration of Closing Conditions</w:t>
            </w:r>
          </w:p>
        </w:tc>
        <w:tc>
          <w:tcPr>
            <w:tcW w:w="5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Section 7.05.   Waiver of Closing Conditions</w:t>
            </w:r>
          </w:p>
        </w:tc>
        <w:tc>
          <w:tcPr>
            <w:tcW w:w="5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5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65"/>
        </w:trPr>
        <w:tc>
          <w:tcPr>
            <w:tcW w:w="10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960" w:type="dxa"/>
            <w:vAlign w:val="bottom"/>
          </w:tcPr>
          <w:p>
            <w:pPr>
              <w:jc w:val="right"/>
              <w:ind w:right="5310"/>
              <w:spacing w:after="0"/>
              <w:rPr>
                <w:sz w:val="20"/>
                <w:szCs w:val="20"/>
                <w:color w:val="auto"/>
              </w:rPr>
            </w:pPr>
            <w:r>
              <w:rPr>
                <w:rFonts w:ascii="Arial" w:cs="Arial" w:eastAsia="Arial" w:hAnsi="Arial"/>
                <w:sz w:val="18"/>
                <w:szCs w:val="18"/>
                <w:color w:val="auto"/>
              </w:rPr>
              <w:t>ii</w:t>
            </w:r>
          </w:p>
        </w:tc>
      </w:tr>
    </w:tbl>
    <w:p>
      <w:pPr>
        <w:jc w:val="right"/>
        <w:ind w:right="5310"/>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8.01.</w:t>
            </w:r>
          </w:p>
        </w:tc>
        <w:tc>
          <w:tcPr>
            <w:tcW w:w="382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6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Section 8.02.   Notice of Termination</w:t>
            </w:r>
          </w:p>
        </w:tc>
        <w:tc>
          <w:tcPr>
            <w:tcW w:w="6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Section 8.03.   Effect of Termination</w:t>
            </w:r>
          </w:p>
        </w:tc>
        <w:tc>
          <w:tcPr>
            <w:tcW w:w="6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6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9.01.</w:t>
            </w:r>
          </w:p>
        </w:tc>
        <w:tc>
          <w:tcPr>
            <w:tcW w:w="3820" w:type="dxa"/>
            <w:vAlign w:val="bottom"/>
          </w:tcPr>
          <w:p>
            <w:pPr>
              <w:ind w:left="120"/>
              <w:spacing w:after="0"/>
              <w:rPr>
                <w:sz w:val="20"/>
                <w:szCs w:val="20"/>
                <w:color w:val="auto"/>
              </w:rPr>
            </w:pPr>
            <w:r>
              <w:rPr>
                <w:rFonts w:ascii="Arial" w:cs="Arial" w:eastAsia="Arial" w:hAnsi="Arial"/>
                <w:sz w:val="18"/>
                <w:szCs w:val="18"/>
                <w:color w:val="auto"/>
              </w:rPr>
              <w:t>Survival; Indemnification</w:t>
            </w:r>
          </w:p>
        </w:tc>
        <w:tc>
          <w:tcPr>
            <w:tcW w:w="6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Section 9.02.   Rules of Construction</w:t>
            </w:r>
          </w:p>
        </w:tc>
        <w:tc>
          <w:tcPr>
            <w:tcW w:w="6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9.03.</w:t>
            </w:r>
          </w:p>
        </w:tc>
        <w:tc>
          <w:tcPr>
            <w:tcW w:w="3820" w:type="dxa"/>
            <w:vAlign w:val="bottom"/>
          </w:tcPr>
          <w:p>
            <w:pPr>
              <w:ind w:left="120"/>
              <w:spacing w:after="0"/>
              <w:rPr>
                <w:sz w:val="20"/>
                <w:szCs w:val="20"/>
                <w:color w:val="auto"/>
              </w:rPr>
            </w:pPr>
            <w:r>
              <w:rPr>
                <w:rFonts w:ascii="Arial" w:cs="Arial" w:eastAsia="Arial" w:hAnsi="Arial"/>
                <w:sz w:val="18"/>
                <w:szCs w:val="18"/>
                <w:color w:val="auto"/>
              </w:rPr>
              <w:t>Expenses</w:t>
            </w:r>
          </w:p>
        </w:tc>
        <w:tc>
          <w:tcPr>
            <w:tcW w:w="6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9.04.</w:t>
            </w:r>
          </w:p>
        </w:tc>
        <w:tc>
          <w:tcPr>
            <w:tcW w:w="3820" w:type="dxa"/>
            <w:vAlign w:val="bottom"/>
          </w:tcPr>
          <w:p>
            <w:pPr>
              <w:ind w:left="120"/>
              <w:spacing w:after="0"/>
              <w:rPr>
                <w:sz w:val="20"/>
                <w:szCs w:val="20"/>
                <w:color w:val="auto"/>
              </w:rPr>
            </w:pPr>
            <w:r>
              <w:rPr>
                <w:rFonts w:ascii="Arial" w:cs="Arial" w:eastAsia="Arial" w:hAnsi="Arial"/>
                <w:sz w:val="18"/>
                <w:szCs w:val="18"/>
                <w:color w:val="auto"/>
              </w:rPr>
              <w:t>Notices</w:t>
            </w:r>
          </w:p>
        </w:tc>
        <w:tc>
          <w:tcPr>
            <w:tcW w:w="6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9.05.</w:t>
            </w:r>
          </w:p>
        </w:tc>
        <w:tc>
          <w:tcPr>
            <w:tcW w:w="382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6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9.06.</w:t>
            </w:r>
          </w:p>
        </w:tc>
        <w:tc>
          <w:tcPr>
            <w:tcW w:w="382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6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9.07.</w:t>
            </w:r>
          </w:p>
        </w:tc>
        <w:tc>
          <w:tcPr>
            <w:tcW w:w="382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6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Section 9.08.   No Third-Party Beneficiaries</w:t>
            </w:r>
          </w:p>
        </w:tc>
        <w:tc>
          <w:tcPr>
            <w:tcW w:w="6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9.09.</w:t>
            </w:r>
          </w:p>
        </w:tc>
        <w:tc>
          <w:tcPr>
            <w:tcW w:w="382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6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9.10.</w:t>
            </w:r>
          </w:p>
        </w:tc>
        <w:tc>
          <w:tcPr>
            <w:tcW w:w="3820" w:type="dxa"/>
            <w:vAlign w:val="bottom"/>
          </w:tcPr>
          <w:p>
            <w:pPr>
              <w:ind w:left="120"/>
              <w:spacing w:after="0"/>
              <w:rPr>
                <w:sz w:val="20"/>
                <w:szCs w:val="20"/>
                <w:color w:val="auto"/>
              </w:rPr>
            </w:pPr>
            <w:r>
              <w:rPr>
                <w:rFonts w:ascii="Arial" w:cs="Arial" w:eastAsia="Arial" w:hAnsi="Arial"/>
                <w:sz w:val="18"/>
                <w:szCs w:val="18"/>
                <w:color w:val="auto"/>
              </w:rPr>
              <w:t>Amendments</w:t>
            </w:r>
          </w:p>
        </w:tc>
        <w:tc>
          <w:tcPr>
            <w:tcW w:w="60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9.11.</w:t>
            </w:r>
          </w:p>
        </w:tc>
        <w:tc>
          <w:tcPr>
            <w:tcW w:w="3820" w:type="dxa"/>
            <w:vAlign w:val="bottom"/>
          </w:tcPr>
          <w:p>
            <w:pPr>
              <w:ind w:left="120"/>
              <w:spacing w:after="0"/>
              <w:rPr>
                <w:sz w:val="20"/>
                <w:szCs w:val="20"/>
                <w:color w:val="auto"/>
              </w:rPr>
            </w:pPr>
            <w:r>
              <w:rPr>
                <w:rFonts w:ascii="Arial" w:cs="Arial" w:eastAsia="Arial" w:hAnsi="Arial"/>
                <w:sz w:val="18"/>
                <w:szCs w:val="18"/>
                <w:color w:val="auto"/>
              </w:rPr>
              <w:t>Waiver</w:t>
            </w:r>
          </w:p>
        </w:tc>
        <w:tc>
          <w:tcPr>
            <w:tcW w:w="60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9.12.</w:t>
            </w:r>
          </w:p>
        </w:tc>
        <w:tc>
          <w:tcPr>
            <w:tcW w:w="382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60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Section 9.13.   Dispute Resolution; Consent to Jurisdiction</w:t>
            </w:r>
          </w:p>
        </w:tc>
        <w:tc>
          <w:tcPr>
            <w:tcW w:w="60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Section 9.14.   Waiver of Jury Trial</w:t>
            </w:r>
          </w:p>
        </w:tc>
        <w:tc>
          <w:tcPr>
            <w:tcW w:w="6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Section 9.15.   Admissibility into Evidence</w:t>
            </w:r>
          </w:p>
        </w:tc>
        <w:tc>
          <w:tcPr>
            <w:tcW w:w="6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Section 9.16.   Remedies; Specific Performance</w:t>
            </w:r>
          </w:p>
        </w:tc>
        <w:tc>
          <w:tcPr>
            <w:tcW w:w="6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9.17.</w:t>
            </w:r>
          </w:p>
        </w:tc>
        <w:tc>
          <w:tcPr>
            <w:tcW w:w="3820" w:type="dxa"/>
            <w:vAlign w:val="bottom"/>
          </w:tcPr>
          <w:p>
            <w:pPr>
              <w:ind w:left="120"/>
              <w:spacing w:after="0"/>
              <w:rPr>
                <w:sz w:val="20"/>
                <w:szCs w:val="20"/>
                <w:color w:val="auto"/>
              </w:rPr>
            </w:pPr>
            <w:r>
              <w:rPr>
                <w:rFonts w:ascii="Arial" w:cs="Arial" w:eastAsia="Arial" w:hAnsi="Arial"/>
                <w:sz w:val="18"/>
                <w:szCs w:val="18"/>
                <w:color w:val="auto"/>
              </w:rPr>
              <w:t>Non-Recourse</w:t>
            </w:r>
          </w:p>
        </w:tc>
        <w:tc>
          <w:tcPr>
            <w:tcW w:w="6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9.18.</w:t>
            </w:r>
          </w:p>
        </w:tc>
        <w:tc>
          <w:tcPr>
            <w:tcW w:w="3820" w:type="dxa"/>
            <w:vAlign w:val="bottom"/>
          </w:tcPr>
          <w:p>
            <w:pPr>
              <w:ind w:left="120"/>
              <w:spacing w:after="0"/>
              <w:rPr>
                <w:sz w:val="20"/>
                <w:szCs w:val="20"/>
                <w:color w:val="auto"/>
              </w:rPr>
            </w:pPr>
            <w:r>
              <w:rPr>
                <w:rFonts w:ascii="Arial" w:cs="Arial" w:eastAsia="Arial" w:hAnsi="Arial"/>
                <w:sz w:val="18"/>
                <w:szCs w:val="18"/>
                <w:color w:val="auto"/>
              </w:rPr>
              <w:t>Interest</w:t>
            </w:r>
          </w:p>
        </w:tc>
        <w:tc>
          <w:tcPr>
            <w:tcW w:w="6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Section 9.19.   Disclosure Schedules and Exhibits</w:t>
            </w:r>
          </w:p>
        </w:tc>
        <w:tc>
          <w:tcPr>
            <w:tcW w:w="6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Section 9.20.   Provision Respecting Legal Representation</w:t>
            </w:r>
          </w:p>
        </w:tc>
        <w:tc>
          <w:tcPr>
            <w:tcW w:w="6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9.21.</w:t>
            </w:r>
          </w:p>
        </w:tc>
        <w:tc>
          <w:tcPr>
            <w:tcW w:w="3820" w:type="dxa"/>
            <w:vAlign w:val="bottom"/>
          </w:tcPr>
          <w:p>
            <w:pPr>
              <w:ind w:left="120"/>
              <w:spacing w:after="0"/>
              <w:rPr>
                <w:sz w:val="20"/>
                <w:szCs w:val="20"/>
                <w:color w:val="auto"/>
              </w:rPr>
            </w:pPr>
            <w:r>
              <w:rPr>
                <w:rFonts w:ascii="Arial" w:cs="Arial" w:eastAsia="Arial" w:hAnsi="Arial"/>
                <w:sz w:val="18"/>
                <w:szCs w:val="18"/>
                <w:color w:val="auto"/>
              </w:rPr>
              <w:t>Privilege</w:t>
            </w:r>
          </w:p>
        </w:tc>
        <w:tc>
          <w:tcPr>
            <w:tcW w:w="6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9.22.</w:t>
            </w:r>
          </w:p>
        </w:tc>
        <w:tc>
          <w:tcPr>
            <w:tcW w:w="38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6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65"/>
        </w:trPr>
        <w:tc>
          <w:tcPr>
            <w:tcW w:w="10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080" w:type="dxa"/>
            <w:vAlign w:val="bottom"/>
          </w:tcPr>
          <w:p>
            <w:pPr>
              <w:jc w:val="right"/>
              <w:ind w:right="5290"/>
              <w:spacing w:after="0"/>
              <w:rPr>
                <w:sz w:val="20"/>
                <w:szCs w:val="20"/>
                <w:color w:val="auto"/>
              </w:rPr>
            </w:pPr>
            <w:r>
              <w:rPr>
                <w:rFonts w:ascii="Arial" w:cs="Arial" w:eastAsia="Arial" w:hAnsi="Arial"/>
                <w:sz w:val="18"/>
                <w:szCs w:val="18"/>
                <w:color w:val="auto"/>
              </w:rPr>
              <w:t>iii</w:t>
            </w:r>
          </w:p>
        </w:tc>
      </w:tr>
    </w:tbl>
    <w:p>
      <w:pPr>
        <w:jc w:val="right"/>
        <w:ind w:right="5290"/>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ectPr>
          <w:pgSz w:w="11900" w:h="16838" w:orient="portrait"/>
          <w:cols w:equalWidth="0" w:num="1">
            <w:col w:w="10019"/>
          </w:cols>
          <w:pgMar w:left="440" w:top="274" w:right="1440"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Exhibit 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K</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Master Lease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Trust Agreement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Assignment of Membership Interests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Quitclaim 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Pre-Closing Reorganization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Commitment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Survey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Zoning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 of 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 of Sale</w:t>
      </w:r>
    </w:p>
    <w:p>
      <w:pPr>
        <w:spacing w:after="0" w:line="143" w:lineRule="exact"/>
        <w:rPr>
          <w:sz w:val="20"/>
          <w:szCs w:val="20"/>
          <w:color w:val="auto"/>
        </w:rPr>
      </w:pPr>
    </w:p>
    <w:p>
      <w:pPr>
        <w:sectPr>
          <w:pgSz w:w="11900" w:h="16838" w:orient="portrait"/>
          <w:cols w:equalWidth="0" w:num="2">
            <w:col w:w="1500" w:space="720"/>
            <w:col w:w="7799"/>
          </w:cols>
          <w:pgMar w:left="440" w:top="274" w:right="1440" w:bottom="1440" w:gutter="0" w:footer="0" w:header="0"/>
          <w:type w:val="continuous"/>
        </w:sectPr>
      </w:pPr>
    </w:p>
    <w:p>
      <w:pPr>
        <w:ind w:left="5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4" w:right="1440" w:bottom="1440" w:gutter="0" w:footer="0" w:header="0"/>
          <w:type w:val="continuous"/>
        </w:sectPr>
      </w:pPr>
    </w:p>
    <w:bookmarkStart w:id="9" w:name="page10"/>
    <w:bookmarkEnd w:id="9"/>
    <w:p>
      <w:pPr>
        <w:ind w:right="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EQUITY PURCHASE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14, 2022 (the “</w:t>
      </w:r>
      <w:r>
        <w:rPr>
          <w:rFonts w:ascii="Arial" w:cs="Arial" w:eastAsia="Arial" w:hAnsi="Arial"/>
          <w:sz w:val="18"/>
          <w:szCs w:val="18"/>
          <w:b w:val="1"/>
          <w:bCs w:val="1"/>
          <w:color w:val="auto"/>
        </w:rPr>
        <w:t>Agreement Date</w:t>
      </w:r>
      <w:r>
        <w:rPr>
          <w:rFonts w:ascii="Arial" w:cs="Arial" w:eastAsia="Arial" w:hAnsi="Arial"/>
          <w:sz w:val="18"/>
          <w:szCs w:val="18"/>
          <w:color w:val="auto"/>
        </w:rPr>
        <w:t>”), is made by and between WYNN MA, LLC, a Nevada limited liability company (“</w:t>
      </w:r>
      <w:r>
        <w:rPr>
          <w:rFonts w:ascii="Arial" w:cs="Arial" w:eastAsia="Arial" w:hAnsi="Arial"/>
          <w:sz w:val="18"/>
          <w:szCs w:val="18"/>
          <w:b w:val="1"/>
          <w:bCs w:val="1"/>
          <w:color w:val="auto"/>
        </w:rPr>
        <w:t>Seller</w:t>
      </w:r>
      <w:r>
        <w:rPr>
          <w:rFonts w:ascii="Arial" w:cs="Arial" w:eastAsia="Arial" w:hAnsi="Arial"/>
          <w:sz w:val="18"/>
          <w:szCs w:val="18"/>
          <w:color w:val="auto"/>
        </w:rPr>
        <w:t>”), and REALTY INCOME CORPORATION, a Maryland corporation (“</w:t>
      </w:r>
      <w:r>
        <w:rPr>
          <w:rFonts w:ascii="Arial" w:cs="Arial" w:eastAsia="Arial" w:hAnsi="Arial"/>
          <w:sz w:val="18"/>
          <w:szCs w:val="18"/>
          <w:b w:val="1"/>
          <w:bCs w:val="1"/>
          <w:color w:val="auto"/>
        </w:rPr>
        <w:t>Buyer</w:t>
      </w:r>
      <w:r>
        <w:rPr>
          <w:rFonts w:ascii="Arial" w:cs="Arial" w:eastAsia="Arial" w:hAnsi="Arial"/>
          <w:sz w:val="18"/>
          <w:szCs w:val="18"/>
          <w:color w:val="auto"/>
        </w:rPr>
        <w:t>” and together with Seller, the “</w:t>
      </w:r>
      <w:r>
        <w:rPr>
          <w:rFonts w:ascii="Arial" w:cs="Arial" w:eastAsia="Arial" w:hAnsi="Arial"/>
          <w:sz w:val="18"/>
          <w:szCs w:val="18"/>
          <w:b w:val="1"/>
          <w:bCs w:val="1"/>
          <w:color w:val="auto"/>
        </w:rPr>
        <w:t>Parties</w:t>
      </w:r>
      <w:r>
        <w:rPr>
          <w:rFonts w:ascii="Arial" w:cs="Arial" w:eastAsia="Arial" w:hAnsi="Arial"/>
          <w:sz w:val="18"/>
          <w:szCs w:val="18"/>
          <w:color w:val="auto"/>
        </w:rPr>
        <w:t>,” and each individually,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right="60" w:firstLine="436"/>
        <w:spacing w:after="0" w:line="257"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Seller is (i) the direct beneficial and record owner of 99% of the issued and outstanding limited liability company interests of EBH MA Property, LLC, a Massachusetts limited liability company (“</w:t>
      </w:r>
      <w:r>
        <w:rPr>
          <w:rFonts w:ascii="Arial" w:cs="Arial" w:eastAsia="Arial" w:hAnsi="Arial"/>
          <w:sz w:val="18"/>
          <w:szCs w:val="18"/>
          <w:b w:val="1"/>
          <w:bCs w:val="1"/>
          <w:color w:val="auto"/>
        </w:rPr>
        <w:t>EBH</w:t>
      </w:r>
      <w:r>
        <w:rPr>
          <w:rFonts w:ascii="Arial" w:cs="Arial" w:eastAsia="Arial" w:hAnsi="Arial"/>
          <w:sz w:val="18"/>
          <w:szCs w:val="18"/>
          <w:color w:val="auto"/>
        </w:rPr>
        <w:t>,” and the membership interests of EBH, the “</w:t>
      </w:r>
      <w:r>
        <w:rPr>
          <w:rFonts w:ascii="Arial" w:cs="Arial" w:eastAsia="Arial" w:hAnsi="Arial"/>
          <w:sz w:val="18"/>
          <w:szCs w:val="18"/>
          <w:b w:val="1"/>
          <w:bCs w:val="1"/>
          <w:color w:val="auto"/>
        </w:rPr>
        <w:t>Transferred Equity Interests</w:t>
      </w:r>
      <w:r>
        <w:rPr>
          <w:rFonts w:ascii="Arial" w:cs="Arial" w:eastAsia="Arial" w:hAnsi="Arial"/>
          <w:sz w:val="18"/>
          <w:szCs w:val="18"/>
          <w:color w:val="auto"/>
        </w:rPr>
        <w:t>”), (ii) the sole member of EBH Holdings, LLC, a Nevada limited liability company (the “</w:t>
      </w:r>
      <w:r>
        <w:rPr>
          <w:rFonts w:ascii="Arial" w:cs="Arial" w:eastAsia="Arial" w:hAnsi="Arial"/>
          <w:sz w:val="18"/>
          <w:szCs w:val="18"/>
          <w:b w:val="1"/>
          <w:bCs w:val="1"/>
          <w:color w:val="auto"/>
        </w:rPr>
        <w:t>Applicable Subsidiary</w:t>
      </w:r>
      <w:r>
        <w:rPr>
          <w:rFonts w:ascii="Arial" w:cs="Arial" w:eastAsia="Arial" w:hAnsi="Arial"/>
          <w:sz w:val="18"/>
          <w:szCs w:val="18"/>
          <w:color w:val="auto"/>
        </w:rPr>
        <w:t>”), which is the direct beneficial and record owner of the remaining 1% of the Transferred Equity Interests, (iii) the fee owner or easement holder of certain of the parcels of land comprising the Service Road Easement Area and (iv) the owner of the Battery Farm Equipment.</w:t>
      </w:r>
    </w:p>
    <w:p>
      <w:pPr>
        <w:spacing w:after="0" w:line="187" w:lineRule="exact"/>
        <w:rPr>
          <w:rFonts w:ascii="Arial" w:cs="Arial" w:eastAsia="Arial" w:hAnsi="Arial"/>
          <w:sz w:val="18"/>
          <w:szCs w:val="18"/>
          <w:color w:val="auto"/>
        </w:rPr>
      </w:pPr>
    </w:p>
    <w:p>
      <w:pPr>
        <w:ind w:left="780" w:hanging="34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EBH is the fee owner of the EBH Land and the EBH Improvements.</w:t>
      </w:r>
    </w:p>
    <w:p>
      <w:pPr>
        <w:spacing w:after="0" w:line="221" w:lineRule="exact"/>
        <w:rPr>
          <w:rFonts w:ascii="Arial" w:cs="Arial" w:eastAsia="Arial" w:hAnsi="Arial"/>
          <w:sz w:val="18"/>
          <w:szCs w:val="18"/>
          <w:color w:val="auto"/>
        </w:rPr>
      </w:pPr>
    </w:p>
    <w:p>
      <w:pPr>
        <w:ind w:right="200" w:firstLine="436"/>
        <w:spacing w:after="0" w:line="314" w:lineRule="auto"/>
        <w:tabs>
          <w:tab w:leader="none" w:pos="785" w:val="left"/>
        </w:tabs>
        <w:numPr>
          <w:ilvl w:val="0"/>
          <w:numId w:val="3"/>
        </w:numPr>
        <w:rPr>
          <w:rFonts w:ascii="Arial" w:cs="Arial" w:eastAsia="Arial" w:hAnsi="Arial"/>
          <w:sz w:val="16"/>
          <w:szCs w:val="16"/>
          <w:color w:val="auto"/>
        </w:rPr>
      </w:pPr>
      <w:r>
        <w:rPr>
          <w:rFonts w:ascii="Arial" w:cs="Arial" w:eastAsia="Arial" w:hAnsi="Arial"/>
          <w:sz w:val="16"/>
          <w:szCs w:val="16"/>
          <w:color w:val="auto"/>
        </w:rPr>
        <w:t>Seller’s Affiliate, Everett Property, LLC, a Massachusetts limited liability company (“</w:t>
      </w:r>
      <w:r>
        <w:rPr>
          <w:rFonts w:ascii="Arial" w:cs="Arial" w:eastAsia="Arial" w:hAnsi="Arial"/>
          <w:sz w:val="16"/>
          <w:szCs w:val="16"/>
          <w:b w:val="1"/>
          <w:bCs w:val="1"/>
          <w:color w:val="auto"/>
        </w:rPr>
        <w:t>Everett Lessee</w:t>
      </w:r>
      <w:r>
        <w:rPr>
          <w:rFonts w:ascii="Arial" w:cs="Arial" w:eastAsia="Arial" w:hAnsi="Arial"/>
          <w:sz w:val="16"/>
          <w:szCs w:val="16"/>
          <w:color w:val="auto"/>
        </w:rPr>
        <w:t>”), is (i) the lessee under the Ground Leases, (ii) the fee owner of the Horizon Parcel and the 3 Charlton Parcel, a portion of which comprises the Battery Farm Easement Area (on which is located the Battery Farm Equipment) and (iii) the fee owner of certain of the parcels of land comprising the Service Road Easement Area.</w:t>
      </w:r>
    </w:p>
    <w:p>
      <w:pPr>
        <w:spacing w:after="0" w:line="145" w:lineRule="exact"/>
        <w:rPr>
          <w:rFonts w:ascii="Arial" w:cs="Arial" w:eastAsia="Arial" w:hAnsi="Arial"/>
          <w:sz w:val="16"/>
          <w:szCs w:val="16"/>
          <w:color w:val="auto"/>
        </w:rPr>
      </w:pPr>
    </w:p>
    <w:p>
      <w:pPr>
        <w:ind w:right="160" w:firstLine="436"/>
        <w:spacing w:after="0" w:line="263"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Closing Date, Seller desires to sell, and cause the Applicable Subsidiary to sell, to MDC Holdings, and Buyer desires to cause MDC Holdings to purchase from Seller and the Applicable Subsidiary, all of Seller’s and the Applicable Subsidiary’s right, title and interest in and to the Transferred Equity Interests, subject to the terms and conditions set forth in this Agreement.</w:t>
      </w:r>
    </w:p>
    <w:p>
      <w:pPr>
        <w:spacing w:after="0" w:line="183" w:lineRule="exact"/>
        <w:rPr>
          <w:rFonts w:ascii="Arial" w:cs="Arial" w:eastAsia="Arial" w:hAnsi="Arial"/>
          <w:sz w:val="18"/>
          <w:szCs w:val="18"/>
          <w:color w:val="auto"/>
        </w:rPr>
      </w:pPr>
    </w:p>
    <w:p>
      <w:pPr>
        <w:ind w:right="20" w:firstLine="436"/>
        <w:spacing w:after="0" w:line="254" w:lineRule="auto"/>
        <w:tabs>
          <w:tab w:leader="none" w:pos="7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Closing Date, concurrently with the consummation of the transactions described in the foregoing recital, Seller desires to, and to cause Everett Lessee (as applicable) to, (i) sell all of Everett Lessee’s right, title and interest in and to the Horizon Parcel to MDC Holdings, and Buyer desires to cause MDC Holdings to purchase from Everett Lessee all of its right, title and interest in and to the Horizon Parcel, (ii) assign to MDC Holdings, and Buyer desires to cause MDC Holdings to accept from Everett Lessee the assignment of, the Ventouris Ground Lease, (iii) grant to MDC Holdings easement rights with respect to the Vigorito Leased Property, the Service Road Easement Area and the Battery Farm Easement Area (collectively, the “</w:t>
      </w:r>
      <w:r>
        <w:rPr>
          <w:rFonts w:ascii="Arial" w:cs="Arial" w:eastAsia="Arial" w:hAnsi="Arial"/>
          <w:sz w:val="18"/>
          <w:szCs w:val="18"/>
          <w:b w:val="1"/>
          <w:bCs w:val="1"/>
          <w:color w:val="auto"/>
        </w:rPr>
        <w:t>Easement Areas</w:t>
      </w:r>
      <w:r>
        <w:rPr>
          <w:rFonts w:ascii="Arial" w:cs="Arial" w:eastAsia="Arial" w:hAnsi="Arial"/>
          <w:sz w:val="18"/>
          <w:szCs w:val="18"/>
          <w:color w:val="auto"/>
        </w:rPr>
        <w:t>”) and (iv) lease to MDC Holdings the Battery Farm Equipment, in each case, subject to the terms and conditions set forth in this Agreement.</w:t>
      </w:r>
    </w:p>
    <w:p>
      <w:pPr>
        <w:spacing w:after="0" w:line="194" w:lineRule="exact"/>
        <w:rPr>
          <w:rFonts w:ascii="Arial" w:cs="Arial" w:eastAsia="Arial" w:hAnsi="Arial"/>
          <w:sz w:val="18"/>
          <w:szCs w:val="18"/>
          <w:color w:val="auto"/>
        </w:rPr>
      </w:pPr>
    </w:p>
    <w:p>
      <w:pPr>
        <w:jc w:val="both"/>
        <w:ind w:firstLine="436"/>
        <w:spacing w:after="0" w:line="259" w:lineRule="auto"/>
        <w:tabs>
          <w:tab w:leader="none" w:pos="751"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Closing Date, immediately upon consummation of the transactions described in the two preceding recitals, and subject to the terms and conditions set forth in this Agreement, EBH and MDC Holdings, as landlord (collectively, in such capacity, “</w:t>
      </w:r>
      <w:r>
        <w:rPr>
          <w:rFonts w:ascii="Arial" w:cs="Arial" w:eastAsia="Arial" w:hAnsi="Arial"/>
          <w:sz w:val="18"/>
          <w:szCs w:val="18"/>
          <w:b w:val="1"/>
          <w:bCs w:val="1"/>
          <w:color w:val="auto"/>
        </w:rPr>
        <w:t>Landlord</w:t>
      </w:r>
      <w:r>
        <w:rPr>
          <w:rFonts w:ascii="Arial" w:cs="Arial" w:eastAsia="Arial" w:hAnsi="Arial"/>
          <w:sz w:val="18"/>
          <w:szCs w:val="18"/>
          <w:color w:val="auto"/>
        </w:rPr>
        <w:t>”), and Seller (with respect to the EBH Land and the EBH Improvements) and an Affiliate of Seller (with respect to the real property, easement rights, Battery Farm Equipment and all other related assets (other than the Transferred Equity Interests) held by MDC Holdings), as tenant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0" w:name="page11"/>
    <w:bookmarkEnd w:id="10"/>
    <w:p>
      <w:pPr>
        <w:ind w:right="2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(collectively, in such capacity,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will enter into that certain Lease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Master Lease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6"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set forth in this Agreement, and for other good and valuable consideration, the receipt and sufficiency of which are hereby acknowledged, the Parties, intending to be legally bound, agree as follows: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Certain Defined Terms</w:t>
      </w:r>
      <w:r>
        <w:rPr>
          <w:rFonts w:ascii="Arial" w:cs="Arial" w:eastAsia="Arial" w:hAnsi="Arial"/>
          <w:sz w:val="16"/>
          <w:szCs w:val="16"/>
          <w:color w:val="auto"/>
        </w:rPr>
        <w:t>. Capitalized terms used in this Agreement have the meanings specified in</w:t>
      </w:r>
      <w:r>
        <w:rPr>
          <w:rFonts w:ascii="Arial" w:cs="Arial" w:eastAsia="Arial" w:hAnsi="Arial"/>
          <w:sz w:val="16"/>
          <w:szCs w:val="16"/>
          <w:u w:val="single" w:color="auto"/>
          <w:color w:val="auto"/>
        </w:rPr>
        <w:t xml:space="preserve"> Exhibit A</w:t>
      </w:r>
      <w:r>
        <w:rPr>
          <w:rFonts w:ascii="Arial" w:cs="Arial" w:eastAsia="Arial" w:hAnsi="Arial"/>
          <w:sz w:val="16"/>
          <w:szCs w:val="16"/>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PURCHASE AND SALE; CLOSING</w:t>
      </w:r>
    </w:p>
    <w:p>
      <w:pPr>
        <w:spacing w:after="0" w:line="229" w:lineRule="exact"/>
        <w:rPr>
          <w:sz w:val="20"/>
          <w:szCs w:val="20"/>
          <w:color w:val="auto"/>
        </w:rPr>
      </w:pPr>
    </w:p>
    <w:p>
      <w:pPr>
        <w:ind w:right="20" w:firstLine="1983"/>
        <w:spacing w:after="0" w:line="269"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Purchase and Sale of the Transferred Interests</w:t>
      </w:r>
      <w:r>
        <w:rPr>
          <w:rFonts w:ascii="Arial" w:cs="Arial" w:eastAsia="Arial" w:hAnsi="Arial"/>
          <w:sz w:val="17"/>
          <w:szCs w:val="17"/>
          <w:color w:val="auto"/>
        </w:rPr>
        <w:t>. On the terms and subject to the conditions set forth in this Agreement, at the Closing, (a) Seller shall, and shall cause the Applicable Subsidiary to, sell, convey, assign, transfer and deliver to MDC Holdings, and MDC Holdings shall purchase, acquire and accept from Seller and the Applicable Subsidiary, all of Seller’s and the Applicable Subsidiary’s right, title and interest in and to the Transferred Equity Interests, free and clear of all Liens (other than restrictions arising under the Securities Act or any other applicable securities Laws or any applicable Gaming Laws) and (b) Seller shall, and shall cause Everett Lessee (as applicable) to, (i) sell all of Everett Lessee’s right, title and interest in and to the Horizon Parcel to MDC Holdings, and MDC Holdings shall purchase, acquire and accept from Everett Lessee all of its right, title and interest in and to the Horizon Parcel, (ii) assign to MDC Holdings, and MDC Holdings shall accept from Everett Lessee the assignment of, the Ventouris Ground Lease, (iii) grant to MDC Holdings easement rights with respect to the Easement Areas and (iv) lease to MDC Holdings the Battery Farm Equipment (the Transferred Equity Interests and the real property and other interests contemplated by the foregoing clause (b), collectively, the “</w:t>
      </w:r>
      <w:r>
        <w:rPr>
          <w:rFonts w:ascii="Arial" w:cs="Arial" w:eastAsia="Arial" w:hAnsi="Arial"/>
          <w:sz w:val="17"/>
          <w:szCs w:val="17"/>
          <w:b w:val="1"/>
          <w:bCs w:val="1"/>
          <w:color w:val="auto"/>
        </w:rPr>
        <w:t>Transferred Interests</w:t>
      </w:r>
      <w:r>
        <w:rPr>
          <w:rFonts w:ascii="Arial" w:cs="Arial" w:eastAsia="Arial" w:hAnsi="Arial"/>
          <w:sz w:val="17"/>
          <w:szCs w:val="17"/>
          <w:color w:val="auto"/>
        </w:rPr>
        <w:t>”).</w:t>
      </w:r>
    </w:p>
    <w:p>
      <w:pPr>
        <w:spacing w:after="0" w:line="185" w:lineRule="exact"/>
        <w:rPr>
          <w:sz w:val="20"/>
          <w:szCs w:val="20"/>
          <w:color w:val="auto"/>
        </w:rPr>
      </w:pPr>
    </w:p>
    <w:p>
      <w:pPr>
        <w:ind w:firstLine="1983"/>
        <w:spacing w:after="0" w:line="253"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sale, purchase, assignment, granting and leasing of the Transferred Interests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shall take place remotely by exchange of documents and signatures in each case at 9:00 a.m. on the second Business Day following the satisfaction or waiver (to the extent permitted by applicable Law) by the Party or Parties entitled to the benefits thereof, of the Closing Conditions (other than those Closing Conditions that by their nature are to be satisfied at the Closing, but subject to the satisfaction or waiver (to the extent permitted by applicable Law) of those Closing Conditions at such time), or on such other date or at such other time or place as the Parties may agree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the Closing take place prior to the date that is 120 days following the date the Completed Submission is made. The date on which the Closing occurs is referred to in this Agreement as the “</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Upon satisfaction (or valid waiver) of the Closing Conditions and receipt of the deliverables required by </w:t>
      </w:r>
      <w:r>
        <w:rPr>
          <w:rFonts w:ascii="Arial" w:cs="Arial" w:eastAsia="Arial" w:hAnsi="Arial"/>
          <w:sz w:val="18"/>
          <w:szCs w:val="18"/>
          <w:u w:val="single" w:color="auto"/>
          <w:color w:val="auto"/>
        </w:rPr>
        <w:t>Section 2.04</w:t>
      </w:r>
      <w:r>
        <w:rPr>
          <w:rFonts w:ascii="Arial" w:cs="Arial" w:eastAsia="Arial" w:hAnsi="Arial"/>
          <w:sz w:val="18"/>
          <w:szCs w:val="18"/>
          <w:color w:val="auto"/>
        </w:rPr>
        <w:t>, the Title Company shall immediately deliver the closing documents to the appropriate Party, file or record (as applicable) those closing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1" w:name="page12"/>
    <w:bookmarkEnd w:id="11"/>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that are required to be filed or recorded according to closing instructions provided to the Title Company by Seller and Buyer (or their respective attorneys) and make disbursements (including payment of the Purchase Price to Seller) according to the Closing Statement, duly executed by Seller and Buyer.</w:t>
      </w:r>
    </w:p>
    <w:p>
      <w:pPr>
        <w:spacing w:after="0" w:line="184" w:lineRule="exact"/>
        <w:rPr>
          <w:sz w:val="20"/>
          <w:szCs w:val="20"/>
          <w:color w:val="auto"/>
        </w:rPr>
      </w:pPr>
    </w:p>
    <w:p>
      <w:pPr>
        <w:ind w:left="4" w:firstLine="1983"/>
        <w:spacing w:after="0" w:line="291"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Purchase Price</w:t>
      </w:r>
      <w:r>
        <w:rPr>
          <w:rFonts w:ascii="Arial" w:cs="Arial" w:eastAsia="Arial" w:hAnsi="Arial"/>
          <w:sz w:val="16"/>
          <w:szCs w:val="16"/>
          <w:color w:val="auto"/>
        </w:rPr>
        <w:t>. The aggregate cash consideration to be paid by Buyer in a single wire (i) to Seller and the Applicable Subsidiary for the sale of all of the Transferred Interests (which shall be apportioned 99% to Seller and 1% to the Applicable Subsidiary) and</w:t>
      </w:r>
    </w:p>
    <w:p>
      <w:pPr>
        <w:ind w:left="4" w:right="180" w:hanging="4"/>
        <w:spacing w:after="0" w:line="260" w:lineRule="auto"/>
        <w:tabs>
          <w:tab w:leader="none" w:pos="2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Everett Lessee for the sale of the Horizon Parcel and the assignment of the Ventouris Ground Lease, shall be $1,700,000,000.00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w:t>
      </w:r>
    </w:p>
    <w:p>
      <w:pPr>
        <w:spacing w:after="0" w:line="185" w:lineRule="exact"/>
        <w:rPr>
          <w:sz w:val="20"/>
          <w:szCs w:val="20"/>
          <w:color w:val="auto"/>
        </w:rPr>
      </w:pPr>
    </w:p>
    <w:p>
      <w:pPr>
        <w:ind w:left="1984"/>
        <w:spacing w:after="0"/>
        <w:tabs>
          <w:tab w:leader="none" w:pos="3084"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Closing Deliverables</w:t>
      </w:r>
      <w:r>
        <w:rPr>
          <w:rFonts w:ascii="Arial" w:cs="Arial" w:eastAsia="Arial" w:hAnsi="Arial"/>
          <w:sz w:val="16"/>
          <w:szCs w:val="16"/>
          <w:color w:val="auto"/>
        </w:rPr>
        <w:t>. At the Closing:</w:t>
      </w:r>
    </w:p>
    <w:p>
      <w:pPr>
        <w:spacing w:after="0" w:line="221" w:lineRule="exact"/>
        <w:rPr>
          <w:sz w:val="20"/>
          <w:szCs w:val="20"/>
          <w:color w:val="auto"/>
        </w:rPr>
      </w:pPr>
    </w:p>
    <w:p>
      <w:pPr>
        <w:ind w:left="1984"/>
        <w:spacing w:after="0"/>
        <w:tabs>
          <w:tab w:leader="none" w:pos="234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Seller shall deliver or cause to be delivered to the Title Company the following (collectively, the “</w:t>
      </w:r>
      <w:r>
        <w:rPr>
          <w:rFonts w:ascii="Arial" w:cs="Arial" w:eastAsia="Arial" w:hAnsi="Arial"/>
          <w:sz w:val="16"/>
          <w:szCs w:val="16"/>
          <w:b w:val="1"/>
          <w:bCs w:val="1"/>
          <w:color w:val="auto"/>
        </w:rPr>
        <w:t>Seller’s Closing</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07" w:lineRule="exact"/>
        <w:rPr>
          <w:sz w:val="20"/>
          <w:szCs w:val="20"/>
          <w:color w:val="auto"/>
        </w:rPr>
      </w:pPr>
    </w:p>
    <w:p>
      <w:pPr>
        <w:ind w:left="4" w:right="200" w:firstLine="1979"/>
        <w:spacing w:after="0" w:line="282" w:lineRule="auto"/>
        <w:tabs>
          <w:tab w:leader="none" w:pos="2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counterpart of the Assignment of Membership Interests Agreement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color w:val="auto"/>
        </w:rPr>
        <w:t>MIPA</w:t>
      </w:r>
      <w:r>
        <w:rPr>
          <w:rFonts w:ascii="Arial" w:cs="Arial" w:eastAsia="Arial" w:hAnsi="Arial"/>
          <w:sz w:val="18"/>
          <w:szCs w:val="18"/>
          <w:color w:val="auto"/>
        </w:rPr>
        <w:t>”) conveying to Buyer all of the Transferred Equity Interests, duly executed by Seller and the Applicable Subsidiary;</w:t>
      </w:r>
    </w:p>
    <w:p>
      <w:pPr>
        <w:spacing w:after="0" w:line="165" w:lineRule="exact"/>
        <w:rPr>
          <w:rFonts w:ascii="Arial" w:cs="Arial" w:eastAsia="Arial" w:hAnsi="Arial"/>
          <w:sz w:val="18"/>
          <w:szCs w:val="18"/>
          <w:color w:val="auto"/>
        </w:rPr>
      </w:pPr>
    </w:p>
    <w:p>
      <w:pPr>
        <w:ind w:left="2384" w:hanging="401"/>
        <w:spacing w:after="0"/>
        <w:tabs>
          <w:tab w:leader="none" w:pos="238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counterpart of the Master Lease Agreement, duly executed by Tenant;</w:t>
      </w:r>
    </w:p>
    <w:p>
      <w:pPr>
        <w:spacing w:after="0" w:line="225" w:lineRule="exact"/>
        <w:rPr>
          <w:rFonts w:ascii="Arial" w:cs="Arial" w:eastAsia="Arial" w:hAnsi="Arial"/>
          <w:sz w:val="18"/>
          <w:szCs w:val="18"/>
          <w:color w:val="auto"/>
        </w:rPr>
      </w:pPr>
    </w:p>
    <w:p>
      <w:pPr>
        <w:ind w:left="2424" w:hanging="441"/>
        <w:spacing w:after="0"/>
        <w:tabs>
          <w:tab w:leader="none" w:pos="2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a counterpart of the guaranty of lease, in the form attached as Exhibit D to the Master Lease Agreement, duly executed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by Guarantor;</w:t>
      </w:r>
    </w:p>
    <w:p>
      <w:pPr>
        <w:spacing w:after="0" w:line="206" w:lineRule="exact"/>
        <w:rPr>
          <w:rFonts w:ascii="Arial" w:cs="Arial" w:eastAsia="Arial" w:hAnsi="Arial"/>
          <w:sz w:val="16"/>
          <w:szCs w:val="16"/>
          <w:color w:val="auto"/>
        </w:rPr>
      </w:pPr>
    </w:p>
    <w:p>
      <w:pPr>
        <w:ind w:left="2424" w:hanging="441"/>
        <w:spacing w:after="0"/>
        <w:tabs>
          <w:tab w:leader="none" w:pos="2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 counterpart of the Bill of Sale, in the form attached as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(the “</w:t>
      </w:r>
      <w:r>
        <w:rPr>
          <w:rFonts w:ascii="Arial" w:cs="Arial" w:eastAsia="Arial" w:hAnsi="Arial"/>
          <w:sz w:val="17"/>
          <w:szCs w:val="17"/>
          <w:b w:val="1"/>
          <w:bCs w:val="1"/>
          <w:color w:val="auto"/>
        </w:rPr>
        <w:t>Bill of Sale</w:t>
      </w:r>
      <w:r>
        <w:rPr>
          <w:rFonts w:ascii="Arial" w:cs="Arial" w:eastAsia="Arial" w:hAnsi="Arial"/>
          <w:sz w:val="17"/>
          <w:szCs w:val="17"/>
          <w:color w:val="auto"/>
        </w:rPr>
        <w:t>”), duly executed by Seller;</w:t>
      </w:r>
    </w:p>
    <w:p>
      <w:pPr>
        <w:spacing w:after="0" w:line="236" w:lineRule="exact"/>
        <w:rPr>
          <w:rFonts w:ascii="Arial" w:cs="Arial" w:eastAsia="Arial" w:hAnsi="Arial"/>
          <w:sz w:val="17"/>
          <w:szCs w:val="17"/>
          <w:color w:val="auto"/>
        </w:rPr>
      </w:pPr>
    </w:p>
    <w:p>
      <w:pPr>
        <w:ind w:left="2364" w:hanging="381"/>
        <w:spacing w:after="0"/>
        <w:tabs>
          <w:tab w:leader="none" w:pos="236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an original counterpart of the Notice of Lease in the form attached as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(the “</w:t>
      </w:r>
      <w:r>
        <w:rPr>
          <w:rFonts w:ascii="Arial" w:cs="Arial" w:eastAsia="Arial" w:hAnsi="Arial"/>
          <w:sz w:val="16"/>
          <w:szCs w:val="16"/>
          <w:b w:val="1"/>
          <w:bCs w:val="1"/>
          <w:color w:val="auto"/>
        </w:rPr>
        <w:t>Memo of Lease</w:t>
      </w:r>
      <w:r>
        <w:rPr>
          <w:rFonts w:ascii="Arial" w:cs="Arial" w:eastAsia="Arial" w:hAnsi="Arial"/>
          <w:sz w:val="16"/>
          <w:szCs w:val="16"/>
          <w:color w:val="auto"/>
        </w:rPr>
        <w:t>”), duly executed</w:t>
      </w:r>
    </w:p>
    <w:p>
      <w:pPr>
        <w:spacing w:after="0" w:line="5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by Seller;</w:t>
      </w:r>
    </w:p>
    <w:p>
      <w:pPr>
        <w:spacing w:after="0" w:line="210" w:lineRule="exact"/>
        <w:rPr>
          <w:rFonts w:ascii="Arial" w:cs="Arial" w:eastAsia="Arial" w:hAnsi="Arial"/>
          <w:sz w:val="16"/>
          <w:szCs w:val="16"/>
          <w:color w:val="auto"/>
        </w:rPr>
      </w:pPr>
    </w:p>
    <w:p>
      <w:pPr>
        <w:ind w:left="4" w:right="160" w:firstLine="1979"/>
        <w:spacing w:after="0" w:line="257" w:lineRule="auto"/>
        <w:tabs>
          <w:tab w:leader="none" w:pos="2427"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EBH: (1) a certified copy of (a) the Certificate of Formation (and any amendments thereto) of EBH, (2) a certificate of good standing for EBH, dated no earlier than ten (10) days prior to Closing, (3) a copy of the operating agreement of EBH, together with any executed amendments or other modifications thereto, including an amendment to remove any members and manager parties, in form reasonably acceptable to Buyer, and (4) a copy of all minute books, ownership schedules or ledgers (or similar registries) and limited liability company records of EBH in the possession of Seller;</w:t>
      </w:r>
    </w:p>
    <w:p>
      <w:pPr>
        <w:spacing w:after="0" w:line="187" w:lineRule="exact"/>
        <w:rPr>
          <w:rFonts w:ascii="Arial" w:cs="Arial" w:eastAsia="Arial" w:hAnsi="Arial"/>
          <w:sz w:val="18"/>
          <w:szCs w:val="18"/>
          <w:color w:val="auto"/>
        </w:rPr>
      </w:pPr>
    </w:p>
    <w:p>
      <w:pPr>
        <w:ind w:left="4" w:right="100" w:firstLine="1979"/>
        <w:spacing w:after="0" w:line="263" w:lineRule="auto"/>
        <w:tabs>
          <w:tab w:leader="none" w:pos="2477"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certificate of non-foreign status from each entity that is treated, for U.S. federal income Tax purposes, as the owner of the Transferred Real Property, which certificate complies with Section 1445 of the Code and applicable Treasury Regulations issued or proposed thereunder;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12" w:name="page13"/>
    <w:bookmarkEnd w:id="12"/>
    <w:p>
      <w:pPr>
        <w:ind w:right="420" w:firstLine="1979"/>
        <w:spacing w:after="0" w:line="277" w:lineRule="auto"/>
        <w:tabs>
          <w:tab w:leader="none" w:pos="2523"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counterpart of each of the Additional Transaction Documents to be executed or delivered by Seller or Everett Lessee, duly executed by Seller or Everett Lessee, as applicable;</w:t>
      </w:r>
    </w:p>
    <w:p>
      <w:pPr>
        <w:spacing w:after="0" w:line="170" w:lineRule="exact"/>
        <w:rPr>
          <w:rFonts w:ascii="Arial" w:cs="Arial" w:eastAsia="Arial" w:hAnsi="Arial"/>
          <w:sz w:val="18"/>
          <w:szCs w:val="18"/>
          <w:color w:val="auto"/>
        </w:rPr>
      </w:pPr>
    </w:p>
    <w:p>
      <w:pPr>
        <w:ind w:right="80" w:firstLine="1979"/>
        <w:spacing w:after="0" w:line="286" w:lineRule="auto"/>
        <w:tabs>
          <w:tab w:leader="none" w:pos="2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customary “owner’s affidavit”, in form and substance reasonably satisfactory to Seller and the Title Company, duly executed by Seller and Everett Lessee, and any other document required by Law or reasonably requested by the Title Company from the Seller, the Applicable Subsidiary, or Everett Lessee, as applicable, in connection with consummating the Transaction;</w:t>
      </w:r>
    </w:p>
    <w:p>
      <w:pPr>
        <w:spacing w:after="0" w:line="165" w:lineRule="exact"/>
        <w:rPr>
          <w:rFonts w:ascii="Arial" w:cs="Arial" w:eastAsia="Arial" w:hAnsi="Arial"/>
          <w:sz w:val="17"/>
          <w:szCs w:val="17"/>
          <w:color w:val="auto"/>
        </w:rPr>
      </w:pPr>
    </w:p>
    <w:p>
      <w:pPr>
        <w:ind w:left="2360" w:hanging="381"/>
        <w:spacing w:after="0"/>
        <w:tabs>
          <w:tab w:leader="none" w:pos="2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 counterpart of the quitclaim deed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duly executed by Everett Lessee; and</w:t>
      </w:r>
    </w:p>
    <w:p>
      <w:pPr>
        <w:spacing w:after="0" w:line="225" w:lineRule="exact"/>
        <w:rPr>
          <w:rFonts w:ascii="Arial" w:cs="Arial" w:eastAsia="Arial" w:hAnsi="Arial"/>
          <w:sz w:val="18"/>
          <w:szCs w:val="18"/>
          <w:color w:val="auto"/>
        </w:rPr>
      </w:pPr>
    </w:p>
    <w:p>
      <w:pPr>
        <w:ind w:left="2420" w:hanging="441"/>
        <w:spacing w:after="0"/>
        <w:tabs>
          <w:tab w:leader="none" w:pos="2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counterpart of the closing statement for this Transaction, in customary form for a transaction of this nature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Statement</w:t>
      </w:r>
      <w:r>
        <w:rPr>
          <w:rFonts w:ascii="Arial" w:cs="Arial" w:eastAsia="Arial" w:hAnsi="Arial"/>
          <w:sz w:val="18"/>
          <w:szCs w:val="18"/>
          <w:color w:val="auto"/>
        </w:rPr>
        <w:t>”), duly executed by Seller.</w:t>
      </w:r>
    </w:p>
    <w:p>
      <w:pPr>
        <w:spacing w:after="0" w:line="207" w:lineRule="exact"/>
        <w:rPr>
          <w:sz w:val="20"/>
          <w:szCs w:val="20"/>
          <w:color w:val="auto"/>
        </w:rPr>
      </w:pPr>
    </w:p>
    <w:p>
      <w:pPr>
        <w:ind w:left="2360" w:hanging="381"/>
        <w:spacing w:after="0"/>
        <w:tabs>
          <w:tab w:leader="none" w:pos="2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Buyer shall deliver or cause to be delivered to the Title Company the following (collectively, the “</w:t>
      </w:r>
      <w:r>
        <w:rPr>
          <w:rFonts w:ascii="Arial" w:cs="Arial" w:eastAsia="Arial" w:hAnsi="Arial"/>
          <w:sz w:val="17"/>
          <w:szCs w:val="17"/>
          <w:b w:val="1"/>
          <w:bCs w:val="1"/>
          <w:color w:val="auto"/>
        </w:rPr>
        <w:t>Buyer’s Closing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11" w:lineRule="exact"/>
        <w:rPr>
          <w:sz w:val="20"/>
          <w:szCs w:val="20"/>
          <w:color w:val="auto"/>
        </w:rPr>
      </w:pPr>
    </w:p>
    <w:p>
      <w:pPr>
        <w:ind w:right="160" w:firstLine="1979"/>
        <w:spacing w:after="0" w:line="277" w:lineRule="auto"/>
        <w:tabs>
          <w:tab w:leader="none" w:pos="233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Purchase Price (to be paid by wire transfer of immediately available funds), as adjusted for prorations pursuant to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of this Agreement; and</w:t>
      </w:r>
    </w:p>
    <w:p>
      <w:pPr>
        <w:spacing w:after="0" w:line="170" w:lineRule="exact"/>
        <w:rPr>
          <w:rFonts w:ascii="Arial" w:cs="Arial" w:eastAsia="Arial" w:hAnsi="Arial"/>
          <w:sz w:val="18"/>
          <w:szCs w:val="18"/>
          <w:color w:val="auto"/>
        </w:rPr>
      </w:pPr>
    </w:p>
    <w:p>
      <w:pPr>
        <w:ind w:left="2380" w:hanging="401"/>
        <w:spacing w:after="0"/>
        <w:tabs>
          <w:tab w:leader="none" w:pos="2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counterpart of the MIPA, duly executed by MDC Holdings;</w:t>
      </w:r>
    </w:p>
    <w:p>
      <w:pPr>
        <w:spacing w:after="0" w:line="225" w:lineRule="exact"/>
        <w:rPr>
          <w:rFonts w:ascii="Arial" w:cs="Arial" w:eastAsia="Arial" w:hAnsi="Arial"/>
          <w:sz w:val="18"/>
          <w:szCs w:val="18"/>
          <w:color w:val="auto"/>
        </w:rPr>
      </w:pPr>
    </w:p>
    <w:p>
      <w:pPr>
        <w:ind w:left="2420" w:hanging="441"/>
        <w:spacing w:after="0"/>
        <w:tabs>
          <w:tab w:leader="none" w:pos="2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counterpart of the Master Lease Agreement, duly executed by Landlord;</w:t>
      </w:r>
    </w:p>
    <w:p>
      <w:pPr>
        <w:spacing w:after="0" w:line="225" w:lineRule="exact"/>
        <w:rPr>
          <w:rFonts w:ascii="Arial" w:cs="Arial" w:eastAsia="Arial" w:hAnsi="Arial"/>
          <w:sz w:val="18"/>
          <w:szCs w:val="18"/>
          <w:color w:val="auto"/>
        </w:rPr>
      </w:pPr>
    </w:p>
    <w:p>
      <w:pPr>
        <w:ind w:left="2420" w:hanging="441"/>
        <w:spacing w:after="0"/>
        <w:tabs>
          <w:tab w:leader="none" w:pos="2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counterpart of the Bill of Sale, duly executed by MDC Holdings;</w:t>
      </w:r>
    </w:p>
    <w:p>
      <w:pPr>
        <w:spacing w:after="0" w:line="225" w:lineRule="exact"/>
        <w:rPr>
          <w:rFonts w:ascii="Arial" w:cs="Arial" w:eastAsia="Arial" w:hAnsi="Arial"/>
          <w:sz w:val="18"/>
          <w:szCs w:val="18"/>
          <w:color w:val="auto"/>
        </w:rPr>
      </w:pPr>
    </w:p>
    <w:p>
      <w:pPr>
        <w:ind w:left="2360" w:hanging="381"/>
        <w:spacing w:after="0"/>
        <w:tabs>
          <w:tab w:leader="none" w:pos="2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counterpart of the Memo of Lease, duly executed by Landlord;</w:t>
      </w:r>
    </w:p>
    <w:p>
      <w:pPr>
        <w:spacing w:after="0" w:line="225" w:lineRule="exact"/>
        <w:rPr>
          <w:rFonts w:ascii="Arial" w:cs="Arial" w:eastAsia="Arial" w:hAnsi="Arial"/>
          <w:sz w:val="18"/>
          <w:szCs w:val="18"/>
          <w:color w:val="auto"/>
        </w:rPr>
      </w:pPr>
    </w:p>
    <w:p>
      <w:pPr>
        <w:ind w:right="20" w:firstLine="1979"/>
        <w:spacing w:after="0" w:line="277" w:lineRule="auto"/>
        <w:tabs>
          <w:tab w:leader="none" w:pos="24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counterpart of each Additional Transaction Document to be executed or delivered by Buyer or MDC Holdings, duly executed by Buyer or MDC Holdings, as applicable;</w:t>
      </w:r>
    </w:p>
    <w:p>
      <w:pPr>
        <w:spacing w:after="0" w:line="170" w:lineRule="exact"/>
        <w:rPr>
          <w:rFonts w:ascii="Arial" w:cs="Arial" w:eastAsia="Arial" w:hAnsi="Arial"/>
          <w:sz w:val="18"/>
          <w:szCs w:val="18"/>
          <w:color w:val="auto"/>
        </w:rPr>
      </w:pPr>
    </w:p>
    <w:p>
      <w:pPr>
        <w:ind w:firstLine="1979"/>
        <w:spacing w:after="0" w:line="277" w:lineRule="auto"/>
        <w:tabs>
          <w:tab w:leader="none" w:pos="247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document required by Law or reasonably required by the Title Company, in connection with consummating the Transaction, in each case, duly executed by Buyer or MDC Holdings, as applicable; and</w:t>
      </w:r>
    </w:p>
    <w:p>
      <w:pPr>
        <w:spacing w:after="0" w:line="170" w:lineRule="exact"/>
        <w:rPr>
          <w:rFonts w:ascii="Arial" w:cs="Arial" w:eastAsia="Arial" w:hAnsi="Arial"/>
          <w:sz w:val="18"/>
          <w:szCs w:val="18"/>
          <w:color w:val="auto"/>
        </w:rPr>
      </w:pPr>
    </w:p>
    <w:p>
      <w:pPr>
        <w:ind w:left="2520" w:hanging="541"/>
        <w:spacing w:after="0"/>
        <w:tabs>
          <w:tab w:leader="none" w:pos="2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Closing Statement, duly executed by Buyer.</w:t>
      </w:r>
    </w:p>
    <w:p>
      <w:pPr>
        <w:spacing w:after="0" w:line="225" w:lineRule="exact"/>
        <w:rPr>
          <w:sz w:val="20"/>
          <w:szCs w:val="20"/>
          <w:color w:val="auto"/>
        </w:rPr>
      </w:pPr>
    </w:p>
    <w:p>
      <w:pPr>
        <w:ind w:right="480" w:firstLine="1983"/>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Withholding</w:t>
      </w:r>
      <w:r>
        <w:rPr>
          <w:rFonts w:ascii="Arial" w:cs="Arial" w:eastAsia="Arial" w:hAnsi="Arial"/>
          <w:sz w:val="18"/>
          <w:szCs w:val="18"/>
          <w:color w:val="auto"/>
        </w:rPr>
        <w:t>. Buyer shall be entitled to deduct and withhold from the consideration otherwise payable pursuant to this Agreement to Seller or any other Person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274" w:right="539" w:bottom="1440" w:gutter="0" w:footer="0" w:header="0"/>
        </w:sectPr>
      </w:pPr>
    </w:p>
    <w:bookmarkStart w:id="13" w:name="page14"/>
    <w:bookmarkEnd w:id="1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amounts as Buyer is required to deduct and withhold under the Code, or any Tax Law, with respect to the making of such payment. If Buyer believes that any withholding of Tax is required with respect to any payment under this Agreement, then it shall use commercially reasonable efforts to give written notice to the payee at least three (3) Business Days prior to making such payment, and it shall provide such payee a reasonable opportunity to provide any applicable certificate, form or documentation that would reduce or eliminate, and shall otherwise reasonably cooperate with the payee and take such steps as payee may reasonably request to reduce or eliminate, the requirement to withhold Tax with respect to such payment. To the extent any amounts are so withheld in accordance with this </w:t>
      </w:r>
      <w:r>
        <w:rPr>
          <w:rFonts w:ascii="Arial" w:cs="Arial" w:eastAsia="Arial" w:hAnsi="Arial"/>
          <w:sz w:val="17"/>
          <w:szCs w:val="17"/>
          <w:u w:val="single" w:color="auto"/>
          <w:color w:val="auto"/>
        </w:rPr>
        <w:t>Section 2.05</w:t>
      </w:r>
      <w:r>
        <w:rPr>
          <w:rFonts w:ascii="Arial" w:cs="Arial" w:eastAsia="Arial" w:hAnsi="Arial"/>
          <w:sz w:val="17"/>
          <w:szCs w:val="17"/>
          <w:color w:val="auto"/>
        </w:rPr>
        <w:t>, such withheld amounts shall be treated for all purposes of this Agreement as having been paid to the Person in respect of which such deduction and withholding was made, and Buyer shall duly and timely remit any such withheld amount in full to the relevant Taxing Authority in accordance with applicable Law.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121"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Seller hereby represents and warrants to Buyer that except (a) as set forth in the Disclosure Schedules or (b) as disclosed in the Environmental Reports, the Title Commitment, the Existing Survey and the Zoning Report, in each case, as delivered to Buyer prior to the Agreement Date:</w:t>
      </w:r>
    </w:p>
    <w:p>
      <w:pPr>
        <w:spacing w:after="0" w:line="124" w:lineRule="exact"/>
        <w:rPr>
          <w:sz w:val="20"/>
          <w:szCs w:val="20"/>
          <w:color w:val="auto"/>
        </w:rPr>
      </w:pPr>
    </w:p>
    <w:p>
      <w:pPr>
        <w:ind w:right="20" w:firstLine="1983"/>
        <w:spacing w:after="0" w:line="30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of Seller</w:t>
      </w:r>
      <w:r>
        <w:rPr>
          <w:rFonts w:ascii="Arial" w:cs="Arial" w:eastAsia="Arial" w:hAnsi="Arial"/>
          <w:sz w:val="16"/>
          <w:szCs w:val="16"/>
          <w:color w:val="auto"/>
        </w:rPr>
        <w:t>. Seller is a limited liability company duly organized, validly existing and in good standing under the Laws of the state of Nevada and has the requisite limited liability company power and authority to own and operate its properties and assets and to carry on its business in all material respects as presently conducted, except where failure to have such power or authority would not reasonably be expected to prevent, materially impair or materially delay the ability of Seller to consummate the Seller Transactions.</w:t>
      </w:r>
    </w:p>
    <w:p>
      <w:pPr>
        <w:spacing w:after="0" w:line="157" w:lineRule="exact"/>
        <w:rPr>
          <w:sz w:val="20"/>
          <w:szCs w:val="20"/>
          <w:color w:val="auto"/>
        </w:rPr>
      </w:pPr>
    </w:p>
    <w:p>
      <w:pPr>
        <w:ind w:firstLine="1983"/>
        <w:spacing w:after="0" w:line="270"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Formation and Qualification of EBH</w:t>
      </w:r>
      <w:r>
        <w:rPr>
          <w:rFonts w:ascii="Arial" w:cs="Arial" w:eastAsia="Arial" w:hAnsi="Arial"/>
          <w:sz w:val="17"/>
          <w:szCs w:val="17"/>
          <w:color w:val="auto"/>
        </w:rPr>
        <w:t>. EBH is a limited liability company duly organized, validly existing and in good standing under the Laws of the Commonwealth of Massachusetts (the “</w:t>
      </w:r>
      <w:r>
        <w:rPr>
          <w:rFonts w:ascii="Arial" w:cs="Arial" w:eastAsia="Arial" w:hAnsi="Arial"/>
          <w:sz w:val="17"/>
          <w:szCs w:val="17"/>
          <w:b w:val="1"/>
          <w:bCs w:val="1"/>
          <w:color w:val="auto"/>
        </w:rPr>
        <w:t>Commonwealth</w:t>
      </w:r>
      <w:r>
        <w:rPr>
          <w:rFonts w:ascii="Arial" w:cs="Arial" w:eastAsia="Arial" w:hAnsi="Arial"/>
          <w:sz w:val="17"/>
          <w:szCs w:val="17"/>
          <w:color w:val="auto"/>
        </w:rPr>
        <w:t>”) and has the requisite limited liability company power and authority to own and operate its properties and assets and to carry on its business in all material respects as presently conducted. No action has been taken to affect a dissolution or in contemplation of a dissolution of EBH. None of the membership interests of EBH have been certificated and EBH has not opted into Article 8 of the Uniform Commercial Code. True, complete, and correct copies of the organizational documents of EBH have been delivered by the Seller to the Buyer on or prior to the Closing Date. Neither Seller nor EBH is subject to any obligation to repurchase or otherwise acquire or retire or to register any shares, membership interests or any other equity interest or beneficial interest in EBH. Neither Seller nor the Applicable Subsidiary has committed nor obligated itself in any legally binding manner whatsoever to sell the Transferred Equity Interests or the Transferred Real Property to any party other than Buyer.</w:t>
      </w:r>
    </w:p>
    <w:p>
      <w:pPr>
        <w:spacing w:after="0" w:line="181"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Ownership; Capital Structure of the Transferred Entities</w:t>
      </w:r>
      <w:r>
        <w:rPr>
          <w:rFonts w:ascii="Arial" w:cs="Arial" w:eastAsia="Arial" w:hAnsi="Arial"/>
          <w:sz w:val="16"/>
          <w:szCs w:val="16"/>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4" w:name="page15"/>
    <w:bookmarkEnd w:id="14"/>
    <w:p>
      <w:pPr>
        <w:ind w:firstLine="1979"/>
        <w:spacing w:after="0" w:line="271" w:lineRule="auto"/>
        <w:tabs>
          <w:tab w:leader="none" w:pos="2362"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 together with the Applicable Subsidiary, is the direct or indirect record and beneficial owner of all of the Transferred Equity Interests, in each case free and clear of all Liens, except (i) any Lien arising out of, under or in connection with the Securities Act or any other applicable securities Laws or any applicable Gaming Law, (ii) any Lien arising out of, under or in connection with this Agreement or any other Transaction Agreement, (iii) any Lien created by or through, or resulting from any facts or circumstances relating to, Buyer or its Affiliates, (iv) any Lien for Taxes, assessments or other governmental charges or levies that is a Permitted Lien, or (v) any Lien securing obligations under the Current Financings (which Liens will be released and terminate at or substantially concurrently with the Closing). Neither Seller (or any of its Affiliates) nor any other Person is the record or beneficial owner of any membership, equity (including instruments convertible into equity) or other interest in EBH, other than the Transferred Equity Interests. EBH has never owned an equity interest in any Person.</w:t>
      </w:r>
    </w:p>
    <w:p>
      <w:pPr>
        <w:spacing w:after="0" w:line="178" w:lineRule="exact"/>
        <w:rPr>
          <w:rFonts w:ascii="Arial" w:cs="Arial" w:eastAsia="Arial" w:hAnsi="Arial"/>
          <w:sz w:val="17"/>
          <w:szCs w:val="17"/>
          <w:color w:val="auto"/>
        </w:rPr>
      </w:pPr>
    </w:p>
    <w:p>
      <w:pPr>
        <w:ind w:right="40" w:firstLine="1979"/>
        <w:spacing w:after="0" w:line="275" w:lineRule="auto"/>
        <w:tabs>
          <w:tab w:leader="none" w:pos="2363"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outstanding Transferred Equity Interests have been duly authorized and validly issued, and, to the extent applicable, are fully paid and nonassessable and were not issued in violation of any preemptive rights. There are no options, warrants or rights of conversion or other rights, agreements, arrangements or commitments obligating EBH to issue or sell any of its equity interests or securities convertible into or exchangeable for its shares or other equity interests, other than as provided in this Agreement. There are no voting trusts, stockholder agreements, proxies or other agreements in effect with respect to the voting or transfer of the Transferred Equity Interests.</w:t>
      </w:r>
    </w:p>
    <w:p>
      <w:pPr>
        <w:spacing w:after="0" w:line="176" w:lineRule="exact"/>
        <w:rPr>
          <w:sz w:val="20"/>
          <w:szCs w:val="20"/>
          <w:color w:val="auto"/>
        </w:rPr>
      </w:pPr>
    </w:p>
    <w:p>
      <w:pPr>
        <w:ind w:right="20" w:firstLine="1983"/>
        <w:spacing w:after="0" w:line="269"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Authority of Seller; Enforceability</w:t>
      </w:r>
      <w:r>
        <w:rPr>
          <w:rFonts w:ascii="Arial" w:cs="Arial" w:eastAsia="Arial" w:hAnsi="Arial"/>
          <w:sz w:val="17"/>
          <w:szCs w:val="17"/>
          <w:color w:val="auto"/>
        </w:rPr>
        <w:t>. Seller, and each Subsidiary of Seller who is a party to a Seller Transaction Agreement, has the requisite corporate or other appropriate power to execute, deliver and perform its obligations under the Seller Transaction Agreements (including the consummation of the Seller Transactions) to which it is a party. The execution, delivery and performance of the Seller Transaction Agreements by Seller and each Subsidiary of Seller who is a party thereto have been (or, in the case of Seller Transaction Agreements to be executed and delivered subsequent to the Agreement Date, will be prior to such execution and delivery) duly authorized by all requisite corporate or other appropriate action on the part of Seller and each such Subsidiary of Seller. This Agreement has been duly executed and delivered by Seller and, upon execution and delivery thereof by Seller or such Subsidiary of Seller who is a party thereto, the other Seller Transaction Agreements will be duly executed and delivered by Seller or such Subsidiary of Seller, and (assuming due authorization, execution and delivery thereof by the other parties hereto and thereto) this Agreement constitutes, and upon execution and delivery thereof, the other Seller Transaction Agreements will constitute, legal, valid and binding obligations of Seller or the applicable Subsidiary of Seller, enforceable against Seller or such Subsidiary of Seller in accordance with their respective terms, subject to the Bankruptcy and Equity Exception.</w:t>
      </w:r>
    </w:p>
    <w:p>
      <w:pPr>
        <w:spacing w:after="0" w:line="182" w:lineRule="exact"/>
        <w:rPr>
          <w:sz w:val="20"/>
          <w:szCs w:val="20"/>
          <w:color w:val="auto"/>
        </w:rPr>
      </w:pPr>
    </w:p>
    <w:p>
      <w:pPr>
        <w:ind w:right="80" w:firstLine="1983"/>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No Conflict</w:t>
      </w:r>
      <w:r>
        <w:rPr>
          <w:rFonts w:ascii="Arial" w:cs="Arial" w:eastAsia="Arial" w:hAnsi="Arial"/>
          <w:sz w:val="18"/>
          <w:szCs w:val="18"/>
          <w:color w:val="auto"/>
        </w:rPr>
        <w:t xml:space="preserve">. Assuming that all Consents and other actions described in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have been obtained or made, except as otherwise provided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except as may result from any facts or circumstances relating to Buyer or its Affiliates, the execution, delivery and performance of the Seller Transaction Agreements by Seller and each Subsidiary of Seller who is a party thereto do not and will not: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5" w:name="page16"/>
    <w:bookmarkEnd w:id="15"/>
    <w:p>
      <w:pPr>
        <w:ind w:right="840" w:firstLine="1979"/>
        <w:spacing w:after="0" w:line="277" w:lineRule="auto"/>
        <w:tabs>
          <w:tab w:leader="none" w:pos="2362"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violate or conflict with in any material respect the certificate or articles of incorporation or bylaws or similar organizational documents of Seller or any of its Subsidiaries;</w:t>
      </w:r>
    </w:p>
    <w:p>
      <w:pPr>
        <w:spacing w:after="0" w:line="170" w:lineRule="exact"/>
        <w:rPr>
          <w:rFonts w:ascii="Arial" w:cs="Arial" w:eastAsia="Arial" w:hAnsi="Arial"/>
          <w:sz w:val="18"/>
          <w:szCs w:val="18"/>
          <w:color w:val="auto"/>
        </w:rPr>
      </w:pPr>
    </w:p>
    <w:p>
      <w:pPr>
        <w:ind w:left="2360" w:hanging="381"/>
        <w:spacing w:after="0"/>
        <w:tabs>
          <w:tab w:leader="none" w:pos="2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conflict with or violate any Law or Order applicable to Seller or any of its Subsidiaries; or</w:t>
      </w:r>
    </w:p>
    <w:p>
      <w:pPr>
        <w:spacing w:after="0" w:line="225" w:lineRule="exact"/>
        <w:rPr>
          <w:rFonts w:ascii="Arial" w:cs="Arial" w:eastAsia="Arial" w:hAnsi="Arial"/>
          <w:sz w:val="18"/>
          <w:szCs w:val="18"/>
          <w:color w:val="auto"/>
        </w:rPr>
      </w:pPr>
    </w:p>
    <w:p>
      <w:pPr>
        <w:jc w:val="both"/>
        <w:ind w:right="140" w:firstLine="1979"/>
        <w:spacing w:after="0" w:line="263" w:lineRule="auto"/>
        <w:tabs>
          <w:tab w:leader="none" w:pos="23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 in any breach of, or constitute a default under, or give to any Person any right to terminate, amend, accelerate or cancel, or result in the creation of any Lien (other than a Permitted Lien) on the Transferred Equity Interests or the Transferred Real Property pursuant to, any Contract to which Seller or any of its Subsidiaries is a party.</w:t>
      </w:r>
    </w:p>
    <w:p>
      <w:pPr>
        <w:spacing w:after="0" w:line="184" w:lineRule="exact"/>
        <w:rPr>
          <w:sz w:val="20"/>
          <w:szCs w:val="20"/>
          <w:color w:val="auto"/>
        </w:rPr>
      </w:pPr>
    </w:p>
    <w:p>
      <w:pPr>
        <w:ind w:firstLine="1983"/>
        <w:spacing w:after="0" w:line="275"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Consents and Approvals</w:t>
      </w:r>
      <w:r>
        <w:rPr>
          <w:rFonts w:ascii="Arial" w:cs="Arial" w:eastAsia="Arial" w:hAnsi="Arial"/>
          <w:sz w:val="17"/>
          <w:szCs w:val="17"/>
          <w:color w:val="auto"/>
        </w:rPr>
        <w:t>. The execution, delivery and performance of the Seller Transaction Agreements by Seller and each Subsidiary of Seller who is a party thereto do not and will not require any Consent, waiver or other action by, or any filing with or notification to, any Government Authority by Seller or any Subsidiary of Seller, except (a) for the Gaming Approvals, (b) the PILOT Agreement Consent, (c) as may be necessary as a result of any facts or circumstances relating to Buyer or its Affiliates or (d) as would not reasonably be expected to prevent, materially impair or materially delay the ability of Seller to consummate the Seller Transactions.</w:t>
      </w:r>
    </w:p>
    <w:p>
      <w:pPr>
        <w:spacing w:after="0" w:line="176" w:lineRule="exact"/>
        <w:rPr>
          <w:sz w:val="20"/>
          <w:szCs w:val="20"/>
          <w:color w:val="auto"/>
        </w:rPr>
      </w:pPr>
    </w:p>
    <w:p>
      <w:pPr>
        <w:jc w:val="both"/>
        <w:ind w:right="160" w:firstLine="1983"/>
        <w:spacing w:after="0" w:line="301"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Violations</w:t>
      </w:r>
      <w:r>
        <w:rPr>
          <w:rFonts w:ascii="Arial" w:cs="Arial" w:eastAsia="Arial" w:hAnsi="Arial"/>
          <w:sz w:val="16"/>
          <w:szCs w:val="16"/>
          <w:color w:val="auto"/>
        </w:rPr>
        <w:t>. None of Seller or any of its Affiliates (including EBH) has received any written notice from any Government Authority asserting any violations of applicable Laws with respect to the Transferred Real Property that remains uncured, except (a) with respect to violations of Environmental Laws, as disclosed in any Environmental Reports, or (b) such violations as would not reasonably be expected to interfere in any material respect with Seller and its Affiliates’ current ownership and operation of the Transferred Real Property.</w:t>
      </w:r>
    </w:p>
    <w:p>
      <w:pPr>
        <w:spacing w:after="0" w:line="157"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1979"/>
        <w:spacing w:after="0" w:line="259" w:lineRule="auto"/>
        <w:tabs>
          <w:tab w:leader="none" w:pos="23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All income and other material Tax Returns required to be filed by or with respect to EBH have been timely filed (taking into account applicable extensions), (ii) all such Tax Returns are true, correct and complete in all material respects, and (iii) all amounts of Taxes due and owing by EBH (whether or not shown due on such Tax Returns) have been timely paid. EBH is not currently the beneficiary of any extension of time within which to file any Tax Return.</w:t>
      </w:r>
    </w:p>
    <w:p>
      <w:pPr>
        <w:spacing w:after="0" w:line="186" w:lineRule="exact"/>
        <w:rPr>
          <w:rFonts w:ascii="Arial" w:cs="Arial" w:eastAsia="Arial" w:hAnsi="Arial"/>
          <w:sz w:val="18"/>
          <w:szCs w:val="18"/>
          <w:color w:val="auto"/>
        </w:rPr>
      </w:pPr>
    </w:p>
    <w:p>
      <w:pPr>
        <w:ind w:right="200" w:firstLine="1979"/>
        <w:spacing w:after="0" w:line="277" w:lineRule="auto"/>
        <w:tabs>
          <w:tab w:leader="none" w:pos="23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notice of deficiency for any Taxes has been received by EBH in writing from a Taxing Authority, which notice of deficiency has not been finally resolved.</w:t>
      </w:r>
    </w:p>
    <w:p>
      <w:pPr>
        <w:spacing w:after="0" w:line="170" w:lineRule="exact"/>
        <w:rPr>
          <w:rFonts w:ascii="Arial" w:cs="Arial" w:eastAsia="Arial" w:hAnsi="Arial"/>
          <w:sz w:val="18"/>
          <w:szCs w:val="18"/>
          <w:color w:val="auto"/>
        </w:rPr>
      </w:pPr>
    </w:p>
    <w:p>
      <w:pPr>
        <w:ind w:right="40" w:firstLine="1979"/>
        <w:spacing w:after="0" w:line="263" w:lineRule="auto"/>
        <w:tabs>
          <w:tab w:leader="none" w:pos="23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EBH is not currently the subject of any audit, examination, action or proceeding relating to Taxes by any Tax Authority (a “</w:t>
      </w:r>
      <w:r>
        <w:rPr>
          <w:rFonts w:ascii="Arial" w:cs="Arial" w:eastAsia="Arial" w:hAnsi="Arial"/>
          <w:sz w:val="18"/>
          <w:szCs w:val="18"/>
          <w:b w:val="1"/>
          <w:bCs w:val="1"/>
          <w:color w:val="auto"/>
        </w:rPr>
        <w:t>Tax Proceeding</w:t>
      </w:r>
      <w:r>
        <w:rPr>
          <w:rFonts w:ascii="Arial" w:cs="Arial" w:eastAsia="Arial" w:hAnsi="Arial"/>
          <w:sz w:val="18"/>
          <w:szCs w:val="18"/>
          <w:color w:val="auto"/>
        </w:rPr>
        <w:t>”), and no Tax Proceeding with respect to EBH has been threatened in writing or, to the Knowledge of Seller, otherwise threatened against Seller or EBH.</w:t>
      </w:r>
    </w:p>
    <w:p>
      <w:pPr>
        <w:spacing w:after="0" w:line="183" w:lineRule="exact"/>
        <w:rPr>
          <w:rFonts w:ascii="Arial" w:cs="Arial" w:eastAsia="Arial" w:hAnsi="Arial"/>
          <w:sz w:val="18"/>
          <w:szCs w:val="18"/>
          <w:color w:val="auto"/>
        </w:rPr>
      </w:pPr>
    </w:p>
    <w:p>
      <w:pPr>
        <w:ind w:left="2360" w:hanging="381"/>
        <w:spacing w:after="0"/>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no Liens for Taxes on the assets of EBH, other than Permitted Liens.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6" w:name="page17"/>
    <w:bookmarkEnd w:id="16"/>
    <w:p>
      <w:pPr>
        <w:ind w:left="-20" w:right="200" w:firstLine="1979"/>
        <w:spacing w:after="0" w:line="277" w:lineRule="auto"/>
        <w:tabs>
          <w:tab w:leader="none" w:pos="234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EBH has not waived any statute of limitations in respect of Taxes or agreed to any extension of time with respect to a Tax assessment or deficiency, nor has any request been made for any such extension or waiver.</w:t>
      </w:r>
    </w:p>
    <w:p>
      <w:pPr>
        <w:spacing w:after="0" w:line="170" w:lineRule="exact"/>
        <w:rPr>
          <w:rFonts w:ascii="Arial" w:cs="Arial" w:eastAsia="Arial" w:hAnsi="Arial"/>
          <w:sz w:val="18"/>
          <w:szCs w:val="18"/>
          <w:color w:val="auto"/>
        </w:rPr>
      </w:pPr>
    </w:p>
    <w:p>
      <w:pPr>
        <w:ind w:left="-20" w:right="20" w:firstLine="1979"/>
        <w:spacing w:after="0" w:line="308" w:lineRule="auto"/>
        <w:tabs>
          <w:tab w:leader="none" w:pos="2322"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claim has ever been made by a Taxing Authority in a jurisdiction in which EBH does not file a Tax Return that EBH is or may be subject to taxation by that jurisdiction in respect of Taxes that would be covered by or the subject of such Tax Return.</w:t>
      </w:r>
    </w:p>
    <w:p>
      <w:pPr>
        <w:spacing w:after="0" w:line="146" w:lineRule="exact"/>
        <w:rPr>
          <w:rFonts w:ascii="Arial" w:cs="Arial" w:eastAsia="Arial" w:hAnsi="Arial"/>
          <w:sz w:val="17"/>
          <w:szCs w:val="17"/>
          <w:color w:val="auto"/>
        </w:rPr>
      </w:pPr>
    </w:p>
    <w:p>
      <w:pPr>
        <w:ind w:left="-20" w:firstLine="1979"/>
        <w:spacing w:after="0" w:line="277" w:lineRule="auto"/>
        <w:tabs>
          <w:tab w:leader="none" w:pos="23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EBH has withheld and paid all Taxes required to have been withheld and paid by EBH in connection with amounts paid or owing to any employee, independent contractor, creditor, owner or other Person.</w:t>
      </w:r>
    </w:p>
    <w:p>
      <w:pPr>
        <w:spacing w:after="0" w:line="170" w:lineRule="exact"/>
        <w:rPr>
          <w:rFonts w:ascii="Arial" w:cs="Arial" w:eastAsia="Arial" w:hAnsi="Arial"/>
          <w:sz w:val="18"/>
          <w:szCs w:val="18"/>
          <w:color w:val="auto"/>
        </w:rPr>
      </w:pPr>
    </w:p>
    <w:p>
      <w:pPr>
        <w:ind w:left="-20" w:right="180" w:firstLine="1979"/>
        <w:spacing w:after="0" w:line="342" w:lineRule="auto"/>
        <w:tabs>
          <w:tab w:leader="none" w:pos="2353" w:val="left"/>
        </w:tabs>
        <w:numPr>
          <w:ilvl w:val="0"/>
          <w:numId w:val="12"/>
        </w:numPr>
        <w:rPr>
          <w:rFonts w:ascii="Arial" w:cs="Arial" w:eastAsia="Arial" w:hAnsi="Arial"/>
          <w:sz w:val="16"/>
          <w:szCs w:val="16"/>
          <w:color w:val="auto"/>
        </w:rPr>
      </w:pPr>
      <w:r>
        <w:rPr>
          <w:rFonts w:ascii="Arial" w:cs="Arial" w:eastAsia="Arial" w:hAnsi="Arial"/>
          <w:sz w:val="16"/>
          <w:szCs w:val="16"/>
          <w:color w:val="auto"/>
        </w:rPr>
        <w:t>EBH is not a party to or bound by any Tax indemnity agreement, Tax sharing agreement, Tax allocation agreement or similar Contract, other than any such agreement entered into in the ordinary course of business and not principally related to Taxes.</w:t>
      </w:r>
    </w:p>
    <w:p>
      <w:pPr>
        <w:spacing w:after="0" w:line="123" w:lineRule="exact"/>
        <w:rPr>
          <w:rFonts w:ascii="Arial" w:cs="Arial" w:eastAsia="Arial" w:hAnsi="Arial"/>
          <w:sz w:val="16"/>
          <w:szCs w:val="16"/>
          <w:color w:val="auto"/>
        </w:rPr>
      </w:pPr>
    </w:p>
    <w:p>
      <w:pPr>
        <w:ind w:left="-20" w:right="60" w:firstLine="1979"/>
        <w:spacing w:after="0" w:line="259" w:lineRule="auto"/>
        <w:tabs>
          <w:tab w:leader="none" w:pos="23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EBH will not be required to include any material item of income in, or exclude any material item of deduction from, taxable income for any period (or any portion thereof) ending after the Closing Date as a result of any installment sale or other transaction on or prior to the Closing, any accounting method change or agreement with any Taxing Authority filed or made prior to the Closing or any prepaid amount received prior to the Closing.</w:t>
      </w:r>
    </w:p>
    <w:p>
      <w:pPr>
        <w:spacing w:after="0" w:line="186" w:lineRule="exact"/>
        <w:rPr>
          <w:rFonts w:ascii="Arial" w:cs="Arial" w:eastAsia="Arial" w:hAnsi="Arial"/>
          <w:sz w:val="18"/>
          <w:szCs w:val="18"/>
          <w:color w:val="auto"/>
        </w:rPr>
      </w:pPr>
    </w:p>
    <w:p>
      <w:pPr>
        <w:ind w:left="-20" w:right="640" w:firstLine="1979"/>
        <w:spacing w:after="0" w:line="308" w:lineRule="auto"/>
        <w:tabs>
          <w:tab w:leader="none" w:pos="2313" w:val="left"/>
        </w:tabs>
        <w:numPr>
          <w:ilvl w:val="0"/>
          <w:numId w:val="12"/>
        </w:numPr>
        <w:rPr>
          <w:rFonts w:ascii="Arial" w:cs="Arial" w:eastAsia="Arial" w:hAnsi="Arial"/>
          <w:sz w:val="17"/>
          <w:szCs w:val="17"/>
          <w:color w:val="auto"/>
        </w:rPr>
      </w:pPr>
      <w:r>
        <w:rPr>
          <w:rFonts w:ascii="Arial" w:cs="Arial" w:eastAsia="Arial" w:hAnsi="Arial"/>
          <w:sz w:val="17"/>
          <w:szCs w:val="17"/>
          <w:color w:val="auto"/>
        </w:rPr>
        <w:t>EBH is, and has always been treated as, a partnership for U.S. federal and state income Tax purposes. No entity classification election pursuant to Treasury Regulations Section 301.7701-3 has ever been filed with respect to EBH.</w:t>
      </w:r>
    </w:p>
    <w:p>
      <w:pPr>
        <w:spacing w:after="0" w:line="146" w:lineRule="exact"/>
        <w:rPr>
          <w:rFonts w:ascii="Arial" w:cs="Arial" w:eastAsia="Arial" w:hAnsi="Arial"/>
          <w:sz w:val="17"/>
          <w:szCs w:val="17"/>
          <w:color w:val="auto"/>
        </w:rPr>
      </w:pPr>
    </w:p>
    <w:p>
      <w:pPr>
        <w:ind w:left="-20" w:firstLine="1979"/>
        <w:spacing w:after="0" w:line="275" w:lineRule="auto"/>
        <w:tabs>
          <w:tab w:leader="none" w:pos="234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There are no outstanding or pending contests or disputes with respect to the amount or payment of any Taxes with respect to the Transferred Real Property or EBH, in each case, that would have a material adverse effect on the Transferred Real Property or EBH. There are no, and there have been no, supplemental or special Tax assessments levied, and Seller has not received any written notice of any supplemental or special Tax or Tax assessment to be levied (and Seller does not have any knowledge that a supplemental or special Tax or assessment is contemplated), in each case, which would have a material adverse effect on the Transferred Real Property.</w:t>
      </w:r>
    </w:p>
    <w:p>
      <w:pPr>
        <w:spacing w:after="0" w:line="176" w:lineRule="exact"/>
        <w:rPr>
          <w:rFonts w:ascii="Arial" w:cs="Arial" w:eastAsia="Arial" w:hAnsi="Arial"/>
          <w:sz w:val="17"/>
          <w:szCs w:val="17"/>
          <w:color w:val="auto"/>
        </w:rPr>
      </w:pPr>
    </w:p>
    <w:p>
      <w:pPr>
        <w:ind w:left="-20" w:right="260" w:firstLine="1979"/>
        <w:spacing w:after="0" w:line="277" w:lineRule="auto"/>
        <w:tabs>
          <w:tab w:leader="none" w:pos="23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EBH has never been a partner for Tax purposes with respect to any joint venture, partnership or other arrangement or Contract that is treated as a partnership for Tax purposes.</w:t>
      </w:r>
    </w:p>
    <w:p>
      <w:pPr>
        <w:spacing w:after="0" w:line="170" w:lineRule="exact"/>
        <w:rPr>
          <w:sz w:val="20"/>
          <w:szCs w:val="20"/>
          <w:color w:val="auto"/>
        </w:rPr>
      </w:pPr>
    </w:p>
    <w:p>
      <w:pPr>
        <w:ind w:left="1960"/>
        <w:spacing w:after="0"/>
        <w:tabs>
          <w:tab w:leader="none" w:pos="30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Gaming Approvals</w:t>
      </w:r>
      <w:r>
        <w:rPr>
          <w:rFonts w:ascii="Arial" w:cs="Arial" w:eastAsia="Arial" w:hAnsi="Arial"/>
          <w:sz w:val="16"/>
          <w:szCs w:val="16"/>
          <w:color w:val="auto"/>
        </w:rPr>
        <w:t>.</w:t>
      </w:r>
    </w:p>
    <w:p>
      <w:pPr>
        <w:spacing w:after="0" w:line="225" w:lineRule="exact"/>
        <w:rPr>
          <w:sz w:val="20"/>
          <w:szCs w:val="20"/>
          <w:color w:val="auto"/>
        </w:rPr>
      </w:pPr>
    </w:p>
    <w:p>
      <w:pPr>
        <w:ind w:left="-20" w:right="200" w:firstLine="1979"/>
        <w:spacing w:after="0" w:line="279" w:lineRule="auto"/>
        <w:tabs>
          <w:tab w:leader="none" w:pos="22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of the Agreement Date, Seller, the Applicable Subsidiary and its Affiliates and its and their respective directors, managers, officers, key employees and Persons performing management functions similar to directors, managers, officers or key employees who have been required to be licensed and found suitable under applicable Gaming Laws (collectively, the “</w:t>
      </w:r>
      <w:r>
        <w:rPr>
          <w:rFonts w:ascii="Arial" w:cs="Arial" w:eastAsia="Arial" w:hAnsi="Arial"/>
          <w:sz w:val="17"/>
          <w:szCs w:val="17"/>
          <w:b w:val="1"/>
          <w:bCs w:val="1"/>
          <w:color w:val="auto"/>
        </w:rPr>
        <w:t>Seller Related Parties</w:t>
      </w:r>
      <w:r>
        <w:rPr>
          <w:rFonts w:ascii="Arial" w:cs="Arial" w:eastAsia="Arial" w:hAnsi="Arial"/>
          <w:sz w:val="17"/>
          <w:szCs w:val="17"/>
          <w:color w:val="auto"/>
        </w:rPr>
        <w:t>”), hold all material licenses, permits, findings of suitability and other authorizations necessary to comply with all applicable Gaming Laws with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17" w:name="page18"/>
    <w:bookmarkEnd w:id="17"/>
    <w:p>
      <w:pPr>
        <w:ind w:left="4" w:right="4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the operation of the Casino and the ownership and operation of the Transferred Interests (the “</w:t>
      </w:r>
      <w:r>
        <w:rPr>
          <w:rFonts w:ascii="Arial" w:cs="Arial" w:eastAsia="Arial" w:hAnsi="Arial"/>
          <w:sz w:val="18"/>
          <w:szCs w:val="18"/>
          <w:b w:val="1"/>
          <w:bCs w:val="1"/>
          <w:color w:val="auto"/>
        </w:rPr>
        <w:t>Seller Related Party Permits</w:t>
      </w:r>
      <w:r>
        <w:rPr>
          <w:rFonts w:ascii="Arial" w:cs="Arial" w:eastAsia="Arial" w:hAnsi="Arial"/>
          <w:sz w:val="18"/>
          <w:szCs w:val="18"/>
          <w:color w:val="auto"/>
        </w:rPr>
        <w:t>”) and are in material compliance with the terms of the Seller Related Party Permits.</w:t>
      </w:r>
    </w:p>
    <w:p>
      <w:pPr>
        <w:spacing w:after="0" w:line="166" w:lineRule="exact"/>
        <w:rPr>
          <w:sz w:val="20"/>
          <w:szCs w:val="20"/>
          <w:color w:val="auto"/>
        </w:rPr>
      </w:pPr>
    </w:p>
    <w:p>
      <w:pPr>
        <w:ind w:left="4" w:firstLine="1979"/>
        <w:spacing w:after="0" w:line="283" w:lineRule="auto"/>
        <w:tabs>
          <w:tab w:leader="none" w:pos="236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As of the Agreement Date and for the past three (3) years, (i) neither Seller, nor, to Seller’s Knowledge, any other Seller Related Party, has received any written claim, demand, notice, complaint, court order or administrative order from any Gaming Authority relating to any violation or possible violation of any Gaming Laws that did or would be reasonably likely to result in a negative outcome to any finding of suitability proceedings currently pending, or under the suitability, licensing, permits, orders, authorizations or proceedings necessary for the consummation of the Transactions, except where such negative outcome would not reasonably be expected to prevent or materially delay the ability of Seller to consummate the Transactions; (ii) neither Seller nor, to Seller’s Knowledge, any other Seller Related Party has received notice of any proceeding or review by any Government Authority under any Gaming Law with respect to Seller or, to Seller’s Knowledge, any other Seller Related Party that would reasonably be expected to result in a negative outcome to any finding of suitability proceedings currently pending, or under the suitability, licensing, permits, orders, authorizations or proceedings necessary for the consummation of the Transactions, except where such negative outcome would not reasonably be expected to prevent or materially delay the ability of Seller to consummate the Transactions or materially adversely impact the value of the Transferred Interests; (iii) to Seller’s Knowledge, with respect to the Seller Related Parties only, there are no facts, which if known to the Gaming Authorities, would reasonably be expected to (A) result in the denial, revocation, limitation or suspension of any license currently held under the Gaming Laws, or</w:t>
      </w:r>
    </w:p>
    <w:p>
      <w:pPr>
        <w:spacing w:after="0" w:line="2" w:lineRule="exact"/>
        <w:rPr>
          <w:rFonts w:ascii="Arial" w:cs="Arial" w:eastAsia="Arial" w:hAnsi="Arial"/>
          <w:sz w:val="16"/>
          <w:szCs w:val="16"/>
          <w:color w:val="auto"/>
        </w:rPr>
      </w:pPr>
    </w:p>
    <w:p>
      <w:pPr>
        <w:ind w:left="4" w:right="500" w:hanging="4"/>
        <w:spacing w:after="0" w:line="292" w:lineRule="auto"/>
        <w:tabs>
          <w:tab w:leader="none" w:pos="2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result in a negative outcome to any finding of suitability proceedings currently pending, or under the suitability, licensing, permits, orders, authorizations or proceedings necessary for the consummation of the Transactions, except, in the case of clauses (A) and (B), where such denial, revocation, limitation or suspension or negative outcome would not reasonably be expected to prevent or materially delay the ability of Seller to consummate the Transactions and (iv) no Seller Related Party has suffered a suspension or revocation of any license held under the Gaming Laws necessary to conduct the business and operations of the Transferred Real Property, and the operations thereon.</w:t>
      </w:r>
    </w:p>
    <w:p>
      <w:pPr>
        <w:spacing w:after="0" w:line="162" w:lineRule="exact"/>
        <w:rPr>
          <w:rFonts w:ascii="Arial" w:cs="Arial" w:eastAsia="Arial" w:hAnsi="Arial"/>
          <w:sz w:val="16"/>
          <w:szCs w:val="16"/>
          <w:color w:val="auto"/>
        </w:rPr>
      </w:pPr>
    </w:p>
    <w:p>
      <w:pPr>
        <w:ind w:left="4" w:right="60" w:firstLine="1979"/>
        <w:spacing w:after="0" w:line="269" w:lineRule="auto"/>
        <w:tabs>
          <w:tab w:leader="none" w:pos="2366"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Other than with respect to Environmental Permits (which are covered exclusively in </w:t>
      </w:r>
      <w:r>
        <w:rPr>
          <w:rFonts w:ascii="Arial" w:cs="Arial" w:eastAsia="Arial" w:hAnsi="Arial"/>
          <w:sz w:val="17"/>
          <w:szCs w:val="17"/>
          <w:u w:val="single" w:color="auto"/>
          <w:color w:val="auto"/>
        </w:rPr>
        <w:t>Section 3.11</w:t>
      </w:r>
      <w:r>
        <w:rPr>
          <w:rFonts w:ascii="Arial" w:cs="Arial" w:eastAsia="Arial" w:hAnsi="Arial"/>
          <w:sz w:val="17"/>
          <w:szCs w:val="17"/>
          <w:color w:val="auto"/>
        </w:rPr>
        <w:t>), Seller, or its applicable Affiliate, holds all material permits, registrations, findings of suitability, licenses, variances, and approvals of all Governmental Authorities (including all Gaming Approvals under clause (ii) of the definition thereof), necessary to conduct the business and operations conducted at the Transferred Real Property, each of which is in full force and effect in all material respects (the “</w:t>
      </w:r>
      <w:r>
        <w:rPr>
          <w:rFonts w:ascii="Arial" w:cs="Arial" w:eastAsia="Arial" w:hAnsi="Arial"/>
          <w:sz w:val="17"/>
          <w:szCs w:val="17"/>
          <w:b w:val="1"/>
          <w:bCs w:val="1"/>
          <w:color w:val="auto"/>
        </w:rPr>
        <w:t>Company Permits</w:t>
      </w:r>
      <w:r>
        <w:rPr>
          <w:rFonts w:ascii="Arial" w:cs="Arial" w:eastAsia="Arial" w:hAnsi="Arial"/>
          <w:sz w:val="17"/>
          <w:szCs w:val="17"/>
          <w:color w:val="auto"/>
        </w:rPr>
        <w:t>”). To the Knowledge of Seller, no event has occurred that permits, or upon the giving of notice or passage of time or both, would permit, revocation, non-renewal, modification, suspension, limitation or termination of any of the Company Permits that currently are in effect, the revocation, non-renewal, modification, suspension, limitation or termination of which, either individually or in the aggregate, would be reasonably likely to be material to EBH. The Seller and, to the Knowledge of Seller, the Seller Related Parties are in compliance with the terms of the Company Permits, except for such failures to comply that would not, individually or in the aggregate, be reasonably likely to be material to EBH. The business conducted by Seller and the Seller Related Parties is not being conducted in violation of any applicable Law of any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18" w:name="page19"/>
    <w:bookmarkEnd w:id="18"/>
    <w:p>
      <w:pPr>
        <w:ind w:left="4"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Entity (including any Gaming Laws), except for possible violations that, individually or in the aggregate, are not and would not be reasonably likely to be material to EBH or the Transferred Real Property.</w:t>
      </w:r>
    </w:p>
    <w:p>
      <w:pPr>
        <w:spacing w:after="0" w:line="170" w:lineRule="exact"/>
        <w:rPr>
          <w:sz w:val="20"/>
          <w:szCs w:val="20"/>
          <w:color w:val="auto"/>
        </w:rPr>
      </w:pPr>
    </w:p>
    <w:p>
      <w:pPr>
        <w:ind w:left="1984"/>
        <w:spacing w:after="0"/>
        <w:tabs>
          <w:tab w:leader="none" w:pos="3084"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FCPA/Regulatory Compliance.</w:t>
      </w:r>
    </w:p>
    <w:p>
      <w:pPr>
        <w:spacing w:after="0" w:line="225" w:lineRule="exact"/>
        <w:rPr>
          <w:sz w:val="20"/>
          <w:szCs w:val="20"/>
          <w:color w:val="auto"/>
        </w:rPr>
      </w:pPr>
    </w:p>
    <w:p>
      <w:pPr>
        <w:ind w:left="4" w:right="120" w:firstLine="1979"/>
        <w:spacing w:after="0" w:line="257" w:lineRule="auto"/>
        <w:tabs>
          <w:tab w:leader="none" w:pos="2366"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Neither Seller, nor, to Seller’s Knowledge, any Seller Related Party has, in connection with the Transferred Real Property, taken any action in violation of any applicable Laws relating to anti-corruption, anti-bribery, terrorism, money laundering or the Uniting and Strengthening America by Providing Appropriate Tools Required to Intercept and Obstruct Terrorism Action of 2001, Public Law 107-56 (the “</w:t>
      </w:r>
      <w:r>
        <w:rPr>
          <w:rFonts w:ascii="Arial" w:cs="Arial" w:eastAsia="Arial" w:hAnsi="Arial"/>
          <w:sz w:val="18"/>
          <w:szCs w:val="18"/>
          <w:b w:val="1"/>
          <w:bCs w:val="1"/>
          <w:color w:val="auto"/>
        </w:rPr>
        <w:t>PATRIOT Act</w:t>
      </w:r>
      <w:r>
        <w:rPr>
          <w:rFonts w:ascii="Arial" w:cs="Arial" w:eastAsia="Arial" w:hAnsi="Arial"/>
          <w:sz w:val="18"/>
          <w:szCs w:val="18"/>
          <w:color w:val="auto"/>
        </w:rPr>
        <w:t>”), and Executive Order No. 13224 (Blocking Property and Prohibiting Transactions with Persons Who Commit, Threaten to Commit, or Support Terrorism) (the “</w:t>
      </w:r>
      <w:r>
        <w:rPr>
          <w:rFonts w:ascii="Arial" w:cs="Arial" w:eastAsia="Arial" w:hAnsi="Arial"/>
          <w:sz w:val="18"/>
          <w:szCs w:val="18"/>
          <w:b w:val="1"/>
          <w:bCs w:val="1"/>
          <w:color w:val="auto"/>
        </w:rPr>
        <w:t>Executive Order</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4" w:right="60" w:firstLine="1979"/>
        <w:spacing w:after="0" w:line="284" w:lineRule="auto"/>
        <w:tabs>
          <w:tab w:leader="none" w:pos="2377" w:val="left"/>
        </w:tabs>
        <w:numPr>
          <w:ilvl w:val="1"/>
          <w:numId w:val="16"/>
        </w:numPr>
        <w:rPr>
          <w:rFonts w:ascii="Arial" w:cs="Arial" w:eastAsia="Arial" w:hAnsi="Arial"/>
          <w:sz w:val="16"/>
          <w:szCs w:val="16"/>
          <w:color w:val="auto"/>
        </w:rPr>
      </w:pPr>
      <w:r>
        <w:rPr>
          <w:rFonts w:ascii="Arial" w:cs="Arial" w:eastAsia="Arial" w:hAnsi="Arial"/>
          <w:sz w:val="16"/>
          <w:szCs w:val="16"/>
          <w:color w:val="auto"/>
        </w:rPr>
        <w:t>Neither Seller, nor, to Seller’s Knowledge, any Seller Related Party, is acting, directly or, to Seller’s Knowledge, indirectly, on behalf of terrorists, terrorist organizations or narcotics traffickers, including those persons or entities that appear on the Annex to the Executive Order, or on behalf of any individual or entity included on any list maintained by any agency or department of the United States Government of persons, organizations or entities subject to comprehensive international trade, export, import or transactions restrictions, controls or prohibitions, including (i) the Denied Persons List and the Entities List maintained by the United States Department of Commerce, (ii) the Specially Designated Nationals and Blocked Persons List, the Sectoral Sanctions Identifications List, and the Foreign Sanctions Evaders List maintained by OFAC and</w:t>
      </w:r>
    </w:p>
    <w:p>
      <w:pPr>
        <w:spacing w:after="0" w:line="4" w:lineRule="exact"/>
        <w:rPr>
          <w:rFonts w:ascii="Arial" w:cs="Arial" w:eastAsia="Arial" w:hAnsi="Arial"/>
          <w:sz w:val="16"/>
          <w:szCs w:val="16"/>
          <w:color w:val="auto"/>
        </w:rPr>
      </w:pPr>
    </w:p>
    <w:p>
      <w:pPr>
        <w:ind w:left="4" w:hanging="4"/>
        <w:spacing w:after="0" w:line="260" w:lineRule="auto"/>
        <w:tabs>
          <w:tab w:leader="none" w:pos="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Foreign Terrorist Organizations List and Debarred Parties List maintained by the United States Department of State (collectively, “</w:t>
      </w:r>
      <w:r>
        <w:rPr>
          <w:rFonts w:ascii="Arial" w:cs="Arial" w:eastAsia="Arial" w:hAnsi="Arial"/>
          <w:sz w:val="18"/>
          <w:szCs w:val="18"/>
          <w:b w:val="1"/>
          <w:bCs w:val="1"/>
          <w:color w:val="auto"/>
        </w:rPr>
        <w:t>Government</w:t>
      </w:r>
      <w:r>
        <w:rPr>
          <w:rFonts w:ascii="Arial" w:cs="Arial" w:eastAsia="Arial" w:hAnsi="Arial"/>
          <w:sz w:val="18"/>
          <w:szCs w:val="18"/>
          <w:color w:val="auto"/>
        </w:rPr>
        <w:t xml:space="preserve"> </w:t>
      </w:r>
      <w:r>
        <w:rPr>
          <w:rFonts w:ascii="Arial" w:cs="Arial" w:eastAsia="Arial" w:hAnsi="Arial"/>
          <w:sz w:val="18"/>
          <w:szCs w:val="18"/>
          <w:b w:val="1"/>
          <w:bCs w:val="1"/>
          <w:color w:val="auto"/>
        </w:rPr>
        <w:t>Lists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4" w:right="80" w:firstLine="1979"/>
        <w:spacing w:after="0" w:line="263" w:lineRule="auto"/>
        <w:tabs>
          <w:tab w:leader="none" w:pos="2366"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Neither Seller, nor any of its Affiliates are named on a Government List, or is acting for or on behalf of any country or territory which is the target of comprehensive economic sanctions (as of the Agreement Date, Cuba, Iran, North Korea, Syria and the Crimea region of Ukraine).</w:t>
      </w:r>
    </w:p>
    <w:p>
      <w:pPr>
        <w:spacing w:after="0" w:line="184" w:lineRule="exact"/>
        <w:rPr>
          <w:sz w:val="20"/>
          <w:szCs w:val="20"/>
          <w:color w:val="auto"/>
        </w:rPr>
      </w:pPr>
    </w:p>
    <w:p>
      <w:pPr>
        <w:ind w:left="1984"/>
        <w:spacing w:after="0"/>
        <w:tabs>
          <w:tab w:leader="none" w:pos="3084"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Environmental Matters.</w:t>
      </w:r>
    </w:p>
    <w:p>
      <w:pPr>
        <w:spacing w:after="0" w:line="225" w:lineRule="exact"/>
        <w:rPr>
          <w:sz w:val="20"/>
          <w:szCs w:val="20"/>
          <w:color w:val="auto"/>
        </w:rPr>
      </w:pPr>
    </w:p>
    <w:p>
      <w:pPr>
        <w:ind w:left="4" w:right="40" w:firstLine="1979"/>
        <w:spacing w:after="0" w:line="253" w:lineRule="auto"/>
        <w:tabs>
          <w:tab w:leader="none" w:pos="23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Transferred Real Property is not in material violation of any federal, state, or local law, ordinance, or regulation relating to industrial hygiene (solely to the extent relating to exposure to Hazardous Materials) or to the environmental conditions on or under the Transferred Real Property including soil, groundwater and vapor intrusion conditions. During the time in which Seller or EBH owned the Transferred Real Property, neither Seller, EBH, nor, to the Knowledge of Seller, any third party, has used, generated, manufactured, produced, stored, or disposed of on or under the Transferred Real Property any Hazardous Materials outside of the ordinary course of business, in each case, in a manner that would reasonably be expected to give rise to material liabilities of EBH pursuant to applicable Environmental Laws. To the Knowledge of Seller, there is no Action by any Government Authority with respect to the presence of Hazardous Materials on the Transferred Real Property or the migration of Hazardous Materials from or to the Transferred Real Property, except as disclosed in the Environmental Reports and except for such Actions that, individually or in the</w:t>
      </w:r>
    </w:p>
    <w:p>
      <w:pPr>
        <w:spacing w:after="0" w:line="12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are not and would not be reasonably likely to be material to the EBH or the Transferred Real Property.</w:t>
      </w:r>
    </w:p>
    <w:p>
      <w:pPr>
        <w:spacing w:after="0" w:line="225" w:lineRule="exact"/>
        <w:rPr>
          <w:sz w:val="20"/>
          <w:szCs w:val="20"/>
          <w:color w:val="auto"/>
        </w:rPr>
      </w:pPr>
    </w:p>
    <w:p>
      <w:pPr>
        <w:ind w:firstLine="1979"/>
        <w:spacing w:after="0" w:line="259" w:lineRule="auto"/>
        <w:tabs>
          <w:tab w:leader="none" w:pos="23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EBH has all the Environmental Permits currently required to conduct the business and operations conducted at the Transferred Real Property in the ordinary course, and all such Environmental Permits are in full force and effect, except for such failures to possess such permits, or for such permits to be in full force and effect, as, individually or in the aggregate, is not and would not be reasonably likely to be material to EBH or the Transferred Real Property.</w:t>
      </w:r>
    </w:p>
    <w:p>
      <w:pPr>
        <w:spacing w:after="0" w:line="186" w:lineRule="exact"/>
        <w:rPr>
          <w:rFonts w:ascii="Arial" w:cs="Arial" w:eastAsia="Arial" w:hAnsi="Arial"/>
          <w:sz w:val="18"/>
          <w:szCs w:val="18"/>
          <w:color w:val="auto"/>
        </w:rPr>
      </w:pPr>
    </w:p>
    <w:p>
      <w:pPr>
        <w:ind w:right="20" w:firstLine="1979"/>
        <w:spacing w:after="0" w:line="277" w:lineRule="auto"/>
        <w:tabs>
          <w:tab w:leader="none" w:pos="23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EBH and the Seller’s ownership, leasing, operation and use of the Transferred Real Property are in material compliance with all applicable Environmental Laws and Environmental Permits.</w:t>
      </w:r>
    </w:p>
    <w:p>
      <w:pPr>
        <w:spacing w:after="0" w:line="170" w:lineRule="exact"/>
        <w:rPr>
          <w:rFonts w:ascii="Arial" w:cs="Arial" w:eastAsia="Arial" w:hAnsi="Arial"/>
          <w:sz w:val="18"/>
          <w:szCs w:val="18"/>
          <w:color w:val="auto"/>
        </w:rPr>
      </w:pPr>
    </w:p>
    <w:p>
      <w:pPr>
        <w:ind w:right="500" w:firstLine="1979"/>
        <w:spacing w:after="0" w:line="277" w:lineRule="auto"/>
        <w:tabs>
          <w:tab w:leader="none" w:pos="23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EBH is not subject to any pending or, to the Knowledge of Seller, threatened material enforcement action by any Government Authority regarding any material liability pursuant to Environmental Law.</w:t>
      </w:r>
    </w:p>
    <w:p>
      <w:pPr>
        <w:spacing w:after="0" w:line="170" w:lineRule="exact"/>
        <w:rPr>
          <w:rFonts w:ascii="Arial" w:cs="Arial" w:eastAsia="Arial" w:hAnsi="Arial"/>
          <w:sz w:val="18"/>
          <w:szCs w:val="18"/>
          <w:color w:val="auto"/>
        </w:rPr>
      </w:pPr>
    </w:p>
    <w:p>
      <w:pPr>
        <w:ind w:right="40" w:firstLine="1979"/>
        <w:spacing w:after="0" w:line="286" w:lineRule="auto"/>
        <w:tabs>
          <w:tab w:leader="none" w:pos="23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the Knowledge of Seller, no active or out-of-service underground storage tanks, or sites from which such storage tanks have been removed, or landfills, surface impoundments, waste piles or land disposal areas, exist in, at or on the Transferred Real Property, in each case, that could reasonably be expected to give rise to any material liability of EBH pursuant to applicable Environmental Law.</w:t>
      </w:r>
    </w:p>
    <w:p>
      <w:pPr>
        <w:spacing w:after="0" w:line="165" w:lineRule="exact"/>
        <w:rPr>
          <w:rFonts w:ascii="Arial" w:cs="Arial" w:eastAsia="Arial" w:hAnsi="Arial"/>
          <w:sz w:val="17"/>
          <w:szCs w:val="17"/>
          <w:color w:val="auto"/>
        </w:rPr>
      </w:pPr>
    </w:p>
    <w:p>
      <w:pPr>
        <w:ind w:right="20" w:firstLine="1979"/>
        <w:spacing w:after="0" w:line="259" w:lineRule="auto"/>
        <w:tabs>
          <w:tab w:leader="none" w:pos="23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material environmental site assessment reports (including any Phase I or Phase II reports), and all investigation, remediation or compliance studies, audits, assessments or similar documents prepared on behalf of Seller or EBH that, to the knowledge of Seller, are in the possession of Seller and relate to the environmental conditions at the Transferred Real Property have been made available to Buyer (the “</w:t>
      </w:r>
      <w:r>
        <w:rPr>
          <w:rFonts w:ascii="Arial" w:cs="Arial" w:eastAsia="Arial" w:hAnsi="Arial"/>
          <w:sz w:val="18"/>
          <w:szCs w:val="18"/>
          <w:b w:val="1"/>
          <w:bCs w:val="1"/>
          <w:color w:val="auto"/>
        </w:rPr>
        <w:t>Environmental Reports</w:t>
      </w:r>
      <w:r>
        <w:rPr>
          <w:rFonts w:ascii="Arial" w:cs="Arial" w:eastAsia="Arial" w:hAnsi="Arial"/>
          <w:sz w:val="18"/>
          <w:szCs w:val="18"/>
          <w:color w:val="auto"/>
        </w:rPr>
        <w:t>”).</w:t>
      </w:r>
    </w:p>
    <w:p>
      <w:pPr>
        <w:spacing w:after="0" w:line="187"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Ground Lease</w:t>
      </w:r>
      <w:r>
        <w:rPr>
          <w:rFonts w:ascii="Arial" w:cs="Arial" w:eastAsia="Arial" w:hAnsi="Arial"/>
          <w:sz w:val="18"/>
          <w:szCs w:val="18"/>
          <w:color w:val="auto"/>
        </w:rPr>
        <w:t>. The copies of each of the Ground Leases made available to Buyer are true, correct and complete in all material respects. Everett Lessee has neither given to, nor received from, any lessor written notice of any material default under any such Ground Lease that remains uncured.</w:t>
      </w:r>
    </w:p>
    <w:p>
      <w:pPr>
        <w:spacing w:after="0" w:line="184" w:lineRule="exact"/>
        <w:rPr>
          <w:sz w:val="20"/>
          <w:szCs w:val="20"/>
          <w:color w:val="auto"/>
        </w:rPr>
      </w:pPr>
    </w:p>
    <w:p>
      <w:pPr>
        <w:ind w:right="180" w:firstLine="1983"/>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There are no leases of space in the Transferred Real Property or other agreements to manage all or any portion of the Transferred Real Property in effect, in each case, with Persons other than Tenant and its Affiliates, other than the Ground Lease and the subleases listed on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(the “</w:t>
      </w:r>
      <w:r>
        <w:rPr>
          <w:rFonts w:ascii="Arial" w:cs="Arial" w:eastAsia="Arial" w:hAnsi="Arial"/>
          <w:sz w:val="18"/>
          <w:szCs w:val="18"/>
          <w:b w:val="1"/>
          <w:bCs w:val="1"/>
          <w:color w:val="auto"/>
        </w:rPr>
        <w:t>Existing Subleases</w:t>
      </w:r>
      <w:r>
        <w:rPr>
          <w:rFonts w:ascii="Arial" w:cs="Arial" w:eastAsia="Arial" w:hAnsi="Arial"/>
          <w:sz w:val="18"/>
          <w:szCs w:val="18"/>
          <w:color w:val="auto"/>
        </w:rPr>
        <w:t>”). EBH is not a party to any of the Existing Subleases. Neither Seller nor EBH has entered into a non-disturbance agreement with respect to any Existing Sublease.</w:t>
      </w:r>
    </w:p>
    <w:p>
      <w:pPr>
        <w:spacing w:after="0" w:line="187" w:lineRule="exact"/>
        <w:rPr>
          <w:sz w:val="20"/>
          <w:szCs w:val="20"/>
          <w:color w:val="auto"/>
        </w:rPr>
      </w:pPr>
    </w:p>
    <w:p>
      <w:pPr>
        <w:jc w:val="both"/>
        <w:ind w:right="160" w:firstLine="1983"/>
        <w:spacing w:after="0" w:line="263"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Insurance</w:t>
      </w:r>
      <w:r>
        <w:rPr>
          <w:rFonts w:ascii="Arial" w:cs="Arial" w:eastAsia="Arial" w:hAnsi="Arial"/>
          <w:sz w:val="18"/>
          <w:szCs w:val="18"/>
          <w:color w:val="auto"/>
        </w:rPr>
        <w:t>. All material insurance policies of EBH and (to the extent required by the Ground Lease) Everett Lessee are in full force and effect, and neither EBH nor Everett Lessee, as applicable, is in material default with respect to its obligations under any of such insurance policies, except for such failure to be in full force and effect and for such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defaults that would not be material to EBH or Everett Lessee’s ownership and operation of the Transferred Real Property.</w:t>
      </w:r>
    </w:p>
    <w:p>
      <w:pPr>
        <w:spacing w:after="0" w:line="225" w:lineRule="exact"/>
        <w:rPr>
          <w:sz w:val="20"/>
          <w:szCs w:val="20"/>
          <w:color w:val="auto"/>
        </w:rPr>
      </w:pPr>
    </w:p>
    <w:p>
      <w:pPr>
        <w:ind w:right="80" w:firstLine="1983"/>
        <w:spacing w:after="0" w:line="275"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Undisclosed Liabilities</w:t>
      </w:r>
      <w:r>
        <w:rPr>
          <w:rFonts w:ascii="Arial" w:cs="Arial" w:eastAsia="Arial" w:hAnsi="Arial"/>
          <w:sz w:val="17"/>
          <w:szCs w:val="17"/>
          <w:color w:val="auto"/>
        </w:rPr>
        <w:t xml:space="preserve">. As of the Closing Date, EBH will have no Liabilities with respect to the Transferred Real Property other than those Liabilities incurred (a) in the ordinary course of ownership of the Transferred Real Property, (b) pursuant to this Agreement and the Buyer Transaction Documents or (c) to be borne by Seller under the Master Lease Agreement. Seller shall be deemed not to have made any representation or warranty pursuant to this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with respect to (i) title to the Transferred Real Property or (ii) any matter the subject of a representation in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(which are covered exclusively in </w:t>
      </w:r>
      <w:r>
        <w:rPr>
          <w:rFonts w:ascii="Arial" w:cs="Arial" w:eastAsia="Arial" w:hAnsi="Arial"/>
          <w:sz w:val="17"/>
          <w:szCs w:val="17"/>
          <w:u w:val="single" w:color="auto"/>
          <w:color w:val="auto"/>
        </w:rPr>
        <w:t>Section 3.11</w:t>
      </w:r>
      <w:r>
        <w:rPr>
          <w:rFonts w:ascii="Arial" w:cs="Arial" w:eastAsia="Arial" w:hAnsi="Arial"/>
          <w:sz w:val="17"/>
          <w:szCs w:val="17"/>
          <w:color w:val="auto"/>
        </w:rPr>
        <w:t>).</w:t>
      </w:r>
    </w:p>
    <w:p>
      <w:pPr>
        <w:spacing w:after="0" w:line="176" w:lineRule="exact"/>
        <w:rPr>
          <w:sz w:val="20"/>
          <w:szCs w:val="20"/>
          <w:color w:val="auto"/>
        </w:rPr>
      </w:pPr>
    </w:p>
    <w:p>
      <w:pPr>
        <w:ind w:firstLine="1983"/>
        <w:spacing w:after="0" w:line="253"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Transferred Interests; Employees</w:t>
      </w:r>
      <w:r>
        <w:rPr>
          <w:rFonts w:ascii="Arial" w:cs="Arial" w:eastAsia="Arial" w:hAnsi="Arial"/>
          <w:sz w:val="18"/>
          <w:szCs w:val="18"/>
          <w:color w:val="auto"/>
        </w:rPr>
        <w:t>. As of the Closing Date, EBH (a) will have no assets (excluding Contracts) other than the Transferred Real Property and (b) will not be party to any Contract other than any Transaction Agreement, the PILOT Agreement and the PILOT Agreement Consent. Since the date of its initial organization, EBH: (i) has not had any employees at any time, (ii) has not maintained its own financial statements, (iii) has not had any directors at any time, (iv) does not sponsor, maintain, contribute to (or have any obligation to contribute to), or have any Liabilities (or, in the case of any employee benefit plan subject to Title IV of the Employee Retirement Income Security Act of 1974, as amended and the regulations promulgated thereunder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current liabilities) with respect to, any Employee Benefit Plan, and (v) is not subject to any Liabilities imposed under Title IV of ERISA to which Buyer may be subject following the Closing. There are no collective bargaining agreements or other labor union contracts relating to the Transferred Real Property that will be binding on EBH or the Transferred Real Property following the Closing. Seller is not, and no portion of the Transferred Real Property constitutes the assets of, a “benefit plan investor” within the meaning of Section 3(42) of ERISA.</w:t>
      </w:r>
    </w:p>
    <w:p>
      <w:pPr>
        <w:spacing w:after="0" w:line="194" w:lineRule="exact"/>
        <w:rPr>
          <w:sz w:val="20"/>
          <w:szCs w:val="20"/>
          <w:color w:val="auto"/>
        </w:rPr>
      </w:pPr>
    </w:p>
    <w:p>
      <w:pPr>
        <w:ind w:right="80" w:firstLine="1983"/>
        <w:spacing w:after="0" w:line="259"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No Actions</w:t>
      </w:r>
      <w:r>
        <w:rPr>
          <w:rFonts w:ascii="Arial" w:cs="Arial" w:eastAsia="Arial" w:hAnsi="Arial"/>
          <w:sz w:val="18"/>
          <w:szCs w:val="18"/>
          <w:color w:val="auto"/>
        </w:rPr>
        <w:t>. There are no Actions pending or, to the Knowledge of Seller, threatened against EBH or Everett Lessee before any court, arbitrator, Government Authority, except for any matters that individually or in the aggregate, would not be reasonably likely be material to EBH or Everett Lessee’s ownership and operation of the Transferred Real Property or prevent or materially delay the ability of Seller to consummate the Transactions.</w:t>
      </w:r>
    </w:p>
    <w:p>
      <w:pPr>
        <w:spacing w:after="0" w:line="187" w:lineRule="exact"/>
        <w:rPr>
          <w:sz w:val="20"/>
          <w:szCs w:val="20"/>
          <w:color w:val="auto"/>
        </w:rPr>
      </w:pPr>
    </w:p>
    <w:p>
      <w:pPr>
        <w:ind w:right="700" w:firstLine="1983"/>
        <w:spacing w:after="0" w:line="277"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is entitled to any brokerage, finder’s or other fee or commission from Seller or any of its Affiliates in connection with any Transaction.</w:t>
      </w:r>
    </w:p>
    <w:p>
      <w:pPr>
        <w:spacing w:after="0" w:line="170" w:lineRule="exact"/>
        <w:rPr>
          <w:sz w:val="20"/>
          <w:szCs w:val="20"/>
          <w:color w:val="auto"/>
        </w:rPr>
      </w:pPr>
    </w:p>
    <w:p>
      <w:pPr>
        <w:ind w:firstLine="1983"/>
        <w:spacing w:after="0" w:line="273" w:lineRule="auto"/>
        <w:rPr>
          <w:sz w:val="20"/>
          <w:szCs w:val="20"/>
          <w:color w:val="auto"/>
        </w:rPr>
      </w:pPr>
      <w:r>
        <w:rPr>
          <w:rFonts w:ascii="Arial" w:cs="Arial" w:eastAsia="Arial" w:hAnsi="Arial"/>
          <w:sz w:val="17"/>
          <w:szCs w:val="17"/>
          <w:color w:val="auto"/>
        </w:rPr>
        <w:t xml:space="preserve">Section 3.19.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for the representations and warranties made by Seller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(as qualified by the Disclosure Schedules), neither Seller nor any other Person makes or has made any representation or warranty, expressed or implied, at law or in equity, with respect to or on behalf of Seller or its Affiliates,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Seller or its Affiliates, EBH, the Transferred Real Property or any other matter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1" w:name="page22"/>
    <w:bookmarkEnd w:id="2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furnished or provided to Buyer or its Affiliates or their respective Representatives or made available to Buyer or its Affiliates or their respective Representatives in any “data rooms,” “virtual data rooms,” management presentations or in any other form in expectation of, or in connection with, this Agreement or any other Transaction Agreement or the Transactions. Seller and its Affiliates disclaim any other representations or warranties, whether made by Seller or any of its Affiliates or any of their respective Representatives. Without limiting the foregoing, Seller does not make any representation or warranty of any kind whatsoever, express or implied, written or oral, at law or in equity, to Buyer or its Affiliates or their respective Representatives regarding the success, profitability or value of the Transferred Equity Interests or the Transferred Real Property.</w:t>
      </w:r>
    </w:p>
    <w:p>
      <w:pPr>
        <w:spacing w:after="0" w:line="178" w:lineRule="exact"/>
        <w:rPr>
          <w:sz w:val="20"/>
          <w:szCs w:val="20"/>
          <w:color w:val="auto"/>
        </w:rPr>
      </w:pPr>
    </w:p>
    <w:p>
      <w:pPr>
        <w:jc w:val="both"/>
        <w:ind w:right="20" w:firstLine="1983"/>
        <w:spacing w:after="0" w:line="311" w:lineRule="auto"/>
        <w:rPr>
          <w:sz w:val="20"/>
          <w:szCs w:val="20"/>
          <w:color w:val="auto"/>
        </w:rPr>
      </w:pPr>
      <w:r>
        <w:rPr>
          <w:rFonts w:ascii="Arial" w:cs="Arial" w:eastAsia="Arial" w:hAnsi="Arial"/>
          <w:sz w:val="16"/>
          <w:szCs w:val="16"/>
          <w:color w:val="auto"/>
        </w:rPr>
        <w:t xml:space="preserve">Section 3.20. </w:t>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of Seller contained herein shall survive the Closing and delivery of the MIPA for a period of twelve (12) months after the Closing other than the Seller Fundamental Representations and the Pre-Closing Tax Indemnity, each of which shall survive the Closing until the expiration of the applicable statute of limitations (collectively, the “</w:t>
      </w:r>
      <w:r>
        <w:rPr>
          <w:rFonts w:ascii="Arial" w:cs="Arial" w:eastAsia="Arial" w:hAnsi="Arial"/>
          <w:sz w:val="16"/>
          <w:szCs w:val="16"/>
          <w:b w:val="1"/>
          <w:bCs w:val="1"/>
          <w:color w:val="auto"/>
        </w:rPr>
        <w:t>Survival Period</w:t>
      </w:r>
      <w:r>
        <w:rPr>
          <w:rFonts w:ascii="Arial" w:cs="Arial" w:eastAsia="Arial" w:hAnsi="Arial"/>
          <w:sz w:val="16"/>
          <w:szCs w:val="16"/>
          <w:color w:val="auto"/>
        </w:rPr>
        <w: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Buyer hereby represents and warrants to Seller that, except as set forth in the disclosure schedules dated as of the Agreement Date delivered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Buyer to Seller:</w:t>
      </w:r>
    </w:p>
    <w:p>
      <w:pPr>
        <w:spacing w:after="0" w:line="211" w:lineRule="exact"/>
        <w:rPr>
          <w:sz w:val="20"/>
          <w:szCs w:val="20"/>
          <w:color w:val="auto"/>
        </w:rPr>
      </w:pPr>
    </w:p>
    <w:p>
      <w:pPr>
        <w:ind w:right="160" w:firstLine="1983"/>
        <w:spacing w:after="0" w:line="26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Formation and Authority of Buyer</w:t>
      </w:r>
      <w:r>
        <w:rPr>
          <w:rFonts w:ascii="Arial" w:cs="Arial" w:eastAsia="Arial" w:hAnsi="Arial"/>
          <w:sz w:val="17"/>
          <w:szCs w:val="17"/>
          <w:color w:val="auto"/>
        </w:rPr>
        <w:t>. Each of Buyer and MDC Holdings is a corporation or other entity duly incorporated, formed or organized, validly existing and in good standing under the Laws of its jurisdiction of incorporation, formation or organization and has the requisite corporate or other appropriate power to execute, deliver and perform its obligations under the Buyer Transaction Agreements (including the consummation of the Buyer Transactions). The execution, delivery and performance of the Buyer Transaction Agreements by Buyer or MDC Holdings (as applicable) have been (or, in the case of Buyer Transaction Agreements to be executed and delivered subsequent to the Agreement Date, will be prior to such execution and delivery) duly authorized by all requisite corporate or other appropriate action on the part of Buyer and MDC Holdings, and no shareholder or other similar approval is required in connection with Buyer’s execution, delivery and performance of the Buyer Transaction Agreements. This Agreement has been, and upon execution and delivery thereof, the other Buyer Transaction Agreements will be, duly executed and delivered by Buyer or MDC Holdings, and (assuming due authorization, execution and delivery by the other parties hereto and thereto) this Agreement constitutes, and upon execution and delivery thereof, the other Buyer Transaction Agreements will constitute, legal, valid and binding obligations of Buyer and MDC Holdings enforceable against Buyer and MDC Holdings in accordance with their respective terms, subject to the Bankruptcy and Equity Exception.</w:t>
      </w:r>
    </w:p>
    <w:p>
      <w:pPr>
        <w:spacing w:after="0" w:line="179" w:lineRule="exact"/>
        <w:rPr>
          <w:sz w:val="20"/>
          <w:szCs w:val="20"/>
          <w:color w:val="auto"/>
        </w:rPr>
      </w:pPr>
    </w:p>
    <w:p>
      <w:pPr>
        <w:ind w:right="300" w:firstLine="1983"/>
        <w:spacing w:after="0" w:line="34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No Conflict</w:t>
      </w:r>
      <w:r>
        <w:rPr>
          <w:rFonts w:ascii="Arial" w:cs="Arial" w:eastAsia="Arial" w:hAnsi="Arial"/>
          <w:sz w:val="16"/>
          <w:szCs w:val="16"/>
          <w:color w:val="auto"/>
        </w:rPr>
        <w:t xml:space="preserve">. Provided that all Consents and other actions described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have been obtained or made, the execution, delivery and performance by Buyer and MDC Holdings of the Buyer Transaction Agreements do not and will not: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2" w:name="page23"/>
    <w:bookmarkEnd w:id="22"/>
    <w:p>
      <w:pPr>
        <w:ind w:right="840" w:firstLine="1979"/>
        <w:spacing w:after="0" w:line="277" w:lineRule="auto"/>
        <w:tabs>
          <w:tab w:leader="none" w:pos="2362"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violate or conflict with in any material respect the certificate or articles of incorporation or bylaws or similar organizational documents of Buyer or MDC Holdings;</w:t>
      </w:r>
    </w:p>
    <w:p>
      <w:pPr>
        <w:spacing w:after="0" w:line="170" w:lineRule="exact"/>
        <w:rPr>
          <w:rFonts w:ascii="Arial" w:cs="Arial" w:eastAsia="Arial" w:hAnsi="Arial"/>
          <w:sz w:val="18"/>
          <w:szCs w:val="18"/>
          <w:color w:val="auto"/>
        </w:rPr>
      </w:pPr>
    </w:p>
    <w:p>
      <w:pPr>
        <w:ind w:left="2360" w:hanging="381"/>
        <w:spacing w:after="0"/>
        <w:tabs>
          <w:tab w:leader="none" w:pos="2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conflict with or violate any Law or Order applicable to Buyer or MDC Holdings; or</w:t>
      </w:r>
    </w:p>
    <w:p>
      <w:pPr>
        <w:spacing w:after="0" w:line="225" w:lineRule="exact"/>
        <w:rPr>
          <w:rFonts w:ascii="Arial" w:cs="Arial" w:eastAsia="Arial" w:hAnsi="Arial"/>
          <w:sz w:val="18"/>
          <w:szCs w:val="18"/>
          <w:color w:val="auto"/>
        </w:rPr>
      </w:pPr>
    </w:p>
    <w:p>
      <w:pPr>
        <w:ind w:firstLine="1979"/>
        <w:spacing w:after="0" w:line="301" w:lineRule="auto"/>
        <w:tabs>
          <w:tab w:leader="none" w:pos="23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result in any breach of, or constitute a default under, or give to any Person any right to terminate, amend, accelerate or cancel, or result in the creation of any Lien on any assets or properties of Buyer or MDC Holdings pursuant to, any Contract to which Buyer or any of its Affiliates is a party or by which any of such assets or properties is bound, except for any such breaches, defaults, rights or Liens as would not reasonably be expected to prevent, materially impair or materially delay the ability of Buyer or MDC Holdings to consummate the Buyer Transactions.</w:t>
      </w:r>
    </w:p>
    <w:p>
      <w:pPr>
        <w:spacing w:after="0" w:line="157" w:lineRule="exact"/>
        <w:rPr>
          <w:sz w:val="20"/>
          <w:szCs w:val="20"/>
          <w:color w:val="auto"/>
        </w:rPr>
      </w:pPr>
    </w:p>
    <w:p>
      <w:pPr>
        <w:ind w:right="60" w:firstLine="1983"/>
        <w:spacing w:after="0" w:line="272"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Consents and Approvals</w:t>
      </w:r>
      <w:r>
        <w:rPr>
          <w:rFonts w:ascii="Arial" w:cs="Arial" w:eastAsia="Arial" w:hAnsi="Arial"/>
          <w:sz w:val="17"/>
          <w:szCs w:val="17"/>
          <w:color w:val="auto"/>
        </w:rPr>
        <w:t>. The execution, delivery and performance by Buyer and MDC Holdings of the Buyer Transaction Agreements do not and will not require any material Consent, waiver or other action by, or any material filing with or notification to, any Government Authority, except (a) for the Gaming Approvals or (b) where the failure to obtain such Consent or waiver, to take such action or to make such filing or notification, would not reasonably be expected to prevent, materially impair or materially delay the ability of Buyer or MDC Holdings to consummate the Buyer Transactions. Buyer is not aware of any reason why any necessary Consent, waiver or other action by any Government Authority will not be received or obtained in order to permit consummation of the Buyer Transactions on a timely basis or to permit Buyer or MDC Holdings to otherwise perform its obligations under the Buyer Transaction Agreements.</w:t>
      </w:r>
    </w:p>
    <w:p>
      <w:pPr>
        <w:spacing w:after="0" w:line="177"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Absence of Restraints; Compliance with Laws</w:t>
      </w:r>
      <w:r>
        <w:rPr>
          <w:rFonts w:ascii="Arial" w:cs="Arial" w:eastAsia="Arial" w:hAnsi="Arial"/>
          <w:sz w:val="16"/>
          <w:szCs w:val="16"/>
          <w:color w:val="auto"/>
        </w:rPr>
        <w:t>.</w:t>
      </w:r>
    </w:p>
    <w:p>
      <w:pPr>
        <w:spacing w:after="0" w:line="225" w:lineRule="exact"/>
        <w:rPr>
          <w:sz w:val="20"/>
          <w:szCs w:val="20"/>
          <w:color w:val="auto"/>
        </w:rPr>
      </w:pPr>
    </w:p>
    <w:p>
      <w:pPr>
        <w:ind w:right="220" w:firstLine="1979"/>
        <w:spacing w:after="0" w:line="277" w:lineRule="auto"/>
        <w:tabs>
          <w:tab w:leader="none" w:pos="23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the Knowledge of Buyer, no facts or circumstances exist that would reasonably be expected to prevent, materially impair or materially delay the ability of Buyer or MDC Holdings to consummate the Buyer Transactions.</w:t>
      </w:r>
    </w:p>
    <w:p>
      <w:pPr>
        <w:spacing w:after="0" w:line="170" w:lineRule="exact"/>
        <w:rPr>
          <w:rFonts w:ascii="Arial" w:cs="Arial" w:eastAsia="Arial" w:hAnsi="Arial"/>
          <w:sz w:val="18"/>
          <w:szCs w:val="18"/>
          <w:color w:val="auto"/>
        </w:rPr>
      </w:pPr>
    </w:p>
    <w:p>
      <w:pPr>
        <w:ind w:firstLine="1979"/>
        <w:spacing w:after="0" w:line="263" w:lineRule="auto"/>
        <w:tabs>
          <w:tab w:leader="none" w:pos="23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Buyer nor MDC Holdings is in violation of any Laws or Orders applicable to the conduct of its business, except for violations the existence of which would not reasonably be expected to prevent, materially impair or materially delay the ability of Buyer or MDC Holdings to consummate the Buyer Transactions.</w:t>
      </w:r>
    </w:p>
    <w:p>
      <w:pPr>
        <w:spacing w:after="0" w:line="184" w:lineRule="exact"/>
        <w:rPr>
          <w:sz w:val="20"/>
          <w:szCs w:val="20"/>
          <w:color w:val="auto"/>
        </w:rPr>
      </w:pPr>
    </w:p>
    <w:p>
      <w:pPr>
        <w:ind w:right="80" w:firstLine="1983"/>
        <w:spacing w:after="0" w:line="273"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Securities Matters</w:t>
      </w:r>
      <w:r>
        <w:rPr>
          <w:rFonts w:ascii="Arial" w:cs="Arial" w:eastAsia="Arial" w:hAnsi="Arial"/>
          <w:sz w:val="17"/>
          <w:szCs w:val="17"/>
          <w:color w:val="auto"/>
        </w:rPr>
        <w:t>. Buyer is an “accredited investor” (as such term is defined in Rule 501 of Regulation D under the Securities Act). The Transferred Equity Interests are being acquired by Buyer (or its Affiliates) for its own account, and not with a view to, or for the offer or sale in connection with, any public distribution or sale of the Transferred Equity Interests or any interest in them. Buyer has sufficient knowledge and experience in financial and business matters to be capable of evaluating the merits and risks of its investment in the Transferred Equity Interests, and Buyer is capable of bearing the economic risks of such investment, including a complete loss of its investment in the Transferred Equity Interests. Buyer acknowledges that the Transferred Equity Interests have not been registered under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3" w:name="page24"/>
    <w:bookmarkEnd w:id="23"/>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or any securities Laws or any state or other jurisdiction (U.S. or non-U.S.), and understands and agrees that it may not sell or dispose of any Transferred Equity Interests except pursuant to a registered offering in compliance with, or in a transaction exempt from, the registration requirements of the Securities Act and any other applicable securities Laws of any state or other jurisdiction (U.S. or non-U.S.).</w:t>
      </w:r>
    </w:p>
    <w:p>
      <w:pPr>
        <w:spacing w:after="0" w:line="165" w:lineRule="exact"/>
        <w:rPr>
          <w:sz w:val="20"/>
          <w:szCs w:val="20"/>
          <w:color w:val="auto"/>
        </w:rPr>
      </w:pPr>
    </w:p>
    <w:p>
      <w:pPr>
        <w:ind w:right="700" w:firstLine="1983"/>
        <w:spacing w:after="0" w:line="277"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is entitled to any brokerage, finder’s or other fee or commission from Buyer or any of its Affiliates in connection with any Transaction.</w:t>
      </w:r>
    </w:p>
    <w:p>
      <w:pPr>
        <w:spacing w:after="0" w:line="170" w:lineRule="exact"/>
        <w:rPr>
          <w:sz w:val="20"/>
          <w:szCs w:val="20"/>
          <w:color w:val="auto"/>
        </w:rPr>
      </w:pPr>
    </w:p>
    <w:p>
      <w:pPr>
        <w:ind w:right="100" w:firstLine="1983"/>
        <w:spacing w:after="0" w:line="288"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Licensability of Principals</w:t>
      </w:r>
      <w:r>
        <w:rPr>
          <w:rFonts w:ascii="Arial" w:cs="Arial" w:eastAsia="Arial" w:hAnsi="Arial"/>
          <w:sz w:val="16"/>
          <w:szCs w:val="16"/>
          <w:color w:val="auto"/>
        </w:rPr>
        <w:t>. None of Buyer, its Affiliates or, to Buyer’s Knowledge, any of their respective Representatives which may be considered in the process of determining the suitability of Buyer for a Gaming Approval, or any direct or indirect holder of Buyer’s capital stock or other membership or equity interests who will be required to be licensed or found suitable or qualified under applicable Gaming Laws (the foregoing persons collectively, the “</w:t>
      </w:r>
      <w:r>
        <w:rPr>
          <w:rFonts w:ascii="Arial" w:cs="Arial" w:eastAsia="Arial" w:hAnsi="Arial"/>
          <w:sz w:val="16"/>
          <w:szCs w:val="16"/>
          <w:b w:val="1"/>
          <w:bCs w:val="1"/>
          <w:color w:val="auto"/>
        </w:rPr>
        <w:t>Buyer Licensed Affiliates</w:t>
      </w:r>
      <w:r>
        <w:rPr>
          <w:rFonts w:ascii="Arial" w:cs="Arial" w:eastAsia="Arial" w:hAnsi="Arial"/>
          <w:sz w:val="16"/>
          <w:szCs w:val="16"/>
          <w:color w:val="auto"/>
        </w:rPr>
        <w:t>”), has ever abandoned or withdrawn (in each case in response to a communication from any Government Authority with jurisdiction over Gaming Laws regarding a likely or impending denial, suspension or revocation) or been denied or had suspended or revoked any approval, or an application for an approval, by a Government Authority with jurisdiction over Gaming Laws. To Buyer’s Knowledge, there are no facts which, if known to the Gaming Authority, would reasonably be expected to (a) result in the denial, revocation, limitation or suspension of a license or Consent from the Gaming Authority of any of the Buyer Licensed Affiliates or (b) result in a negative outcome in any licensing, suitability, registration or approval proceedings of any of the Buyer Licensed Affiliates currently pending, or under the licensing, suitability, registration or approval proceedings necessary for the consummation of the Transactions.</w:t>
      </w:r>
    </w:p>
    <w:p>
      <w:pPr>
        <w:spacing w:after="0" w:line="168"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Exclusivity of Representations and Warranties</w:t>
      </w:r>
      <w:r>
        <w:rPr>
          <w:rFonts w:ascii="Arial" w:cs="Arial" w:eastAsia="Arial" w:hAnsi="Arial"/>
          <w:sz w:val="16"/>
          <w:szCs w:val="16"/>
          <w:color w:val="auto"/>
        </w:rPr>
        <w:t>.</w:t>
      </w:r>
    </w:p>
    <w:p>
      <w:pPr>
        <w:spacing w:after="0" w:line="225" w:lineRule="exact"/>
        <w:rPr>
          <w:sz w:val="20"/>
          <w:szCs w:val="20"/>
          <w:color w:val="auto"/>
        </w:rPr>
      </w:pPr>
    </w:p>
    <w:p>
      <w:pPr>
        <w:ind w:firstLine="1979"/>
        <w:spacing w:after="0" w:line="273" w:lineRule="auto"/>
        <w:tabs>
          <w:tab w:leader="none" w:pos="2362"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Investigation</w:t>
      </w:r>
      <w:r>
        <w:rPr>
          <w:rFonts w:ascii="Arial" w:cs="Arial" w:eastAsia="Arial" w:hAnsi="Arial"/>
          <w:sz w:val="17"/>
          <w:szCs w:val="17"/>
          <w:color w:val="auto"/>
        </w:rPr>
        <w:t>. Buyer acknowledges and agrees that it (i) has completed such inquiries and investigations as it has deemed appropriate into, and, based thereon, has formed an independent judgment concerning, EBH, the Transferred Equity Interests, the Transferred Real Property and the Transactions, and any other rights or obligations to be transferred, directly or indirectly, pursuant to the Transaction Agreements and (ii) has been furnished with, or given access to, all such projections, forecasts, estimates, appraisals, statements, promises, advice, data or information about Seller, EBH, the Transferred Equity Interests, the Liabilities of EBH, the Transferred Real Property and any other rights or obligations to be transferred, directly or indirectly, pursuant to the Transaction Agreements, as Buyer has requested.</w:t>
      </w:r>
    </w:p>
    <w:p>
      <w:pPr>
        <w:spacing w:after="0" w:line="177" w:lineRule="exact"/>
        <w:rPr>
          <w:rFonts w:ascii="Arial" w:cs="Arial" w:eastAsia="Arial" w:hAnsi="Arial"/>
          <w:sz w:val="17"/>
          <w:szCs w:val="17"/>
          <w:color w:val="auto"/>
        </w:rPr>
      </w:pPr>
    </w:p>
    <w:p>
      <w:pPr>
        <w:ind w:right="240" w:firstLine="1979"/>
        <w:spacing w:after="0" w:line="277" w:lineRule="auto"/>
        <w:tabs>
          <w:tab w:leader="none" w:pos="237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 Other Representations and Warranties</w:t>
      </w:r>
      <w:r>
        <w:rPr>
          <w:rFonts w:ascii="Arial" w:cs="Arial" w:eastAsia="Arial" w:hAnsi="Arial"/>
          <w:sz w:val="18"/>
          <w:szCs w:val="18"/>
          <w:color w:val="auto"/>
        </w:rPr>
        <w:t xml:space="preserve">. Buyer, on behalf of itself and its Affiliates, acknowledges and agrees that, except for the representations and warranties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70" w:lineRule="exact"/>
        <w:rPr>
          <w:sz w:val="20"/>
          <w:szCs w:val="20"/>
          <w:color w:val="auto"/>
        </w:rPr>
      </w:pPr>
    </w:p>
    <w:p>
      <w:pPr>
        <w:ind w:right="60" w:firstLine="1979"/>
        <w:spacing w:after="0" w:line="277" w:lineRule="auto"/>
        <w:tabs>
          <w:tab w:leader="none" w:pos="23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Seller nor any of its Affiliates (or any other Person) makes, or has made, any representation or warranty relating to Seller or its Affiliates, EBH,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Transferred Equity Interests, the Transferred Real Property or otherwise in connection with this Agreement or the Transactions;</w:t>
      </w:r>
    </w:p>
    <w:p>
      <w:pPr>
        <w:spacing w:after="0" w:line="225" w:lineRule="exact"/>
        <w:rPr>
          <w:sz w:val="20"/>
          <w:szCs w:val="20"/>
          <w:color w:val="auto"/>
        </w:rPr>
      </w:pPr>
    </w:p>
    <w:p>
      <w:pPr>
        <w:ind w:right="20" w:firstLine="1979"/>
        <w:spacing w:after="0" w:line="301" w:lineRule="auto"/>
        <w:tabs>
          <w:tab w:leader="none" w:pos="23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Person has been authorized by Seller or its Affiliates or any of their Representatives to make any representation or warranty relating to Seller or its Affiliates, EBH, the Transferred Equity Interests, the Transferred Real Property or otherwise in connection with this Agreement or the Transactions, and if made, such representation or warranty must not be relied upon by Buyer or any of its Affiliates or their respective Representatives as having been authorized by Seller or any of its Affiliates or any of their respective Representatives (or any other Person); and</w:t>
      </w:r>
    </w:p>
    <w:p>
      <w:pPr>
        <w:spacing w:after="0" w:line="157" w:lineRule="exact"/>
        <w:rPr>
          <w:rFonts w:ascii="Arial" w:cs="Arial" w:eastAsia="Arial" w:hAnsi="Arial"/>
          <w:sz w:val="16"/>
          <w:szCs w:val="16"/>
          <w:color w:val="auto"/>
        </w:rPr>
      </w:pPr>
    </w:p>
    <w:p>
      <w:pPr>
        <w:ind w:right="60" w:firstLine="1979"/>
        <w:spacing w:after="0" w:line="257" w:lineRule="auto"/>
        <w:tabs>
          <w:tab w:leader="none" w:pos="247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representations and warranties made by Seller in this Agreement are in lieu of and are exclusive of all other representations and warranties, including any express or implied or as to merchantability or fitness for a particular purpose, and Seller hereby disclaims any other or implied representations or warranties, notwithstanding the delivery or disclosure to Buyer or any of its Affiliates or any of their respective Representatives of any documentation or other information (including any financial information, supplemental data or financial projections or other forward-looking statements).</w:t>
      </w:r>
    </w:p>
    <w:p>
      <w:pPr>
        <w:spacing w:after="0" w:line="188" w:lineRule="exact"/>
        <w:rPr>
          <w:sz w:val="20"/>
          <w:szCs w:val="20"/>
          <w:color w:val="auto"/>
        </w:rPr>
      </w:pPr>
    </w:p>
    <w:p>
      <w:pPr>
        <w:ind w:right="140" w:firstLine="1979"/>
        <w:spacing w:after="0" w:line="263" w:lineRule="auto"/>
        <w:tabs>
          <w:tab w:leader="none" w:pos="236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xml:space="preserve">. Buyer, on behalf of itself and its Affiliates, acknowledges and agrees that, except for the representations and warranties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it is not acting (including, as applicable, by entering into this Agreement or consummating the Transactions) in reliance on:</w:t>
      </w:r>
    </w:p>
    <w:p>
      <w:pPr>
        <w:spacing w:after="0" w:line="184" w:lineRule="exact"/>
        <w:rPr>
          <w:sz w:val="20"/>
          <w:szCs w:val="20"/>
          <w:color w:val="auto"/>
        </w:rPr>
      </w:pPr>
    </w:p>
    <w:p>
      <w:pPr>
        <w:ind w:left="2320" w:hanging="341"/>
        <w:spacing w:after="0"/>
        <w:tabs>
          <w:tab w:leader="none" w:pos="2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representation or warranty, express or implied; or</w:t>
      </w:r>
    </w:p>
    <w:p>
      <w:pPr>
        <w:spacing w:after="0" w:line="225" w:lineRule="exact"/>
        <w:rPr>
          <w:rFonts w:ascii="Arial" w:cs="Arial" w:eastAsia="Arial" w:hAnsi="Arial"/>
          <w:sz w:val="18"/>
          <w:szCs w:val="18"/>
          <w:color w:val="auto"/>
        </w:rPr>
      </w:pPr>
    </w:p>
    <w:p>
      <w:pPr>
        <w:ind w:right="280" w:firstLine="1979"/>
        <w:spacing w:after="0" w:line="259" w:lineRule="auto"/>
        <w:tabs>
          <w:tab w:leader="none" w:pos="23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estimate, projection, prediction, data, financial information, memorandum, presentation or other materials or information provided or addressed to Buyer or any of its Affiliates or any of their respective Representatives, including any materials or information made available in any electronic data room hosted by or on behalf of Seller and its Affiliates in connection with the Transactions, in connection with presentations by Seller’s or its Affiliates’ management or in any other forum or setting.</w:t>
      </w:r>
    </w:p>
    <w:p>
      <w:pPr>
        <w:spacing w:after="0" w:line="187" w:lineRule="exact"/>
        <w:rPr>
          <w:sz w:val="20"/>
          <w:szCs w:val="20"/>
          <w:color w:val="auto"/>
        </w:rPr>
      </w:pPr>
    </w:p>
    <w:p>
      <w:pPr>
        <w:ind w:right="380" w:firstLine="1983"/>
        <w:spacing w:after="0" w:line="263"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representations and warranties of Buyer contained herein shall survive the Closing for the Survival Period (which, for the purpose of the representations and warranties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the period of twelve (12) months after the Closing).</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AGREEMENTS</w:t>
      </w:r>
    </w:p>
    <w:p>
      <w:pPr>
        <w:spacing w:after="0" w:line="229" w:lineRule="exact"/>
        <w:rPr>
          <w:sz w:val="20"/>
          <w:szCs w:val="20"/>
          <w:color w:val="auto"/>
        </w:rPr>
      </w:pPr>
    </w:p>
    <w:p>
      <w:pPr>
        <w:ind w:firstLine="1983"/>
        <w:spacing w:after="0" w:line="259"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Conduct Prior to the Closing</w:t>
      </w:r>
      <w:r>
        <w:rPr>
          <w:rFonts w:ascii="Arial" w:cs="Arial" w:eastAsia="Arial" w:hAnsi="Arial"/>
          <w:sz w:val="18"/>
          <w:szCs w:val="18"/>
          <w:color w:val="auto"/>
        </w:rPr>
        <w:t xml:space="preserve">. Except (a) as contemplated by or necessary to effectuate this Agreement or any other Transaction Agreement, (b) for matters identified on </w:t>
      </w:r>
      <w:r>
        <w:rPr>
          <w:rFonts w:ascii="Arial" w:cs="Arial" w:eastAsia="Arial" w:hAnsi="Arial"/>
          <w:sz w:val="18"/>
          <w:szCs w:val="18"/>
          <w:u w:val="single" w:color="auto"/>
          <w:color w:val="auto"/>
        </w:rPr>
        <w:t>Schedule 5.01</w:t>
      </w:r>
      <w:r>
        <w:rPr>
          <w:rFonts w:ascii="Arial" w:cs="Arial" w:eastAsia="Arial" w:hAnsi="Arial"/>
          <w:sz w:val="18"/>
          <w:szCs w:val="18"/>
          <w:color w:val="auto"/>
        </w:rPr>
        <w:t>, (c) as required by applicable Law (including COVID-19 Measures) or (d) as consented to by Buyer (which such consent shall not be unreasonably withheld, conditioned or delayed, it being agreed that, if Buyer does not respond to a Seller request for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25" w:name="page26"/>
    <w:bookmarkEnd w:id="2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consent under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within five Business Days, Buyer shall be deemed to have consented), during the Pre-Closing Period, Seller shall cause EBH to (i) use its commercially reasonable efforts to operate the Transferred Real Property (excluding, for clarity, the operation of Gaming Services at the Casino) in all material respects in the ordinary course of business, (ii) not enter into any lease, sublease or other occupancy agreement with respect to the Transferred Real Property (and all such leases, subleases or other occupancy agreements with respect to the Transferred Real Property will be entered into by Seller or an Affiliate of Seller, other than EBH) and (iii) remove the Transferred Real Property from the market and not actively solicit or negotiate with any other prospective purchasers of the Transferred Real Property.</w:t>
      </w:r>
    </w:p>
    <w:p>
      <w:pPr>
        <w:spacing w:after="0" w:line="178"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Access to Information</w:t>
      </w:r>
      <w:r>
        <w:rPr>
          <w:rFonts w:ascii="Arial" w:cs="Arial" w:eastAsia="Arial" w:hAnsi="Arial"/>
          <w:sz w:val="16"/>
          <w:szCs w:val="16"/>
          <w:color w:val="auto"/>
        </w:rPr>
        <w:t>.</w:t>
      </w:r>
    </w:p>
    <w:p>
      <w:pPr>
        <w:spacing w:after="0" w:line="225" w:lineRule="exact"/>
        <w:rPr>
          <w:sz w:val="20"/>
          <w:szCs w:val="20"/>
          <w:color w:val="auto"/>
        </w:rPr>
      </w:pPr>
    </w:p>
    <w:p>
      <w:pPr>
        <w:ind w:right="260" w:firstLine="1979"/>
        <w:spacing w:after="0" w:line="259" w:lineRule="auto"/>
        <w:tabs>
          <w:tab w:leader="none" w:pos="22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Pre-Closing Period, upon reasonable prior notice, Seller shall, and shall cause each of its Subsidiaries to, afford the Representatives of Buyer reasonable physical access, during normal business hours, to the Transferred Real Property as Buyer or its Representatives may from time to time reasonably request for purposes of consummating the Transactions and preparing to own the Transferred Real Property following the Closing.</w:t>
      </w:r>
    </w:p>
    <w:p>
      <w:pPr>
        <w:spacing w:after="0" w:line="186" w:lineRule="exact"/>
        <w:rPr>
          <w:rFonts w:ascii="Arial" w:cs="Arial" w:eastAsia="Arial" w:hAnsi="Arial"/>
          <w:sz w:val="18"/>
          <w:szCs w:val="18"/>
          <w:color w:val="auto"/>
        </w:rPr>
      </w:pPr>
    </w:p>
    <w:p>
      <w:pPr>
        <w:ind w:left="2360" w:hanging="381"/>
        <w:spacing w:after="0"/>
        <w:tabs>
          <w:tab w:leader="none" w:pos="2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w:t>
      </w:r>
    </w:p>
    <w:p>
      <w:pPr>
        <w:spacing w:after="0" w:line="225" w:lineRule="exact"/>
        <w:rPr>
          <w:sz w:val="20"/>
          <w:szCs w:val="20"/>
          <w:color w:val="auto"/>
        </w:rPr>
      </w:pPr>
    </w:p>
    <w:p>
      <w:pPr>
        <w:ind w:left="2320" w:hanging="341"/>
        <w:spacing w:after="0"/>
        <w:tabs>
          <w:tab w:leader="none" w:pos="2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no event shall Seller or its Subsidiaries be obligated to provide any access or information in violation of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 Law;</w:t>
      </w:r>
    </w:p>
    <w:p>
      <w:pPr>
        <w:spacing w:after="0" w:line="211" w:lineRule="exact"/>
        <w:rPr>
          <w:sz w:val="20"/>
          <w:szCs w:val="20"/>
          <w:color w:val="auto"/>
        </w:rPr>
      </w:pPr>
    </w:p>
    <w:p>
      <w:pPr>
        <w:ind w:right="60" w:firstLine="1979"/>
        <w:spacing w:after="0" w:line="277" w:lineRule="auto"/>
        <w:tabs>
          <w:tab w:leader="none" w:pos="23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Buyer shall not conduct, without the prior written consent of Seller, any investigation, sampling or analysis of any soil, water, sediment, air, building materials or other environmental media at the Transferred Real Property; and</w:t>
      </w:r>
    </w:p>
    <w:p>
      <w:pPr>
        <w:spacing w:after="0" w:line="170" w:lineRule="exact"/>
        <w:rPr>
          <w:rFonts w:ascii="Arial" w:cs="Arial" w:eastAsia="Arial" w:hAnsi="Arial"/>
          <w:sz w:val="18"/>
          <w:szCs w:val="18"/>
          <w:color w:val="auto"/>
        </w:rPr>
      </w:pPr>
    </w:p>
    <w:p>
      <w:pPr>
        <w:ind w:firstLine="1979"/>
        <w:spacing w:after="0" w:line="263" w:lineRule="auto"/>
        <w:tabs>
          <w:tab w:leader="none" w:pos="24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before the Closing, without the prior written consent of Seller, neither Buyer nor any of its Affiliates or their respective Representatives shall contact any employees of, suppliers to, or customers of Seller or any of its Affiliates in connection with or with respect to this Agreement, any other Transaction Agreement or any Transaction.</w:t>
      </w:r>
    </w:p>
    <w:p>
      <w:pPr>
        <w:spacing w:after="0" w:line="184" w:lineRule="exact"/>
        <w:rPr>
          <w:sz w:val="20"/>
          <w:szCs w:val="20"/>
          <w:color w:val="auto"/>
        </w:rPr>
      </w:pPr>
    </w:p>
    <w:p>
      <w:pPr>
        <w:ind w:right="180" w:firstLine="1983"/>
        <w:spacing w:after="0" w:line="272"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The terms of the Confidentiality Agreement are incorporated into this Agreement by reference and shall continue in full force and effect (and all obligations thereunder shall be binding upon Buyer and its representatives (as if parties thereto) until the Closing, at which time the obligations under the Confidentiality Agreement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Buyer’s confidentiality obligations shall terminate only in respect of that portion of the Confidential Information (as defined in the Confidentiality Agreement) exclusively relating to the Transferred Real Property (and not, for clarity, relating to any Gaming Services), and for all other Confidential Information the Confidentiality Agreement shall continue in full force and effect in accordance with its terms. If for any reason the Closing does not occur, the Confidentiality Agreement shall continue in full force and effect in accordance with its terms.</w:t>
      </w:r>
    </w:p>
    <w:p>
      <w:pPr>
        <w:spacing w:after="0" w:line="177"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Regulatory and Other Authorizations</w:t>
      </w:r>
      <w:r>
        <w:rPr>
          <w:rFonts w:ascii="Arial" w:cs="Arial" w:eastAsia="Arial" w:hAnsi="Arial"/>
          <w:sz w:val="16"/>
          <w:szCs w:val="16"/>
          <w:color w:val="auto"/>
        </w:rPr>
        <w:t>.</w:t>
      </w:r>
    </w:p>
    <w:p>
      <w:pPr>
        <w:spacing w:after="0" w:line="225" w:lineRule="exact"/>
        <w:rPr>
          <w:sz w:val="20"/>
          <w:szCs w:val="20"/>
          <w:color w:val="auto"/>
        </w:rPr>
      </w:pPr>
    </w:p>
    <w:p>
      <w:pPr>
        <w:ind w:right="800" w:firstLine="1979"/>
        <w:spacing w:after="0" w:line="277" w:lineRule="auto"/>
        <w:tabs>
          <w:tab w:leader="none" w:pos="23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Subject to any greater efforts or outright non-efforts based standard as expressly required by the terms of this Agreement and subject to </w:t>
      </w:r>
      <w:r>
        <w:rPr>
          <w:rFonts w:ascii="Arial" w:cs="Arial" w:eastAsia="Arial" w:hAnsi="Arial"/>
          <w:sz w:val="18"/>
          <w:szCs w:val="18"/>
          <w:u w:val="single" w:color="auto"/>
          <w:color w:val="auto"/>
        </w:rPr>
        <w:t>Section 5.04(c)</w:t>
      </w:r>
      <w:r>
        <w:rPr>
          <w:rFonts w:ascii="Arial" w:cs="Arial" w:eastAsia="Arial" w:hAnsi="Arial"/>
          <w:sz w:val="18"/>
          <w:szCs w:val="18"/>
          <w:color w:val="auto"/>
        </w:rPr>
        <w:t>, prior to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6" w:name="page27"/>
    <w:bookmarkEnd w:id="26"/>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Buyer and Seller shall use their respective commercially reasonable efforts to promptly take, or cause to be taken, all actions, and to do, or cause to be done, all things, necessary, proper or advisable under this Agreement and any applicable Law, including Gaming Laws, to consummate and make effective, as promptly as reasonably practicable after the Agreement Date, the Transactions.</w:t>
      </w:r>
    </w:p>
    <w:p>
      <w:pPr>
        <w:spacing w:after="0" w:line="184" w:lineRule="exact"/>
        <w:rPr>
          <w:sz w:val="20"/>
          <w:szCs w:val="20"/>
          <w:color w:val="auto"/>
        </w:rPr>
      </w:pPr>
    </w:p>
    <w:p>
      <w:pPr>
        <w:ind w:left="4" w:firstLine="1979"/>
        <w:spacing w:after="0" w:line="268" w:lineRule="auto"/>
        <w:tabs>
          <w:tab w:leader="none" w:pos="2373"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w:t>
      </w:r>
      <w:r>
        <w:rPr>
          <w:rFonts w:ascii="Arial" w:cs="Arial" w:eastAsia="Arial" w:hAnsi="Arial"/>
          <w:sz w:val="17"/>
          <w:szCs w:val="17"/>
          <w:u w:val="single" w:color="auto"/>
          <w:color w:val="auto"/>
        </w:rPr>
        <w:t>Section 5.04(a)</w:t>
      </w:r>
      <w:r>
        <w:rPr>
          <w:rFonts w:ascii="Arial" w:cs="Arial" w:eastAsia="Arial" w:hAnsi="Arial"/>
          <w:sz w:val="17"/>
          <w:szCs w:val="17"/>
          <w:color w:val="auto"/>
        </w:rPr>
        <w:t xml:space="preserve">, Buyer shall, and shall cause its Affiliates and each of Buyer’s and its Affiliates’ respective Representatives (including those individuals set forth in </w:t>
      </w:r>
      <w:r>
        <w:rPr>
          <w:rFonts w:ascii="Arial" w:cs="Arial" w:eastAsia="Arial" w:hAnsi="Arial"/>
          <w:sz w:val="17"/>
          <w:szCs w:val="17"/>
          <w:u w:val="single" w:color="auto"/>
          <w:color w:val="auto"/>
        </w:rPr>
        <w:t>Schedule 5.04(b)</w:t>
      </w:r>
      <w:r>
        <w:rPr>
          <w:rFonts w:ascii="Arial" w:cs="Arial" w:eastAsia="Arial" w:hAnsi="Arial"/>
          <w:sz w:val="17"/>
          <w:szCs w:val="17"/>
          <w:color w:val="auto"/>
        </w:rPr>
        <w:t xml:space="preserve"> and such other individuals as are required to be licensed in their personal capacity under any Gaming Law (collectively, the “</w:t>
      </w:r>
      <w:r>
        <w:rPr>
          <w:rFonts w:ascii="Arial" w:cs="Arial" w:eastAsia="Arial" w:hAnsi="Arial"/>
          <w:sz w:val="17"/>
          <w:szCs w:val="17"/>
          <w:b w:val="1"/>
          <w:bCs w:val="1"/>
          <w:color w:val="auto"/>
        </w:rPr>
        <w:t>Licensed Individuals</w:t>
      </w:r>
      <w:r>
        <w:rPr>
          <w:rFonts w:ascii="Arial" w:cs="Arial" w:eastAsia="Arial" w:hAnsi="Arial"/>
          <w:sz w:val="17"/>
          <w:szCs w:val="17"/>
          <w:color w:val="auto"/>
        </w:rPr>
        <w:t>”)) to, as promptly as reasonably practicable after the Agreement Date, use its commercially reasonable efforts to (i) obtain all Consents, Permits and Orders (and any exemptions or exceptions therefrom) of all Government Authorities or otherwise required under Gaming Laws (including obtaining all Gaming Approvals) that may be, or become, necessary for the consummation of the Transactions (collectively, the “</w:t>
      </w:r>
      <w:r>
        <w:rPr>
          <w:rFonts w:ascii="Arial" w:cs="Arial" w:eastAsia="Arial" w:hAnsi="Arial"/>
          <w:sz w:val="17"/>
          <w:szCs w:val="17"/>
          <w:b w:val="1"/>
          <w:bCs w:val="1"/>
          <w:color w:val="auto"/>
        </w:rPr>
        <w:t>Government Approvals</w:t>
      </w:r>
      <w:r>
        <w:rPr>
          <w:rFonts w:ascii="Arial" w:cs="Arial" w:eastAsia="Arial" w:hAnsi="Arial"/>
          <w:sz w:val="17"/>
          <w:szCs w:val="17"/>
          <w:color w:val="auto"/>
        </w:rPr>
        <w:t>”), (ii) supply to the applicable Government Authorities any additional information and documentary material that may be requested pursuant to applicable Gaming Laws as promptly as reasonably practicable after such request, including making available any personnel in response to any queries made by a Government Authority as promptly as reasonably practicable after such request, which may include information regarding this Agreement, Buyer’s capabilities as the potential purchaser of EBH and the Transferred Real Property, Buyer’s and its Affiliates’ businesses and assets or other matters, (iii) take all such actions as may be requested by any such Government Authority to obtain such Government Approvals and (iv) avoid the enactment or entry of, or effect the dissolution of, any permanent, preliminary, temporary or other Order that would otherwise have the effect of preventing or materially delaying the consummation of the Transactions. Buyer shall, and shall cause its Affiliates to, pay all fees and other payments to any Government Authority required by applicable Law in order to obtain any such Government Approvals.</w:t>
      </w:r>
    </w:p>
    <w:p>
      <w:pPr>
        <w:spacing w:after="0" w:line="184" w:lineRule="exact"/>
        <w:rPr>
          <w:rFonts w:ascii="Arial" w:cs="Arial" w:eastAsia="Arial" w:hAnsi="Arial"/>
          <w:sz w:val="17"/>
          <w:szCs w:val="17"/>
          <w:color w:val="auto"/>
        </w:rPr>
      </w:pPr>
    </w:p>
    <w:p>
      <w:pPr>
        <w:ind w:left="4" w:right="80" w:firstLine="1979"/>
        <w:spacing w:after="0" w:line="283" w:lineRule="auto"/>
        <w:tabs>
          <w:tab w:leader="none" w:pos="2366"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Notwithstanding anything else to the contrary in this Agreement, and in furtherance and not in limitation of the generality of Buyer’s undertakings pursuant to </w:t>
      </w:r>
      <w:r>
        <w:rPr>
          <w:rFonts w:ascii="Arial" w:cs="Arial" w:eastAsia="Arial" w:hAnsi="Arial"/>
          <w:sz w:val="16"/>
          <w:szCs w:val="16"/>
          <w:u w:val="single" w:color="auto"/>
          <w:color w:val="auto"/>
        </w:rPr>
        <w:t>Section 5.04(a)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5.04(b)</w:t>
      </w:r>
      <w:r>
        <w:rPr>
          <w:rFonts w:ascii="Arial" w:cs="Arial" w:eastAsia="Arial" w:hAnsi="Arial"/>
          <w:sz w:val="16"/>
          <w:szCs w:val="16"/>
          <w:color w:val="auto"/>
        </w:rPr>
        <w:t>, Buyer shall, and shall cause each of its Affiliates to, as promptly as reasonably practicable take any and all actions reasonably necessary to avoid or eliminate each and every impediment under any Gaming Law so as to enable the Parties to close the transactions contemplated by this Agreement as promptly as reasonably practicable after the Agreement Date (and in any event prior to the Outside Date), including (i) taking or committing to take actions that may limit or impact Buyer’s or any of its Affiliates’ (whether now or hereafter acquired by Buyer or any of its Affiliates) or EBH’s (when owned by Buyer or its Affiliates) freedom of action with respect to, or its ability to retain, any of Buyer’s, any of its Affiliates’ (whether now or hereafter acquired by Buyer or any of its Affiliates) operations, divisions, businesses, product lines, Contracts, customers or assets (including the Transferred Real Property), (ii) making amendments or modifications (in each case, subject to Seller’s consent) to this Agreement and the other Transaction Agreements to the extent required by any Government Authority,</w:t>
      </w:r>
    </w:p>
    <w:p>
      <w:pPr>
        <w:spacing w:after="0" w:line="5" w:lineRule="exact"/>
        <w:rPr>
          <w:rFonts w:ascii="Arial" w:cs="Arial" w:eastAsia="Arial" w:hAnsi="Arial"/>
          <w:sz w:val="16"/>
          <w:szCs w:val="16"/>
          <w:color w:val="auto"/>
        </w:rPr>
      </w:pPr>
    </w:p>
    <w:p>
      <w:pPr>
        <w:ind w:left="4" w:hanging="4"/>
        <w:spacing w:after="0" w:line="255" w:lineRule="auto"/>
        <w:tabs>
          <w:tab w:leader="none" w:pos="3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proposing any alternative or additional individuals to the Licensed Individuals, (iv) the entrance into such other arrangements as are necessary or advisable in order to avoid the entry of, and the commencement of Actions seeking the entry of, or to effect the dissolution of, any injunction, temporary restraining order or other Order in any Action which</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27" w:name="page28"/>
    <w:bookmarkEnd w:id="27"/>
    <w:p>
      <w:pPr>
        <w:ind w:right="1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otherwise reasonably be expected to have the effect of materially delaying or preventing the consummation of the Transaction, (v) using its commercially reasonable efforts to cause any stockholder with direct or indirect legal or beneficial ownership of 5% or more of the shares or voting power of Buyer or other stockholder designated by the Gaming Authority (the “</w:t>
      </w:r>
      <w:r>
        <w:rPr>
          <w:rFonts w:ascii="Arial" w:cs="Arial" w:eastAsia="Arial" w:hAnsi="Arial"/>
          <w:sz w:val="17"/>
          <w:szCs w:val="17"/>
          <w:b w:val="1"/>
          <w:bCs w:val="1"/>
          <w:color w:val="auto"/>
        </w:rPr>
        <w:t>Significant Shareholders</w:t>
      </w:r>
      <w:r>
        <w:rPr>
          <w:rFonts w:ascii="Arial" w:cs="Arial" w:eastAsia="Arial" w:hAnsi="Arial"/>
          <w:sz w:val="17"/>
          <w:szCs w:val="17"/>
          <w:color w:val="auto"/>
        </w:rPr>
        <w:t>”) to, as promptly as reasonably practicable after the Agreement Date (and in any event no later than 60 days after the Agreement Date with respect to the initial application for waivers), apply for and obtain waivers from qualification under the Gaming Laws or, if such waivers cannot be promptly obtained, using its commercially reasonable efforts to cause the Significant Shareholders to take all such actions as are required to obtain all Consents, Permits and Orders of all Government Authorities or otherwise required under Gaming Laws (including obtaining any Gaming Approvals) that may be, or become, necessary for the consummation of the Transactions and (vi) if the Interim Gaming Approval has been denied by the Gaming Authority at a duly convened hearing, obtaining a Final Determination. In addition, Buyer shall, and shall cause its Affiliates to, (A) respond to and seek to resolve as promptly as reasonably practicable after the Agreement Date any objections asserted by any Government Authority with respect to the Transactions, and (B) defend through litigation on the merits any Action by any Person (including the Gaming Authority) in order to avoid entry or enactment of, or to have vacated, terminated or rescinded, any Order (whether temporary, preliminary or permanent) that would prevent the Closing from occurring as promptly as reasonably practicable after the Agreement Date, and in any event prior to the Outside Date.</w:t>
      </w:r>
    </w:p>
    <w:p>
      <w:pPr>
        <w:spacing w:after="0" w:line="186" w:lineRule="exact"/>
        <w:rPr>
          <w:sz w:val="20"/>
          <w:szCs w:val="20"/>
          <w:color w:val="auto"/>
        </w:rPr>
      </w:pPr>
    </w:p>
    <w:p>
      <w:pPr>
        <w:ind w:firstLine="1979"/>
        <w:spacing w:after="0" w:line="287" w:lineRule="auto"/>
        <w:tabs>
          <w:tab w:leader="none" w:pos="23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To the extent not prohibited by applicable Law, each Party shall promptly notify the other Party of any oral or written communication it or any of its Affiliates or their respective Representatives receives from any Government Authority relating to the matters that are the subject of this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(including notifications under any Gaming Law and other similar notifications), permit the other Party and its Representatives to review in advance any communication relating to the matters that are the subject of this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proposed to be made by such Party to any Government Authority and provide the other Party with copies of all substantive correspondence, filings or other communications between them or any of their Representatives, on the one hand, and any Government Authority or members of its staff, on the other hand, relating to the matters that are the subject of this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materials may be redacted (i) as necessary to comply with contractual arrangements or applicable Law; and (ii) as necessary to address reasonable attorney-client or other privilege or confidentiality concerns. No Party shall agree to participate in any meeting or discussion with any Government Authority in respect of any such filings, investigation or other inquiry unless it consults with the other Party in advance and, to the extent permitted by such Government Authority, gives the other Party the opportunity to attend and participate at such meeting. To the extent not prohibited by applicable Law, the Parties will coordinate and cooperate with each other in exchanging such information and each will provide such assistance as the other Party may reasonably request in connection with the foregoing.</w:t>
      </w:r>
    </w:p>
    <w:p>
      <w:pPr>
        <w:spacing w:after="0" w:line="167" w:lineRule="exact"/>
        <w:rPr>
          <w:rFonts w:ascii="Arial" w:cs="Arial" w:eastAsia="Arial" w:hAnsi="Arial"/>
          <w:sz w:val="16"/>
          <w:szCs w:val="16"/>
          <w:color w:val="auto"/>
        </w:rPr>
      </w:pPr>
    </w:p>
    <w:p>
      <w:pPr>
        <w:ind w:right="220" w:firstLine="1979"/>
        <w:spacing w:after="0" w:line="279" w:lineRule="auto"/>
        <w:tabs>
          <w:tab w:leader="none" w:pos="2359"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Parties shall share control and direction of the Government Approval process contemplated by this </w:t>
      </w:r>
      <w:r>
        <w:rPr>
          <w:rFonts w:ascii="Arial" w:cs="Arial" w:eastAsia="Arial" w:hAnsi="Arial"/>
          <w:sz w:val="17"/>
          <w:szCs w:val="17"/>
          <w:u w:val="single" w:color="auto"/>
          <w:color w:val="auto"/>
        </w:rPr>
        <w:t>Section 5.04</w:t>
      </w:r>
      <w:r>
        <w:rPr>
          <w:rFonts w:ascii="Arial" w:cs="Arial" w:eastAsia="Arial" w:hAnsi="Arial"/>
          <w:sz w:val="17"/>
          <w:szCs w:val="17"/>
          <w:color w:val="auto"/>
        </w:rPr>
        <w:t>, including sharing control and direction of the strategy and final determinations related to the review or investigation of the Transactions by any Government Authority and attending all meetings and discussions with any Government Authority, in each case the extent permitted by such Government Authority. In relation to the Interim Gaming Approval, Buyer shall propose, in its Initial Gaming Submissions, the structure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8" w:name="page29"/>
    <w:bookmarkEnd w:id="28"/>
    <w:p>
      <w:pPr>
        <w:ind w:left="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set forth on </w:t>
      </w:r>
      <w:r>
        <w:rPr>
          <w:rFonts w:ascii="Arial" w:cs="Arial" w:eastAsia="Arial" w:hAnsi="Arial"/>
          <w:sz w:val="18"/>
          <w:szCs w:val="18"/>
          <w:u w:val="single" w:color="auto"/>
          <w:color w:val="auto"/>
        </w:rPr>
        <w:t>Schedule 5.04(e)</w:t>
      </w:r>
      <w:r>
        <w:rPr>
          <w:rFonts w:ascii="Arial" w:cs="Arial" w:eastAsia="Arial" w:hAnsi="Arial"/>
          <w:sz w:val="18"/>
          <w:szCs w:val="18"/>
          <w:color w:val="auto"/>
        </w:rPr>
        <w:t xml:space="preserve">. For clarity, nothing in this </w:t>
      </w:r>
      <w:r>
        <w:rPr>
          <w:rFonts w:ascii="Arial" w:cs="Arial" w:eastAsia="Arial" w:hAnsi="Arial"/>
          <w:sz w:val="18"/>
          <w:szCs w:val="18"/>
          <w:u w:val="single" w:color="auto"/>
          <w:color w:val="auto"/>
        </w:rPr>
        <w:t>Section 5.04(e)</w:t>
      </w:r>
      <w:r>
        <w:rPr>
          <w:rFonts w:ascii="Arial" w:cs="Arial" w:eastAsia="Arial" w:hAnsi="Arial"/>
          <w:sz w:val="18"/>
          <w:szCs w:val="18"/>
          <w:color w:val="auto"/>
        </w:rPr>
        <w:t xml:space="preserve"> shall in any way restrict or limit Buyer’s obligations pursuant to </w:t>
      </w:r>
      <w:r>
        <w:rPr>
          <w:rFonts w:ascii="Arial" w:cs="Arial" w:eastAsia="Arial" w:hAnsi="Arial"/>
          <w:sz w:val="18"/>
          <w:szCs w:val="18"/>
          <w:u w:val="single" w:color="auto"/>
          <w:color w:val="auto"/>
        </w:rPr>
        <w:t>Section 5.04(b)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5.04(c)</w:t>
      </w:r>
      <w:r>
        <w:rPr>
          <w:rFonts w:ascii="Arial" w:cs="Arial" w:eastAsia="Arial" w:hAnsi="Arial"/>
          <w:sz w:val="18"/>
          <w:szCs w:val="18"/>
          <w:color w:val="auto"/>
        </w:rPr>
        <w:t>.</w:t>
      </w:r>
    </w:p>
    <w:p>
      <w:pPr>
        <w:spacing w:after="0" w:line="170" w:lineRule="exact"/>
        <w:rPr>
          <w:sz w:val="20"/>
          <w:szCs w:val="20"/>
          <w:color w:val="auto"/>
        </w:rPr>
      </w:pPr>
    </w:p>
    <w:p>
      <w:pPr>
        <w:ind w:left="4" w:right="20" w:firstLine="1979"/>
        <w:spacing w:after="0" w:line="283" w:lineRule="auto"/>
        <w:tabs>
          <w:tab w:leader="none" w:pos="2346"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In furtherance and not in limitation of the foregoing provisions of this </w:t>
      </w:r>
      <w:r>
        <w:rPr>
          <w:rFonts w:ascii="Arial" w:cs="Arial" w:eastAsia="Arial" w:hAnsi="Arial"/>
          <w:sz w:val="16"/>
          <w:szCs w:val="16"/>
          <w:u w:val="single" w:color="auto"/>
          <w:color w:val="auto"/>
        </w:rPr>
        <w:t>Section 5.04</w:t>
      </w:r>
      <w:r>
        <w:rPr>
          <w:rFonts w:ascii="Arial" w:cs="Arial" w:eastAsia="Arial" w:hAnsi="Arial"/>
          <w:sz w:val="16"/>
          <w:szCs w:val="16"/>
          <w:color w:val="auto"/>
        </w:rPr>
        <w:t>, Buyer shall (and shall cause its Affiliates and their respective Representatives (including the Licensed Individuals) to) (i) prepare and submit to the Gaming Authority, in each case as promptly as reasonably practicable, all applications and supporting documents, including the fully executed Trust Agreement, necessary to obtain the Interim Gaming Approval (the “</w:t>
      </w:r>
      <w:r>
        <w:rPr>
          <w:rFonts w:ascii="Arial" w:cs="Arial" w:eastAsia="Arial" w:hAnsi="Arial"/>
          <w:sz w:val="16"/>
          <w:szCs w:val="16"/>
          <w:b w:val="1"/>
          <w:bCs w:val="1"/>
          <w:color w:val="auto"/>
        </w:rPr>
        <w:t>Initial Gaming Submissions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applications and supporting documents shall be submitted no later than, with respect to any entity applications, 30 days after the Agreement Date, and, with respect to any individual applications (including the Licensed Individuals), no later than 60 days after the Agreement Date and (ii) to the extent the Gaming Authority determines that any Initial Gaming Submission is incomplete, to as promptly as reasonably practicable amend such application or provide such additional supporting documents as are necessary for the Gaming Authority to determine that each application required to obtain the Initial Gaming Approval is complete (collectively, such complete applications (whether or not the Initial Gaming Submissions) the “</w:t>
      </w:r>
      <w:r>
        <w:rPr>
          <w:rFonts w:ascii="Arial" w:cs="Arial" w:eastAsia="Arial" w:hAnsi="Arial"/>
          <w:sz w:val="16"/>
          <w:szCs w:val="16"/>
          <w:b w:val="1"/>
          <w:bCs w:val="1"/>
          <w:color w:val="auto"/>
        </w:rPr>
        <w:t>Completed Submission</w:t>
      </w:r>
      <w:r>
        <w:rPr>
          <w:rFonts w:ascii="Arial" w:cs="Arial" w:eastAsia="Arial" w:hAnsi="Arial"/>
          <w:sz w:val="16"/>
          <w:szCs w:val="16"/>
          <w:color w:val="auto"/>
        </w:rPr>
        <w:t>”) and for the 120 day period referred to in 205 CMR 116.10</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 the Code of Massachusetts Regulations to commence.</w:t>
      </w:r>
    </w:p>
    <w:p>
      <w:pPr>
        <w:spacing w:after="0" w:line="210" w:lineRule="exact"/>
        <w:rPr>
          <w:rFonts w:ascii="Arial" w:cs="Arial" w:eastAsia="Arial" w:hAnsi="Arial"/>
          <w:sz w:val="18"/>
          <w:szCs w:val="18"/>
          <w:color w:val="auto"/>
        </w:rPr>
      </w:pPr>
    </w:p>
    <w:p>
      <w:pPr>
        <w:ind w:left="4" w:firstLine="1979"/>
        <w:spacing w:after="0" w:line="253" w:lineRule="auto"/>
        <w:tabs>
          <w:tab w:leader="none" w:pos="23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Buyer shall not, and shall not permit MDC Holdings or any of its Subsidiaries, including EBH to, and shall not permit any of its other Subsidiaries (solely with respect to any gaming asset in the Commonwealth other than the Transferred Interests) to, take any action (including acquiring or combining, or agreeing to acquire or combine, by merging or consolidating with, or by purchasing a substantial portion of the assets of or equity in, or by any other manner, any Person or portion thereof, or otherwise acquiring or agreeing to acquire any assets) that would reasonably be expected to have the effect of (i) delaying, impairing or impeding the receipt of, or increasing the risk of not receiving, any required Government Approval (including the Gaming Approvals) or the issuance, reissuance or transfer of any Permit, (ii) delaying, impairing or impeding the expiration or termination of any applicable waiting period with respect to a Government Approval (including the Gaming Approvals), (iii) increasing the risk of any Government Authority enacting a Law or entering an Order prohibiting the consummation of the Transactions or (iv) otherwise delaying the consummation of the Transactions.</w:t>
      </w:r>
    </w:p>
    <w:p>
      <w:pPr>
        <w:spacing w:after="0" w:line="196" w:lineRule="exact"/>
        <w:rPr>
          <w:rFonts w:ascii="Arial" w:cs="Arial" w:eastAsia="Arial" w:hAnsi="Arial"/>
          <w:sz w:val="18"/>
          <w:szCs w:val="18"/>
          <w:color w:val="auto"/>
        </w:rPr>
      </w:pPr>
    </w:p>
    <w:p>
      <w:pPr>
        <w:ind w:left="4" w:right="260" w:firstLine="1979"/>
        <w:spacing w:after="0" w:line="301" w:lineRule="auto"/>
        <w:tabs>
          <w:tab w:leader="none" w:pos="23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Following the Closing (to the extent a Final Determination is not obtained prior to Closing), Buyer shall, and shall cause each of its Affiliates (including EBH) to, as promptly as reasonably practicable take any and all actions reasonably necessary to obtain a “final determination of suitability” (as such phrase is utilized in 205 CMR 116.10(3) of the Code of Massachusetts Regulations) approving the Transactions (and each individual required to be licensed in connection therewith) (such final determination of suitability, the “</w:t>
      </w:r>
      <w:r>
        <w:rPr>
          <w:rFonts w:ascii="Arial" w:cs="Arial" w:eastAsia="Arial" w:hAnsi="Arial"/>
          <w:sz w:val="16"/>
          <w:szCs w:val="16"/>
          <w:b w:val="1"/>
          <w:bCs w:val="1"/>
          <w:color w:val="auto"/>
        </w:rPr>
        <w:t>Final Determination</w:t>
      </w:r>
      <w:r>
        <w:rPr>
          <w:rFonts w:ascii="Arial" w:cs="Arial" w:eastAsia="Arial" w:hAnsi="Arial"/>
          <w:sz w:val="16"/>
          <w:szCs w:val="16"/>
          <w:color w:val="auto"/>
        </w:rPr>
        <w:t>”).</w:t>
      </w:r>
    </w:p>
    <w:p>
      <w:pPr>
        <w:spacing w:after="0" w:line="157" w:lineRule="exact"/>
        <w:rPr>
          <w:sz w:val="20"/>
          <w:szCs w:val="20"/>
          <w:color w:val="auto"/>
        </w:rPr>
      </w:pPr>
    </w:p>
    <w:p>
      <w:pPr>
        <w:ind w:left="4" w:right="100" w:firstLine="1983"/>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Cooperation</w:t>
      </w:r>
      <w:r>
        <w:rPr>
          <w:rFonts w:ascii="Arial" w:cs="Arial" w:eastAsia="Arial" w:hAnsi="Arial"/>
          <w:sz w:val="18"/>
          <w:szCs w:val="18"/>
          <w:color w:val="auto"/>
        </w:rPr>
        <w:t>. During the Pre-Closing Period, each of Seller and Buyer shall, and shall cause their respective Affiliates to, (a) except where greater efforts or outright non-efforts based obligations are expressly required by the terms of this Agreement, use commercially reasonable efforts to cause all Closing Conditions of the other Party to be met as promptly as practicable after the Agreement Date and in any event on or before the Outside Date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9" w:name="page30"/>
    <w:bookmarkEnd w:id="29"/>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(b) without limiting any other obligations set forth in this Agreement, keep the other Party reasonably apprised of the status of the matters relating to the completion of the transactions contemplated by this Agreement, including with respect to the negotiations relating to the satisfaction of the Closing Conditions of the other Party.</w:t>
      </w:r>
    </w:p>
    <w:p>
      <w:pPr>
        <w:spacing w:after="0" w:line="184" w:lineRule="exact"/>
        <w:rPr>
          <w:sz w:val="20"/>
          <w:szCs w:val="20"/>
          <w:color w:val="auto"/>
        </w:rPr>
      </w:pPr>
    </w:p>
    <w:p>
      <w:pPr>
        <w:ind w:firstLine="1983"/>
        <w:spacing w:after="0" w:line="287"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Casualty and Condemnation</w:t>
      </w:r>
      <w:r>
        <w:rPr>
          <w:rFonts w:ascii="Arial" w:cs="Arial" w:eastAsia="Arial" w:hAnsi="Arial"/>
          <w:sz w:val="16"/>
          <w:szCs w:val="16"/>
          <w:color w:val="auto"/>
        </w:rPr>
        <w:t>. If at any time prior to the Closing, (i) the Transferred Real Property or any portion thereof is damaged or destroyed as a result of any Casualty Event or (ii) any Condemnation occurs, Seller shall promptly give Buyer written notice thereof (which notice shall describe the Casualty Event or Condemnation, as applicable, and which portions of the Transferred Real Property were affected thereby). To the extent that EBH receives insurance proceeds from its insurance policies or condemnation proceeds in respect of the Casualty Event or Condemnation, EBH shall use such proceeds to repair such damage or destruction, or replace such taken property, as applicable, to the extent practicable prior to Closing. If as of the Closing, EBH, has not used all of such proceeds to repair such damage or destruction, or replace such taken property, as applicable, the Parties shall nevertheless be required to close the Transactions in accordance with this Agreement and the provisions of the Master Lease Agreement will apply with respect to the use and continued custody of such proceeds as if the Master Lease Agreement had been in effect as of the date of the Casualty Event or Condemnation. If as of the Closing, EBH has not received all or any portion of such insurance or condemnation proceeds, the Parties shall nevertheless be required to close the Transactions in accordance with this Agreement without any credit for such insurance or condemnation proceeds and the provisions of the Master Lease Agreement shall apply to such proceeds when received as if the Master Lease Agreement had been in effect as of the date of the Casualty Event or Condemnation.</w:t>
      </w:r>
    </w:p>
    <w:p>
      <w:pPr>
        <w:spacing w:after="0" w:line="168" w:lineRule="exact"/>
        <w:rPr>
          <w:sz w:val="20"/>
          <w:szCs w:val="20"/>
          <w:color w:val="auto"/>
        </w:rPr>
      </w:pPr>
    </w:p>
    <w:p>
      <w:pPr>
        <w:ind w:right="160" w:firstLine="1983"/>
        <w:spacing w:after="0" w:line="273"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Prorations</w:t>
      </w:r>
      <w:r>
        <w:rPr>
          <w:rFonts w:ascii="Arial" w:cs="Arial" w:eastAsia="Arial" w:hAnsi="Arial"/>
          <w:sz w:val="17"/>
          <w:szCs w:val="17"/>
          <w:color w:val="auto"/>
        </w:rPr>
        <w:t xml:space="preserve">. The Parties acknowledge and agree that Seller, as the tenant under the Master Lease Agreement, will be responsible for real property taxes, insurance premiums and operating expenses with respect to the Transferred Real Property after the Closing (whether such amounts accrued before or after Closing) as more fully set forth in the Master Lease Agreement. Monthly rent payable under the Master Lease Agreement shall be prorated based upon the actual number of days in the month in which the Closing occurs and shall be paid by Tenant at the Closing for the period commencing on the Closing and ending on the last day of the month in which the Closing occurs. There will be no other prorations at the Closing. The provisions of this </w:t>
      </w:r>
      <w:r>
        <w:rPr>
          <w:rFonts w:ascii="Arial" w:cs="Arial" w:eastAsia="Arial" w:hAnsi="Arial"/>
          <w:sz w:val="17"/>
          <w:szCs w:val="17"/>
          <w:u w:val="single" w:color="auto"/>
          <w:color w:val="auto"/>
        </w:rPr>
        <w:t>Section 5.07</w:t>
      </w:r>
      <w:r>
        <w:rPr>
          <w:rFonts w:ascii="Arial" w:cs="Arial" w:eastAsia="Arial" w:hAnsi="Arial"/>
          <w:sz w:val="17"/>
          <w:szCs w:val="17"/>
          <w:color w:val="auto"/>
        </w:rPr>
        <w:t xml:space="preserve"> shall survive the Closing.</w:t>
      </w:r>
    </w:p>
    <w:p>
      <w:pPr>
        <w:spacing w:after="0" w:line="178" w:lineRule="exact"/>
        <w:rPr>
          <w:sz w:val="20"/>
          <w:szCs w:val="20"/>
          <w:color w:val="auto"/>
        </w:rPr>
      </w:pPr>
    </w:p>
    <w:p>
      <w:pPr>
        <w:ind w:right="120" w:firstLine="1983"/>
        <w:spacing w:after="0" w:line="301"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Pre-Closing Reorganization</w:t>
      </w:r>
      <w:r>
        <w:rPr>
          <w:rFonts w:ascii="Arial" w:cs="Arial" w:eastAsia="Arial" w:hAnsi="Arial"/>
          <w:sz w:val="16"/>
          <w:szCs w:val="16"/>
          <w:color w:val="auto"/>
        </w:rPr>
        <w:t xml:space="preserve">. Prior to the Closing, Seller shall take, and shall cause its Affiliates to take, all necessary actions and steps to effectuate the transactions, including those relating to the Retained Liabilities and Excluded Assets,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(all such actions, the “</w:t>
      </w:r>
      <w:r>
        <w:rPr>
          <w:rFonts w:ascii="Arial" w:cs="Arial" w:eastAsia="Arial" w:hAnsi="Arial"/>
          <w:sz w:val="16"/>
          <w:szCs w:val="16"/>
          <w:b w:val="1"/>
          <w:bCs w:val="1"/>
          <w:color w:val="auto"/>
        </w:rPr>
        <w:t>Pre-Closing Reorganization</w:t>
      </w:r>
      <w:r>
        <w:rPr>
          <w:rFonts w:ascii="Arial" w:cs="Arial" w:eastAsia="Arial" w:hAnsi="Arial"/>
          <w:sz w:val="16"/>
          <w:szCs w:val="16"/>
          <w:color w:val="auto"/>
        </w:rPr>
        <w:t>”). Seller shall be entitled to modify or amend the actions and steps that comprise the Pre-Closing Restructuring from time to time subject to Buyer’s prior written consent, which shall not be unreasonably withheld, conditioned or delayed.</w:t>
      </w:r>
    </w:p>
    <w:p>
      <w:pPr>
        <w:spacing w:after="0" w:line="157" w:lineRule="exact"/>
        <w:rPr>
          <w:sz w:val="20"/>
          <w:szCs w:val="20"/>
          <w:color w:val="auto"/>
        </w:rPr>
      </w:pPr>
    </w:p>
    <w:p>
      <w:pPr>
        <w:ind w:right="100" w:firstLine="1983"/>
        <w:spacing w:after="0" w:line="26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Title, Survey and Zoning</w:t>
      </w:r>
      <w:r>
        <w:rPr>
          <w:rFonts w:ascii="Arial" w:cs="Arial" w:eastAsia="Arial" w:hAnsi="Arial"/>
          <w:sz w:val="18"/>
          <w:szCs w:val="18"/>
          <w:color w:val="auto"/>
        </w:rPr>
        <w:t>. Buyer acknowledges and agrees that, prior to the Agreement Date, Seller obtained and delivered to Buyer (a) one or more title commitments, dated not earlier than February 1, 2022, issued by the Title Company with respect to the Transferred Real Property (collectively, the “</w:t>
      </w:r>
      <w:r>
        <w:rPr>
          <w:rFonts w:ascii="Arial" w:cs="Arial" w:eastAsia="Arial" w:hAnsi="Arial"/>
          <w:sz w:val="18"/>
          <w:szCs w:val="18"/>
          <w:b w:val="1"/>
          <w:bCs w:val="1"/>
          <w:color w:val="auto"/>
        </w:rPr>
        <w:t>Title Commitment</w:t>
      </w:r>
      <w:r>
        <w:rPr>
          <w:rFonts w:ascii="Arial" w:cs="Arial" w:eastAsia="Arial" w:hAnsi="Arial"/>
          <w:sz w:val="18"/>
          <w:szCs w:val="18"/>
          <w:color w:val="auto"/>
        </w:rPr>
        <w:t>”), a copy of which 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0" w:name="page31"/>
    <w:bookmarkEnd w:id="30"/>
    <w:p>
      <w:pPr>
        <w:ind w:left="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(b) an “as built” survey of the Transferred Real Property prepared by Feldman Land Surveyors, dated February 9, 2022, a copy of which is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(the “</w:t>
      </w:r>
      <w:r>
        <w:rPr>
          <w:rFonts w:ascii="Arial" w:cs="Arial" w:eastAsia="Arial" w:hAnsi="Arial"/>
          <w:sz w:val="16"/>
          <w:szCs w:val="16"/>
          <w:b w:val="1"/>
          <w:bCs w:val="1"/>
          <w:color w:val="auto"/>
        </w:rPr>
        <w:t>Existing Survey</w:t>
      </w:r>
      <w:r>
        <w:rPr>
          <w:rFonts w:ascii="Arial" w:cs="Arial" w:eastAsia="Arial" w:hAnsi="Arial"/>
          <w:sz w:val="16"/>
          <w:szCs w:val="16"/>
          <w:color w:val="auto"/>
        </w:rPr>
        <w:t xml:space="preserve">”), and (c) a zoning report with respect to the Transferred Real Property prepared by Zoning-info, Inc., dated not earlier than February 1, 2022, a copy of which is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Zoning Report</w:t>
      </w:r>
      <w:r>
        <w:rPr>
          <w:rFonts w:ascii="Arial" w:cs="Arial" w:eastAsia="Arial" w:hAnsi="Arial"/>
          <w:sz w:val="16"/>
          <w:szCs w:val="16"/>
          <w:color w:val="auto"/>
        </w:rPr>
        <w:t>”).</w:t>
      </w:r>
    </w:p>
    <w:p>
      <w:pPr>
        <w:spacing w:after="0" w:line="149" w:lineRule="exact"/>
        <w:rPr>
          <w:sz w:val="20"/>
          <w:szCs w:val="20"/>
          <w:color w:val="auto"/>
        </w:rPr>
      </w:pPr>
    </w:p>
    <w:p>
      <w:pPr>
        <w:ind w:left="4" w:right="20" w:firstLine="1983"/>
        <w:spacing w:after="0" w:line="286"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Lien Release</w:t>
      </w:r>
      <w:r>
        <w:rPr>
          <w:rFonts w:ascii="Arial" w:cs="Arial" w:eastAsia="Arial" w:hAnsi="Arial"/>
          <w:sz w:val="17"/>
          <w:szCs w:val="17"/>
          <w:color w:val="auto"/>
        </w:rPr>
        <w:t>. At or prior to the Closing, Seller shall cause (i) the Transferred Interests to be released from any Liens securing the Current Financings (other than Liens permitted under the Master Lease Agreement) and (ii) any guaranty issued by EBH in favor of the secured lenders pursuant to the Current Financings to be terminated or EBH to be released therefrom.</w:t>
      </w:r>
    </w:p>
    <w:p>
      <w:pPr>
        <w:spacing w:after="0" w:line="165" w:lineRule="exact"/>
        <w:rPr>
          <w:sz w:val="20"/>
          <w:szCs w:val="20"/>
          <w:color w:val="auto"/>
        </w:rPr>
      </w:pPr>
    </w:p>
    <w:p>
      <w:pPr>
        <w:ind w:left="1984"/>
        <w:spacing w:after="0"/>
        <w:tabs>
          <w:tab w:leader="none" w:pos="3084"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Additional Transaction Documents</w:t>
      </w:r>
      <w:r>
        <w:rPr>
          <w:rFonts w:ascii="Arial" w:cs="Arial" w:eastAsia="Arial" w:hAnsi="Arial"/>
          <w:sz w:val="16"/>
          <w:szCs w:val="16"/>
          <w:color w:val="auto"/>
        </w:rPr>
        <w:t>.</w:t>
      </w:r>
    </w:p>
    <w:p>
      <w:pPr>
        <w:spacing w:after="0" w:line="225" w:lineRule="exact"/>
        <w:rPr>
          <w:sz w:val="20"/>
          <w:szCs w:val="20"/>
          <w:color w:val="auto"/>
        </w:rPr>
      </w:pPr>
    </w:p>
    <w:p>
      <w:pPr>
        <w:ind w:left="4" w:right="160" w:firstLine="1979"/>
        <w:spacing w:after="0" w:line="257" w:lineRule="auto"/>
        <w:tabs>
          <w:tab w:leader="none" w:pos="23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Between the date hereof and the Closing, Seller and Buyer shall prepare and finalize definitive versions of each Additional Transaction Document, which shall be in customary form and substance for agreements of such nature relating to real property (or, in the case of the equipment lease of the Battery Farm Equipment, relating to equipment of a similar nature) located in the Commonwealth (as shall be mutually agreed between Seller and Buyer, acting reasonably, and, with respect to any Additional Transaction to be filed or recorded, acceptable to the Title Company).</w:t>
      </w:r>
    </w:p>
    <w:p>
      <w:pPr>
        <w:spacing w:after="0" w:line="183" w:lineRule="exact"/>
        <w:rPr>
          <w:rFonts w:ascii="Arial" w:cs="Arial" w:eastAsia="Arial" w:hAnsi="Arial"/>
          <w:sz w:val="18"/>
          <w:szCs w:val="18"/>
          <w:color w:val="auto"/>
        </w:rPr>
      </w:pPr>
    </w:p>
    <w:p>
      <w:pPr>
        <w:ind w:left="2364" w:hanging="381"/>
        <w:spacing w:after="0"/>
        <w:tabs>
          <w:tab w:leader="none" w:pos="23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purpose of this Agreement, an “</w:t>
      </w:r>
      <w:r>
        <w:rPr>
          <w:rFonts w:ascii="Arial" w:cs="Arial" w:eastAsia="Arial" w:hAnsi="Arial"/>
          <w:sz w:val="18"/>
          <w:szCs w:val="18"/>
          <w:b w:val="1"/>
          <w:bCs w:val="1"/>
          <w:color w:val="auto"/>
        </w:rPr>
        <w:t>Additional Transaction Document</w:t>
      </w:r>
      <w:r>
        <w:rPr>
          <w:rFonts w:ascii="Arial" w:cs="Arial" w:eastAsia="Arial" w:hAnsi="Arial"/>
          <w:sz w:val="18"/>
          <w:szCs w:val="18"/>
          <w:color w:val="auto"/>
        </w:rPr>
        <w:t>” means each of the following:</w:t>
      </w:r>
    </w:p>
    <w:p>
      <w:pPr>
        <w:spacing w:after="0" w:line="229" w:lineRule="exact"/>
        <w:rPr>
          <w:sz w:val="20"/>
          <w:szCs w:val="20"/>
          <w:color w:val="auto"/>
        </w:rPr>
      </w:pPr>
    </w:p>
    <w:p>
      <w:pPr>
        <w:ind w:left="4" w:right="500" w:firstLine="1979"/>
        <w:spacing w:after="0" w:line="277" w:lineRule="auto"/>
        <w:tabs>
          <w:tab w:leader="none" w:pos="233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 assignment and assumption agreement whereby Everett Lessee assigns to MDC Holdings, and MDC Holdings assumes, the Ventouris Ground Lease (the “</w:t>
      </w:r>
      <w:r>
        <w:rPr>
          <w:rFonts w:ascii="Arial" w:cs="Arial" w:eastAsia="Arial" w:hAnsi="Arial"/>
          <w:sz w:val="18"/>
          <w:szCs w:val="18"/>
          <w:b w:val="1"/>
          <w:bCs w:val="1"/>
          <w:color w:val="auto"/>
        </w:rPr>
        <w:t>Ground Lease Assignment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firstLine="1979"/>
        <w:spacing w:after="0" w:line="259" w:lineRule="auto"/>
        <w:tabs>
          <w:tab w:leader="none" w:pos="23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 easement agreement whereby (A) Seller and Everett Lessee grant MDC Holdings a perpetual easement with respect to, or other rights to use of, the Service Road Easement Area, (B) Everett Lessee grants MDC Holdings a perpetual easement with respect to the Vigorito Leased Property and (C) Everett Lessee grants MDC Holdings a perpetual easement with respect to the Battery Farm Easement Area (the “</w:t>
      </w:r>
      <w:r>
        <w:rPr>
          <w:rFonts w:ascii="Arial" w:cs="Arial" w:eastAsia="Arial" w:hAnsi="Arial"/>
          <w:sz w:val="18"/>
          <w:szCs w:val="18"/>
          <w:b w:val="1"/>
          <w:bCs w:val="1"/>
          <w:color w:val="auto"/>
        </w:rPr>
        <w:t>Outparcels</w:t>
      </w:r>
      <w:r>
        <w:rPr>
          <w:rFonts w:ascii="Arial" w:cs="Arial" w:eastAsia="Arial" w:hAnsi="Arial"/>
          <w:sz w:val="18"/>
          <w:szCs w:val="18"/>
          <w:color w:val="auto"/>
        </w:rPr>
        <w:t xml:space="preserve"> </w:t>
      </w:r>
      <w:r>
        <w:rPr>
          <w:rFonts w:ascii="Arial" w:cs="Arial" w:eastAsia="Arial" w:hAnsi="Arial"/>
          <w:sz w:val="18"/>
          <w:szCs w:val="18"/>
          <w:b w:val="1"/>
          <w:bCs w:val="1"/>
          <w:color w:val="auto"/>
        </w:rPr>
        <w:t>Easement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4" w:right="140" w:firstLine="1979"/>
        <w:spacing w:after="0" w:line="287" w:lineRule="auto"/>
        <w:tabs>
          <w:tab w:leader="none" w:pos="2437"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a master agreement, whereby (A) Everett Lessee agrees to (x) perform all obligations of the lessee under the Vigorito Ground Lease, including the exercise of the purchase option thereunder (when the same shall be required pursuant to the express terms of the Vigorito Ground Lease;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Everett Lessee shall have the option to acquire fee ownership of the Vigorito Leased Property at any time) and</w:t>
      </w:r>
    </w:p>
    <w:p>
      <w:pPr>
        <w:spacing w:after="0" w:line="2" w:lineRule="exact"/>
        <w:rPr>
          <w:rFonts w:ascii="Arial" w:cs="Arial" w:eastAsia="Arial" w:hAnsi="Arial"/>
          <w:sz w:val="16"/>
          <w:szCs w:val="16"/>
          <w:color w:val="auto"/>
        </w:rPr>
      </w:pPr>
    </w:p>
    <w:p>
      <w:pPr>
        <w:ind w:left="4" w:hanging="4"/>
        <w:spacing w:after="0" w:line="253" w:lineRule="auto"/>
        <w:tabs>
          <w:tab w:leader="none" w:pos="2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the fee ownership interest in the Vigorito Leased Property to Buyer, at no cost, upon exercise of such purchase option (or other acquisition of the fee ownership interest in the Vigorito Leased Property) and (B) MDC Holdings agrees to perform all obligations of the lessee under the Vigorito Ground Lease relating to the easement with respect to the Easement Areas, which obligations are passed through to Tenant under the Master Lease Agreement (the “</w:t>
      </w:r>
      <w:r>
        <w:rPr>
          <w:rFonts w:ascii="Arial" w:cs="Arial" w:eastAsia="Arial" w:hAnsi="Arial"/>
          <w:sz w:val="18"/>
          <w:szCs w:val="18"/>
          <w:b w:val="1"/>
          <w:bCs w:val="1"/>
          <w:color w:val="auto"/>
        </w:rPr>
        <w:t>Master Agreement</w:t>
      </w:r>
      <w:r>
        <w:rPr>
          <w:rFonts w:ascii="Arial" w:cs="Arial" w:eastAsia="Arial" w:hAnsi="Arial"/>
          <w:sz w:val="18"/>
          <w:szCs w:val="18"/>
          <w:color w:val="auto"/>
        </w:rPr>
        <w: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1" w:name="page32"/>
    <w:bookmarkEnd w:id="31"/>
    <w:p>
      <w:pPr>
        <w:ind w:left="2424" w:hanging="441"/>
        <w:spacing w:after="0"/>
        <w:tabs>
          <w:tab w:leader="none" w:pos="2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guaranty of Everett Lessee’s obligations under the Master Agreement, executed by Guarantor;</w:t>
      </w:r>
    </w:p>
    <w:p>
      <w:pPr>
        <w:spacing w:after="0" w:line="225" w:lineRule="exact"/>
        <w:rPr>
          <w:rFonts w:ascii="Arial" w:cs="Arial" w:eastAsia="Arial" w:hAnsi="Arial"/>
          <w:sz w:val="18"/>
          <w:szCs w:val="18"/>
          <w:color w:val="auto"/>
        </w:rPr>
      </w:pPr>
    </w:p>
    <w:p>
      <w:pPr>
        <w:ind w:left="4" w:right="620" w:firstLine="1979"/>
        <w:spacing w:after="0" w:line="308" w:lineRule="auto"/>
        <w:tabs>
          <w:tab w:leader="none" w:pos="2377"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long-term equipment lease, for the length of the Outparcels Easement, by Everett Lessee of the Battery Farm Equipment to MDC Holdings, where Everett Lessee leases to MDC Holdings the Battery Farm Equipment at no cost to EBH; and</w:t>
      </w:r>
    </w:p>
    <w:p>
      <w:pPr>
        <w:spacing w:after="0" w:line="146" w:lineRule="exact"/>
        <w:rPr>
          <w:rFonts w:ascii="Arial" w:cs="Arial" w:eastAsia="Arial" w:hAnsi="Arial"/>
          <w:sz w:val="17"/>
          <w:szCs w:val="17"/>
          <w:color w:val="auto"/>
        </w:rPr>
      </w:pPr>
    </w:p>
    <w:p>
      <w:pPr>
        <w:ind w:left="4" w:right="580" w:firstLine="1979"/>
        <w:spacing w:after="0" w:line="277" w:lineRule="auto"/>
        <w:tabs>
          <w:tab w:leader="none" w:pos="242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applicable transfer declarations, affidavits and other forms and instruments required by Law or reasonably requested by the Title Company in connection with any of the foregoing.</w:t>
      </w:r>
    </w:p>
    <w:p>
      <w:pPr>
        <w:spacing w:after="0" w:line="170" w:lineRule="exact"/>
        <w:rPr>
          <w:sz w:val="20"/>
          <w:szCs w:val="20"/>
          <w:color w:val="auto"/>
        </w:rPr>
      </w:pPr>
    </w:p>
    <w:p>
      <w:pPr>
        <w:ind w:left="1984"/>
        <w:spacing w:after="0"/>
        <w:tabs>
          <w:tab w:leader="none" w:pos="3084"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Gaming Matters</w:t>
      </w:r>
      <w:r>
        <w:rPr>
          <w:rFonts w:ascii="Arial" w:cs="Arial" w:eastAsia="Arial" w:hAnsi="Arial"/>
          <w:sz w:val="16"/>
          <w:szCs w:val="16"/>
          <w:color w:val="auto"/>
        </w:rPr>
        <w:t>.</w:t>
      </w:r>
    </w:p>
    <w:p>
      <w:pPr>
        <w:spacing w:after="0" w:line="225" w:lineRule="exact"/>
        <w:rPr>
          <w:sz w:val="20"/>
          <w:szCs w:val="20"/>
          <w:color w:val="auto"/>
        </w:rPr>
      </w:pPr>
    </w:p>
    <w:p>
      <w:pPr>
        <w:ind w:left="2364" w:hanging="381"/>
        <w:spacing w:after="0"/>
        <w:tabs>
          <w:tab w:leader="none" w:pos="2364" w:val="left"/>
        </w:tabs>
        <w:numPr>
          <w:ilvl w:val="1"/>
          <w:numId w:val="40"/>
        </w:numPr>
        <w:rPr>
          <w:rFonts w:ascii="Arial" w:cs="Arial" w:eastAsia="Arial" w:hAnsi="Arial"/>
          <w:sz w:val="16"/>
          <w:szCs w:val="16"/>
          <w:color w:val="auto"/>
        </w:rPr>
      </w:pPr>
      <w:r>
        <w:rPr>
          <w:rFonts w:ascii="Arial" w:cs="Arial" w:eastAsia="Arial" w:hAnsi="Arial"/>
          <w:sz w:val="16"/>
          <w:szCs w:val="16"/>
          <w:color w:val="auto"/>
        </w:rPr>
        <w:t>Buyer acknowledges and agrees that, in accordance with the Gaming Laws as promulgated by the Gaming Authority,</w:t>
      </w:r>
    </w:p>
    <w:p>
      <w:pPr>
        <w:spacing w:after="0" w:line="46" w:lineRule="exact"/>
        <w:rPr>
          <w:rFonts w:ascii="Arial" w:cs="Arial" w:eastAsia="Arial" w:hAnsi="Arial"/>
          <w:sz w:val="16"/>
          <w:szCs w:val="16"/>
          <w:color w:val="auto"/>
        </w:rPr>
      </w:pPr>
    </w:p>
    <w:p>
      <w:pPr>
        <w:ind w:left="4" w:hanging="4"/>
        <w:spacing w:after="0" w:line="281" w:lineRule="auto"/>
        <w:tabs>
          <w:tab w:leader="none" w:pos="2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required by the Gaming Authority, Buyer and its Subsidiaries will deposit all Transferred Interests, and all of Buyer and its Subsidiaries’ rights relating thereto, into the Trust (as defined in the Trust Agreement) and (ii) Buyer and its Subsidiaries are subject to the terms and conditions of the Trust Agreement, including Section 3(ii) thereof relating to the Gaming Authority’s issuance of a final negative determination of suitability pursuant to</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205 CMR 115.00.</w:t>
      </w:r>
    </w:p>
    <w:p>
      <w:pPr>
        <w:spacing w:after="0" w:line="210" w:lineRule="exact"/>
        <w:rPr>
          <w:rFonts w:ascii="Arial" w:cs="Arial" w:eastAsia="Arial" w:hAnsi="Arial"/>
          <w:sz w:val="16"/>
          <w:szCs w:val="16"/>
          <w:color w:val="auto"/>
        </w:rPr>
      </w:pPr>
    </w:p>
    <w:p>
      <w:pPr>
        <w:jc w:val="both"/>
        <w:ind w:left="4" w:right="100" w:firstLine="1979"/>
        <w:spacing w:after="0" w:line="263" w:lineRule="auto"/>
        <w:tabs>
          <w:tab w:leader="none" w:pos="2377"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of Buyer and Seller acknowledge and agree that the transactions contemplated by this Agreement are subject to the Gaming Laws of the Commonwealth and the authority of the Gaming Authority granted thereunder. Buyer and Seller will agree to such changes to the Trust Agreement as are required by the Gaming Authority.</w:t>
      </w:r>
    </w:p>
    <w:p>
      <w:pPr>
        <w:spacing w:after="0" w:line="183" w:lineRule="exact"/>
        <w:rPr>
          <w:rFonts w:ascii="Arial" w:cs="Arial" w:eastAsia="Arial" w:hAnsi="Arial"/>
          <w:sz w:val="18"/>
          <w:szCs w:val="18"/>
          <w:color w:val="auto"/>
        </w:rPr>
      </w:pPr>
    </w:p>
    <w:p>
      <w:pPr>
        <w:ind w:left="4" w:right="20" w:firstLine="1979"/>
        <w:spacing w:after="0" w:line="255" w:lineRule="auto"/>
        <w:tabs>
          <w:tab w:leader="none" w:pos="2366" w:val="left"/>
        </w:tabs>
        <w:numPr>
          <w:ilvl w:val="1"/>
          <w:numId w:val="41"/>
        </w:numPr>
        <w:rPr>
          <w:rFonts w:ascii="Arial" w:cs="Arial" w:eastAsia="Arial" w:hAnsi="Arial"/>
          <w:sz w:val="18"/>
          <w:szCs w:val="18"/>
          <w:color w:val="auto"/>
        </w:rPr>
      </w:pPr>
      <w:r>
        <w:rPr>
          <w:rFonts w:ascii="Arial" w:cs="Arial" w:eastAsia="Arial" w:hAnsi="Arial"/>
          <w:sz w:val="18"/>
          <w:szCs w:val="18"/>
          <w:color w:val="auto"/>
        </w:rPr>
        <w:t>Buyer acknowledges and agrees that (i) Seller is an intended third party beneficiary of, and will have the rights granted to it pursuant to, Section 2(h) and Section 3 of the Trust Agreement, Seller may directly enforce each of such covenants and agreements and Buyer will take such actions as are reasonably required to enable Seller to exercise, in full, the foregoing rights, (ii) the Trust Agreement shall not be amended without the prior written consent of Seller and the Gaming Authority and (iii) no succeeding or additional trustee may be appointed, or any trustee removed, pursuant to Section 6 of the Trust Agreement without, in each case, the prior written approval of Seller (and, for clarity, the Gaming Authority).</w:t>
      </w:r>
    </w:p>
    <w:p>
      <w:pPr>
        <w:spacing w:after="0" w:line="192" w:lineRule="exact"/>
        <w:rPr>
          <w:rFonts w:ascii="Arial" w:cs="Arial" w:eastAsia="Arial" w:hAnsi="Arial"/>
          <w:sz w:val="18"/>
          <w:szCs w:val="18"/>
          <w:color w:val="auto"/>
        </w:rPr>
      </w:pPr>
    </w:p>
    <w:p>
      <w:pPr>
        <w:ind w:left="4" w:right="100" w:firstLine="1979"/>
        <w:spacing w:after="0" w:line="273" w:lineRule="auto"/>
        <w:tabs>
          <w:tab w:leader="none" w:pos="2377"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Each of Buyer and Seller acknowledge and agree that if Seller makes an election pursuant to Section 2(h) of the Trust Agreement for the Transferred Interests to be transferred to Seller, (i) Seller will hold any payments due to Buyer or its Subsidiaries pursuant to the Master Lease Agreement in a separate escrow account, in trust for Buyer (or Seller, if such sums are to be released to Seller pursuant to the Trust Agreement), (ii) if the Gaming Authority issues a final positive determination of suitability of Buyer and its Subsidiaries then Section 3(i) of the Trust Agreement will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and (iii) if the Gaming Authority issues a final negative determination of suitability of Buyer and its Subsidiaries then Section 3(ii) of the Trust Agreement will apply, </w:t>
      </w:r>
      <w:r>
        <w:rPr>
          <w:rFonts w:ascii="Arial" w:cs="Arial" w:eastAsia="Arial" w:hAnsi="Arial"/>
          <w:sz w:val="17"/>
          <w:szCs w:val="17"/>
          <w:i w:val="1"/>
          <w:iCs w:val="1"/>
          <w:color w:val="auto"/>
        </w:rPr>
        <w:t>mutatis mutandis.</w:t>
      </w:r>
    </w:p>
    <w:p>
      <w:pPr>
        <w:spacing w:after="0" w:line="178" w:lineRule="exact"/>
        <w:rPr>
          <w:sz w:val="20"/>
          <w:szCs w:val="20"/>
          <w:color w:val="auto"/>
        </w:rPr>
      </w:pPr>
    </w:p>
    <w:p>
      <w:pPr>
        <w:ind w:left="4" w:right="620" w:firstLine="1983"/>
        <w:spacing w:after="0" w:line="27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“As Is” Sale</w:t>
      </w:r>
      <w:r>
        <w:rPr>
          <w:rFonts w:ascii="Arial" w:cs="Arial" w:eastAsia="Arial" w:hAnsi="Arial"/>
          <w:sz w:val="18"/>
          <w:szCs w:val="18"/>
          <w:color w:val="auto"/>
        </w:rPr>
        <w:t>. BUYER ACKNOWLEDGES AND AGREES, THAT, EXCEPT FOR THE EXPRESS REPRESENTATIONS AND WARRANTIES OF</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4"/>
          </w:cols>
          <w:pgMar w:left="436" w:top="274" w:right="519" w:bottom="1440" w:gutter="0" w:footer="0" w:header="0"/>
        </w:sectPr>
      </w:pPr>
    </w:p>
    <w:bookmarkStart w:id="32" w:name="page33"/>
    <w:bookmarkEnd w:id="3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SELLER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THE COVENANTS AND INDEMNITIES SET FORTH IN </w:t>
      </w:r>
      <w:r>
        <w:rPr>
          <w:rFonts w:ascii="Arial" w:cs="Arial" w:eastAsia="Arial" w:hAnsi="Arial"/>
          <w:sz w:val="17"/>
          <w:szCs w:val="17"/>
          <w:u w:val="single" w:color="auto"/>
          <w:color w:val="auto"/>
        </w:rPr>
        <w:t>ARTICLES 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(COLLECTIVELY, THE “EXPRESS REPRESENTATIONS, COVENANTS AND INDEMNITIES”), AND SUBJECT TO ALL QUALIFICATIONS AND LIMITATIONS THEREON AS SET FORTH IN THIS AGREEMENT, SELLER HAS NOT MADE, DOES NOT MAKE AND SPECIFICALLY NEGATES AND DISCLAIMS ANY REPRESENTATIONS, WARRANTIES OR GUARANTIES OF ANY KIND OR CHARACTER WHATSOEVER, WHETHER EXPRESS OR IMPLIED, ORAL OR WRITTEN, PAST, PRESENT OR FUTURE, OF, AS, TO, CONCERNING OR WITH RESPECT TO: (I) EBH, THE TRANSFERRED EQUITY INTERESTS OR THE TRANSFERRED REAL PROPERTY; (II) THE MERCHANTABILITY, MARKETABILITY, PROFITABILITY OR FITNESS FOR A PARTICULAR PURPOSE OF THE TRANSFERRED REAL PROPERTY; (III) THE MANNER, QUALITY, STATE OF REPAIR OR LACK OF REPAIR OF THE REAL PROPERTY; (IV) THE NATURE, QUALITY OR CONDITION OF THE TRANSFERRED REAL PROPERTY; (V) THE COMPLIANCE OF OR BY EBH AND THE TRANSFERRED REAL PROPERTY OR THE BUSINESS AS CONDUCTED BY SELLER OR ITS AFFILIATES THEREON WITH ANY LAWS, RULES, ORDERS, ORDINANCES OR REGULATIONS OF ANY APPLICABLE GOVERNMENT AUTHORITY, INCLUDING APPLICABLE ENVIRONMENTAL LAWS; (VI) THE CONTENT, COMPLETENESS OR ACCURACY OF THE INFORMATION PROVIDED IN THE DATA ROOM OR ANY DOCUMENTS CONTAINED THEREIN; (VII) THE CONFORMITY OF THE TRANSFERRED REAL PROPERTY TO PAST, CURRENT OR FUTURE APPLICABLE ZONING OR BUILDING REQUIREMENTS; (VIII) THE FACT THAT ALL OR A PORTION OF THE TRANSFERRED REAL PROPERTY MAY BE LOCATED ON OR NEAR AN EARTHQUAKE FAULT LINE OR IN A WETLAND, FLOOD PLAIN OR FLOOD INSURANCE AREA, INCLUDING ANY AREA DETERMINED BY THE DEPARTMENT OF HOUSING AND URBAN DEVELOPMENT TO BE IN A FLOOD ZONE UNDER THE FEDERAL FLOOD PROTECTION ACT OF 1973; (IX) THE EXISTENCE OF VESTED LAND USE, ZONING OR BUILDING ENTITLEMENTS AFFECTING THE TRANSFERRED REAL PROPERTY; OR (X) ANY OTHER MATTER WHATSOEVER. BUYER FURTHER ACKNOWLEDGES AND AGREES THAT, SUBJECT TO THE EXPRESS REPRESENTATIONS, COVENANTS AND INDEMNITIES, TO THE MAXIMUM EXTENT PERMITTED BY LAW, THE SALE OF THE TRANSFERRED EQUITY INTERESTS AND, INDIRECTLY, OF THE TRANSFERRED REAL PROPERTY AS PROVIDED FOR HEREIN IS MADE ON AN “AS IS” CONDITION AND BASIS WITH ALL FAULTS AND DEFECTS.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5"/>
          <w:szCs w:val="15"/>
          <w:u w:val="single" w:color="auto"/>
          <w:color w:val="auto"/>
        </w:rPr>
        <w:t>Tax Returns; Tax Proceedings</w:t>
      </w:r>
      <w:r>
        <w:rPr>
          <w:rFonts w:ascii="Arial" w:cs="Arial" w:eastAsia="Arial" w:hAnsi="Arial"/>
          <w:sz w:val="15"/>
          <w:szCs w:val="15"/>
          <w:color w:val="auto"/>
        </w:rPr>
        <w:t>.</w:t>
      </w:r>
    </w:p>
    <w:p>
      <w:pPr>
        <w:spacing w:after="0" w:line="225" w:lineRule="exact"/>
        <w:rPr>
          <w:sz w:val="20"/>
          <w:szCs w:val="20"/>
          <w:color w:val="auto"/>
        </w:rPr>
      </w:pPr>
    </w:p>
    <w:p>
      <w:pPr>
        <w:ind w:right="40" w:firstLine="1979"/>
        <w:spacing w:after="0" w:line="259" w:lineRule="auto"/>
        <w:tabs>
          <w:tab w:leader="none" w:pos="22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Seller shall prepare and timely file (or cause to be prepared and timely filed) when due (i) all Pass-Through Tax Returns for EBH that relate solely to Pre-Closing Tax Periods (not including any Straddle Period) and (ii) all sales Tax returns related to the personal property of EBH that relate to Pre-Closing Tax Periods (including any Straddle Period), in each case, that are due after the Closing (taking into account extensions) (collectively,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33" w:name="page34"/>
    <w:bookmarkEnd w:id="33"/>
    <w:p>
      <w:pPr>
        <w:ind w:right="1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t>
      </w:r>
      <w:r>
        <w:rPr>
          <w:rFonts w:ascii="Arial" w:cs="Arial" w:eastAsia="Arial" w:hAnsi="Arial"/>
          <w:sz w:val="18"/>
          <w:szCs w:val="18"/>
          <w:b w:val="1"/>
          <w:bCs w:val="1"/>
          <w:color w:val="auto"/>
        </w:rPr>
        <w:t>Seller Prepared Tax Returns</w:t>
      </w:r>
      <w:r>
        <w:rPr>
          <w:rFonts w:ascii="Arial" w:cs="Arial" w:eastAsia="Arial" w:hAnsi="Arial"/>
          <w:sz w:val="18"/>
          <w:szCs w:val="18"/>
          <w:color w:val="auto"/>
        </w:rPr>
        <w:t>”), and Seller shall timely pay, or cause to be timely paid, all Taxes due with respect to any such Seller Prepared Tax Returns. At least ten(10) days prior to filing any Seller Prepared Tax Return, Seller shall submit a copy of such Tax Return to Buyer for Buyer’s review and comment. Seller shall consider in good faith any comments that Buyer submits to Seller and, to the extent agreed to by Seller, incorporate such comments into Seller Prepared Tax Return.</w:t>
      </w:r>
    </w:p>
    <w:p>
      <w:pPr>
        <w:spacing w:after="0" w:line="184" w:lineRule="exact"/>
        <w:rPr>
          <w:sz w:val="20"/>
          <w:szCs w:val="20"/>
          <w:color w:val="auto"/>
        </w:rPr>
      </w:pPr>
    </w:p>
    <w:p>
      <w:pPr>
        <w:ind w:right="20" w:firstLine="1979"/>
        <w:spacing w:after="0" w:line="271" w:lineRule="auto"/>
        <w:tabs>
          <w:tab w:leader="none" w:pos="2373"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the Master Lease Agreement, Buyer shall prepare and timely file (or cause to be prepared and timely filed) when due all Tax Returns (other than Seller-Prepared Tax Returns to be filed by Seller in accordance with </w:t>
      </w:r>
      <w:r>
        <w:rPr>
          <w:rFonts w:ascii="Arial" w:cs="Arial" w:eastAsia="Arial" w:hAnsi="Arial"/>
          <w:sz w:val="17"/>
          <w:szCs w:val="17"/>
          <w:u w:val="single" w:color="auto"/>
          <w:color w:val="auto"/>
        </w:rPr>
        <w:t>Section 6.01(a)</w:t>
      </w:r>
      <w:r>
        <w:rPr>
          <w:rFonts w:ascii="Arial" w:cs="Arial" w:eastAsia="Arial" w:hAnsi="Arial"/>
          <w:sz w:val="17"/>
          <w:szCs w:val="17"/>
          <w:color w:val="auto"/>
        </w:rPr>
        <w:t>) that are required to be filed by or with respect to EBH for any Pre-Closing Tax Period that are due after the Closing (taking into account extensions), including any Tax Returns with respect to a Straddle Period (collectively, the “</w:t>
      </w:r>
      <w:r>
        <w:rPr>
          <w:rFonts w:ascii="Arial" w:cs="Arial" w:eastAsia="Arial" w:hAnsi="Arial"/>
          <w:sz w:val="17"/>
          <w:szCs w:val="17"/>
          <w:u w:val="single" w:color="auto"/>
          <w:color w:val="auto"/>
        </w:rPr>
        <w:t>Buyer Prepared Tax Returns</w:t>
      </w:r>
      <w:r>
        <w:rPr>
          <w:rFonts w:ascii="Arial" w:cs="Arial" w:eastAsia="Arial" w:hAnsi="Arial"/>
          <w:sz w:val="17"/>
          <w:szCs w:val="17"/>
          <w:color w:val="auto"/>
        </w:rPr>
        <w:t xml:space="preserve">”). Seller shall pay, or cause to be paid, to Buyer an amount equal to all Taxes with respect to such Buyer Prepared Tax Returns that are allocable to a Pre-Closing Tax Period or the portion of the Straddle Period ending on the Closing Date as determined pursuant to </w:t>
      </w:r>
      <w:r>
        <w:rPr>
          <w:rFonts w:ascii="Arial" w:cs="Arial" w:eastAsia="Arial" w:hAnsi="Arial"/>
          <w:sz w:val="17"/>
          <w:szCs w:val="17"/>
          <w:u w:val="single" w:color="auto"/>
          <w:color w:val="auto"/>
        </w:rPr>
        <w:t>Section 6.01(e)</w:t>
      </w:r>
      <w:r>
        <w:rPr>
          <w:rFonts w:ascii="Arial" w:cs="Arial" w:eastAsia="Arial" w:hAnsi="Arial"/>
          <w:sz w:val="17"/>
          <w:szCs w:val="17"/>
          <w:color w:val="auto"/>
        </w:rPr>
        <w:t>. At least ten (10) days prior to filing any such Tax Return, Buyer shall submit a copy of such Tax Return to Seller for Seller’s review and comment. Buyer shall consider in good faith any comment that Seller submits to Buyer no less than five (5) days prior to the due date of such Tax Returns.</w:t>
      </w:r>
    </w:p>
    <w:p>
      <w:pPr>
        <w:spacing w:after="0" w:line="178" w:lineRule="exact"/>
        <w:rPr>
          <w:rFonts w:ascii="Arial" w:cs="Arial" w:eastAsia="Arial" w:hAnsi="Arial"/>
          <w:sz w:val="17"/>
          <w:szCs w:val="17"/>
          <w:color w:val="auto"/>
        </w:rPr>
      </w:pPr>
    </w:p>
    <w:p>
      <w:pPr>
        <w:ind w:firstLine="1979"/>
        <w:spacing w:after="0" w:line="268" w:lineRule="auto"/>
        <w:tabs>
          <w:tab w:leader="none" w:pos="2362"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Except as otherwise provided in the Master Lease Agreement, Buyer and its Affiliates, on the one hand, and Seller and its Affiliates, on the other hand, shall promptly notify each other upon receipt by such Party of written notice of any Tax Proceeding of EBH relating to a Pre-Closing Tax Period or a Straddle Period (any such Tax Proceeding, an “</w:t>
      </w:r>
      <w:r>
        <w:rPr>
          <w:rFonts w:ascii="Arial" w:cs="Arial" w:eastAsia="Arial" w:hAnsi="Arial"/>
          <w:sz w:val="17"/>
          <w:szCs w:val="17"/>
          <w:b w:val="1"/>
          <w:bCs w:val="1"/>
          <w:color w:val="auto"/>
        </w:rPr>
        <w:t>EBH Tax Proceeding</w:t>
      </w:r>
      <w:r>
        <w:rPr>
          <w:rFonts w:ascii="Arial" w:cs="Arial" w:eastAsia="Arial" w:hAnsi="Arial"/>
          <w:sz w:val="17"/>
          <w:szCs w:val="17"/>
          <w:color w:val="auto"/>
        </w:rPr>
        <w:t xml:space="preserve">”). Any failure to so notify the other Party of any such EBH Tax Proceeding shall not relieve such other Party of any liability with respect to such EBH Tax Proceeding except to the extent such Party was actually prejudiced as a result thereof. Seller shall control at its sole cost and expense the conduct of any EBH Tax Proceeding to the extent such EBH Tax Proceeding relates to a Pass-Through Tax Return of EBH for a Pre-Closing Tax Period (excluding any Straddle Period) or other Seller Prepared Tax Return, including settlement or compromise thereof; provided that, to the extent such EBH Tax Proceeding could reasonably be expected to affect Taxes of EBH or any of its Affiliates in a taxable period beginning after the Closing Date or the portion of a Straddle Period beginning after the Closing Date, Seller shall not settle or compromise such EBH Tax Proceeding without obtaining the prior written consent of Buyer, which consent shall not be unreasonably withheld, conditioned or delayed. Buyer shall control the conduct of any other EBH Tax Proceeding, including any settlement or compromise thereof; provided, however, that (i) Buyer shall keep Seller reasonably informed of the progress of any EBH Tax Proceeding, and (ii) Seller shall be entitled to participate in any EBH Tax Proceeding at Seller’s sole cost and expense. Buyer shall not settle or compromise any such EBH Tax Proceeding for which the Seller is liable pursuant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without obtaining the prior written consent of Seller, which consent shall not be unreasonably withheld, conditioned or delayed.</w:t>
      </w:r>
    </w:p>
    <w:p>
      <w:pPr>
        <w:spacing w:after="0" w:line="184" w:lineRule="exact"/>
        <w:rPr>
          <w:rFonts w:ascii="Arial" w:cs="Arial" w:eastAsia="Arial" w:hAnsi="Arial"/>
          <w:sz w:val="17"/>
          <w:szCs w:val="17"/>
          <w:color w:val="auto"/>
        </w:rPr>
      </w:pPr>
    </w:p>
    <w:p>
      <w:pPr>
        <w:ind w:right="400" w:firstLine="1979"/>
        <w:spacing w:after="0" w:line="342" w:lineRule="auto"/>
        <w:tabs>
          <w:tab w:leader="none" w:pos="236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the extent permitted or required by applicable Law, the Parties shall treat the Closing Date as the last day of the taxable period of EBH for all tax purposes. Seller shall retain responsibility for, and shall bear, any Taxes of EBH and the Transferred Land,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34" w:name="page35"/>
    <w:bookmarkEnd w:id="34"/>
    <w:p>
      <w:pPr>
        <w:ind w:left="4"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EBH Improvements and the Outparcels Easement with respect to any Pre-Closing Tax Period and the portion of any Straddle Period ending on the Closing Date. Seller shall be entitled to any and all refunds of Taxes of EBH allocable to any Pre-Closing Tax Period and the portion of any Straddle Period ending on the Closing Date. If Buyer receives a refund of any Taxes to which Seller is entitled pursuant to this </w:t>
      </w:r>
      <w:r>
        <w:rPr>
          <w:rFonts w:ascii="Arial" w:cs="Arial" w:eastAsia="Arial" w:hAnsi="Arial"/>
          <w:sz w:val="16"/>
          <w:szCs w:val="16"/>
          <w:u w:val="single" w:color="auto"/>
          <w:color w:val="auto"/>
        </w:rPr>
        <w:t>Section 6.01(d)</w:t>
      </w:r>
      <w:r>
        <w:rPr>
          <w:rFonts w:ascii="Arial" w:cs="Arial" w:eastAsia="Arial" w:hAnsi="Arial"/>
          <w:sz w:val="16"/>
          <w:szCs w:val="16"/>
          <w:color w:val="auto"/>
        </w:rPr>
        <w:t>, Buyer shall promptly pay such amount to Seller Party, net of any reasonable costs or expenses incurred by Buyer and its Affiliates in procuring such refund. The portion of any Tax that is allocable to the portion of the Straddle Period that is deemed to end on the Closing Date will be (i) in the case of Property Taxes, deemed to be the amount of such Taxes for the entire Straddle Period multiplied by a fraction, the numerator of which is the number of calendar days of such Straddle Period in the Pre-Closing Tax Period and the denominator of which is the number of calendar days in the entire Straddle Period, and (ii) in the case of all other Taxes, determined as though the taxable year of EBH terminated at the close of business on the Closing Date; provided, that notwithstanding the foregoing, the liability for any Property Taxes will be governed solely by the Master Lease Agreement to the extent specifically addressed therein, pursuant to which Tenant shall be responsible for Property Taxes attributable to the period before and after the Closing Date.</w:t>
      </w:r>
    </w:p>
    <w:p>
      <w:pPr>
        <w:spacing w:after="0" w:line="168" w:lineRule="exact"/>
        <w:rPr>
          <w:sz w:val="20"/>
          <w:szCs w:val="20"/>
          <w:color w:val="auto"/>
        </w:rPr>
      </w:pPr>
    </w:p>
    <w:p>
      <w:pPr>
        <w:ind w:left="4" w:firstLine="1979"/>
        <w:spacing w:after="0" w:line="270" w:lineRule="auto"/>
        <w:tabs>
          <w:tab w:leader="none" w:pos="2366" w:val="left"/>
        </w:tabs>
        <w:numPr>
          <w:ilvl w:val="1"/>
          <w:numId w:val="44"/>
        </w:numPr>
        <w:rPr>
          <w:rFonts w:ascii="Arial" w:cs="Arial" w:eastAsia="Arial" w:hAnsi="Arial"/>
          <w:sz w:val="17"/>
          <w:szCs w:val="17"/>
          <w:color w:val="auto"/>
        </w:rPr>
      </w:pPr>
      <w:r>
        <w:rPr>
          <w:rFonts w:ascii="Arial" w:cs="Arial" w:eastAsia="Arial" w:hAnsi="Arial"/>
          <w:sz w:val="17"/>
          <w:szCs w:val="17"/>
          <w:color w:val="auto"/>
        </w:rPr>
        <w:t>Seller and Buyer shall furnish or cause to be furnished to each other, as promptly as practicable following any written request from the other Party, such information and assistance relating to EBH as is reasonably necessary for (i) the filing of all Tax Returns, (ii) the making of any election related to Taxes, (iii) the determination of the effect of the Transactions on Buyer’s or its Affiliates’ status as a real estate investment trust within the meaning of Section 856 of the Code, or (iv) the or the preparation for, or the prosecution or defense of, any Tax Proceeding. Each Party shall preserve and keep, or cause to be preserved and kept, all books and records in respect of EBH relating to any Taxes with respect to all Pre-Closing Tax Periods and Straddle Periods for at least seven (7) years following the Closing. Notwithstanding anything to the contrary in this Agreement, in no event shall Seller or any of its Affiliates be required to disclose or provide access to any Tax Return of Seller or any of its Affiliates, or any consolidated, combined, affiliated, aggregate, unitary, or similar Tax Return that includes the Seller or any of its Affiliates, other than portions of such Tax Return reasonably relating to EBH.</w:t>
      </w:r>
    </w:p>
    <w:p>
      <w:pPr>
        <w:spacing w:after="0" w:line="180" w:lineRule="exact"/>
        <w:rPr>
          <w:rFonts w:ascii="Arial" w:cs="Arial" w:eastAsia="Arial" w:hAnsi="Arial"/>
          <w:sz w:val="17"/>
          <w:szCs w:val="17"/>
          <w:color w:val="auto"/>
        </w:rPr>
      </w:pPr>
    </w:p>
    <w:p>
      <w:pPr>
        <w:ind w:left="4" w:right="260" w:firstLine="1979"/>
        <w:spacing w:after="0" w:line="286" w:lineRule="auto"/>
        <w:tabs>
          <w:tab w:leader="none" w:pos="23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Buyer shall not (and shall cause each of its Affiliates not to) (i) make, change or revoke any Tax election, (ii) amend, refile or otherwise modify any Tax Return, (iii) voluntarily approach or initiate discussions with any Taxing Authority regarding any Taxes or Tax Returns, (iv) enter into any closing agreement with respect to Taxes, (v) settle or surrender any Tax Proceeding, (vi) extend or waive any statute of limitations with respect to any Taxes or Tax Returns, (vii) surrender or fail to claim any refund or credit (or right to a refund or credit) of Taxes,</w:t>
      </w:r>
    </w:p>
    <w:p>
      <w:pPr>
        <w:spacing w:after="0" w:line="1" w:lineRule="exact"/>
        <w:rPr>
          <w:rFonts w:ascii="Arial" w:cs="Arial" w:eastAsia="Arial" w:hAnsi="Arial"/>
          <w:sz w:val="16"/>
          <w:szCs w:val="16"/>
          <w:color w:val="auto"/>
        </w:rPr>
      </w:pPr>
    </w:p>
    <w:p>
      <w:pPr>
        <w:ind w:left="4" w:hanging="4"/>
        <w:spacing w:after="0" w:line="252" w:lineRule="auto"/>
        <w:tabs>
          <w:tab w:leader="none" w:pos="40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any method of accounting for Tax purposes or Tax accounting period, or (ix) take any action on the Closing Date after the Closing outside the ordinary course of business, in each case relating in whole or in part to EBH with respect to any Pre-Closing Tax Period and that would reasonably be expected to result in a more than de minimis increase to Seller’s Tax liability or indemnification obligations under this Agreement, except (A) as provided in Section 6.01(c) or (B) with the consent of Seller (such consent not to be unreasonably withheld, conditioned or delayed). Notwithstanding the foregoing, EBH shall make an election under Section 6226(a) of the Code with respect to any Pre-Closing Tax Period and any Straddle Period, to the extent it is eligible to do so under applicable Law.</w:t>
      </w:r>
    </w:p>
    <w:p>
      <w:pPr>
        <w:spacing w:after="0" w:line="12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5" w:name="page36"/>
    <w:bookmarkEnd w:id="35"/>
    <w:p>
      <w:pPr>
        <w:ind w:firstLine="198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6.02. </w:t>
      </w:r>
      <w:r>
        <w:rPr>
          <w:rFonts w:ascii="Arial" w:cs="Arial" w:eastAsia="Arial" w:hAnsi="Arial"/>
          <w:sz w:val="16"/>
          <w:szCs w:val="16"/>
          <w:u w:val="single" w:color="auto"/>
          <w:color w:val="auto"/>
        </w:rPr>
        <w:t>Transfer Taxes; Allocation</w:t>
      </w:r>
      <w:r>
        <w:rPr>
          <w:rFonts w:ascii="Arial" w:cs="Arial" w:eastAsia="Arial" w:hAnsi="Arial"/>
          <w:sz w:val="16"/>
          <w:szCs w:val="16"/>
          <w:color w:val="auto"/>
        </w:rPr>
        <w:t xml:space="preserve">. The Parties acknowledge and agree that no Transfer Taxes are anticipated to be payable or shall be paid in connection with the sale, purchase, assignment, granting and leasing hereunder of the Transferred Interests and the other Transactions, other than in respect of the conveyance by Everett Lessee to MDC Holdings of the Horizon Parcel;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Seller shall be liable for, and shall indemnify, defend and hold harmless Buyer and its Subsidiaries from and after Closing from and against, any and all Transfer Taxes payable on such conveyance of the Horizon Parcel and in the event any other Transfer Taxes are imposed on or arise in connection with the sale, purchase, assignment, granting and leasing hereunder of the Transferred Interests. The Parties agree that the value of the Horizon Parcel is as set forth in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for Transfer Tax purposes (such value, the “</w:t>
      </w:r>
      <w:r>
        <w:rPr>
          <w:rFonts w:ascii="Arial" w:cs="Arial" w:eastAsia="Arial" w:hAnsi="Arial"/>
          <w:sz w:val="16"/>
          <w:szCs w:val="16"/>
          <w:b w:val="1"/>
          <w:bCs w:val="1"/>
          <w:color w:val="auto"/>
        </w:rPr>
        <w:t>Allocation</w:t>
      </w:r>
      <w:r>
        <w:rPr>
          <w:rFonts w:ascii="Arial" w:cs="Arial" w:eastAsia="Arial" w:hAnsi="Arial"/>
          <w:sz w:val="16"/>
          <w:szCs w:val="16"/>
          <w:color w:val="auto"/>
        </w:rPr>
        <w:t xml:space="preserve">”). Buyer shall provide, and Buyer and Seller shall (and shall cause their respective Affiliates to) file, all Tax Returns consistent with the agreed Allocation, and shall take no position contrary thereto or inconsistent therewith (including in any Tax Proceeding), provided that neither Buyer nor Seller shall be required to litigate before any court any proposed deficiency or adjustment by any Taxing Authority challenging the Allocation. The provisions of this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shall survive the Closing.</w:t>
      </w:r>
    </w:p>
    <w:p>
      <w:pPr>
        <w:spacing w:after="0" w:line="168" w:lineRule="exact"/>
        <w:rPr>
          <w:sz w:val="20"/>
          <w:szCs w:val="20"/>
          <w:color w:val="auto"/>
        </w:rPr>
      </w:pPr>
    </w:p>
    <w:p>
      <w:pPr>
        <w:ind w:right="100" w:firstLine="1983"/>
        <w:spacing w:after="0" w:line="29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Tax Treatment</w:t>
      </w:r>
      <w:r>
        <w:rPr>
          <w:rFonts w:ascii="Arial" w:cs="Arial" w:eastAsia="Arial" w:hAnsi="Arial"/>
          <w:sz w:val="16"/>
          <w:szCs w:val="16"/>
          <w:color w:val="auto"/>
        </w:rPr>
        <w:t>. The Parties hereto acknowledge that for U.S. federal income Tax purposes, the sale of the Transferred Equity Interests from Seller and the Applicable Subsidiary to Buyer, and the purchase thereof by Buyer, shall be treated in accordance with Internal Revenue Service Revenue Ruling 99-6, 1999-1 C.B. 432 (Situation 2), (i) with respect to Buyer, as a deemed purchase of all of the assets of EBH, and (ii) with respect to the Seller, as a sale of one-hundred (100%) of the equity interests of EBH (the “</w:t>
      </w:r>
      <w:r>
        <w:rPr>
          <w:rFonts w:ascii="Arial" w:cs="Arial" w:eastAsia="Arial" w:hAnsi="Arial"/>
          <w:sz w:val="16"/>
          <w:szCs w:val="16"/>
          <w:b w:val="1"/>
          <w:bCs w:val="1"/>
          <w:color w:val="auto"/>
        </w:rPr>
        <w:t>Intended Tax Treatment</w:t>
      </w:r>
      <w:r>
        <w:rPr>
          <w:rFonts w:ascii="Arial" w:cs="Arial" w:eastAsia="Arial" w:hAnsi="Arial"/>
          <w:sz w:val="16"/>
          <w:szCs w:val="16"/>
          <w:color w:val="auto"/>
        </w:rPr>
        <w:t>”). Buyer and Seller shall (and shall cause their respective Affiliates to) file all Tax Returns consistent with the Intended Tax Treatment and shall take no position contrary thereto or inconsistent therewith (including in any Tax Proceeding), provided that neither Buyer nor Seller shall be required to litigate before any court any proposed deficiency or adjustment by any Taxing Authority challenging the Intended Tax Treatment.</w:t>
      </w:r>
    </w:p>
    <w:p>
      <w:pPr>
        <w:spacing w:after="0" w:line="166" w:lineRule="exact"/>
        <w:rPr>
          <w:sz w:val="20"/>
          <w:szCs w:val="20"/>
          <w:color w:val="auto"/>
        </w:rPr>
      </w:pPr>
    </w:p>
    <w:p>
      <w:pPr>
        <w:ind w:right="200" w:firstLine="1983"/>
        <w:spacing w:after="0" w:line="342"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Tax Treatment of Payments</w:t>
      </w:r>
      <w:r>
        <w:rPr>
          <w:rFonts w:ascii="Arial" w:cs="Arial" w:eastAsia="Arial" w:hAnsi="Arial"/>
          <w:sz w:val="16"/>
          <w:szCs w:val="16"/>
          <w:color w:val="auto"/>
        </w:rPr>
        <w:t>. Unless otherwise required by applicable Law, Seller and Buyer shall treat any Purchase Price adjustment and any indemnity payment, in each case pursuant hereto, as adjustments to the Purchase Price for Tax purposes.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w:t>
      </w:r>
    </w:p>
    <w:p>
      <w:pPr>
        <w:spacing w:after="0" w:line="121" w:lineRule="exact"/>
        <w:rPr>
          <w:sz w:val="20"/>
          <w:szCs w:val="20"/>
          <w:color w:val="auto"/>
        </w:rPr>
      </w:pPr>
    </w:p>
    <w:p>
      <w:pPr>
        <w:jc w:val="both"/>
        <w:ind w:right="180" w:firstLine="1983"/>
        <w:spacing w:after="0" w:line="26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Conditions to Obligations of Buyer and Seller</w:t>
      </w:r>
      <w:r>
        <w:rPr>
          <w:rFonts w:ascii="Arial" w:cs="Arial" w:eastAsia="Arial" w:hAnsi="Arial"/>
          <w:sz w:val="18"/>
          <w:szCs w:val="18"/>
          <w:color w:val="auto"/>
        </w:rPr>
        <w:t>. The respective obligations of the Parties to consummate the transactions contemplated by this Agreement shall be subject to the satisfaction or waiver (to the extent permitted by applicable Law), at or before the Closing, of each of the following conditions:</w:t>
      </w:r>
    </w:p>
    <w:p>
      <w:pPr>
        <w:spacing w:after="0" w:line="184" w:lineRule="exact"/>
        <w:rPr>
          <w:sz w:val="20"/>
          <w:szCs w:val="20"/>
          <w:color w:val="auto"/>
        </w:rPr>
      </w:pPr>
    </w:p>
    <w:p>
      <w:pPr>
        <w:ind w:firstLine="1979"/>
        <w:spacing w:after="0" w:line="277" w:lineRule="auto"/>
        <w:tabs>
          <w:tab w:leader="none" w:pos="236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Gaming Approvals</w:t>
      </w:r>
      <w:r>
        <w:rPr>
          <w:rFonts w:ascii="Arial" w:cs="Arial" w:eastAsia="Arial" w:hAnsi="Arial"/>
          <w:sz w:val="18"/>
          <w:szCs w:val="18"/>
          <w:color w:val="auto"/>
        </w:rPr>
        <w:t>. The Interim Gaming Approval (or, if the Interim Gaming Approval has been denied by the Gaming Authority at a duly convened hearing, a Final Determination) shall have been obtained and shall be in full force and effect.</w:t>
      </w:r>
    </w:p>
    <w:p>
      <w:pPr>
        <w:spacing w:after="0" w:line="170" w:lineRule="exact"/>
        <w:rPr>
          <w:rFonts w:ascii="Arial" w:cs="Arial" w:eastAsia="Arial" w:hAnsi="Arial"/>
          <w:sz w:val="18"/>
          <w:szCs w:val="18"/>
          <w:color w:val="auto"/>
        </w:rPr>
      </w:pPr>
    </w:p>
    <w:p>
      <w:pPr>
        <w:ind w:left="2360" w:hanging="381"/>
        <w:spacing w:after="0"/>
        <w:tabs>
          <w:tab w:leader="none" w:pos="23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 Legal Restraint</w:t>
      </w:r>
      <w:r>
        <w:rPr>
          <w:rFonts w:ascii="Arial" w:cs="Arial" w:eastAsia="Arial" w:hAnsi="Arial"/>
          <w:sz w:val="18"/>
          <w:szCs w:val="18"/>
          <w:color w:val="auto"/>
        </w:rPr>
        <w:t>. There shall be no Legal Restraint in effect.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6" w:name="page37"/>
    <w:bookmarkEnd w:id="36"/>
    <w:p>
      <w:pPr>
        <w:ind w:right="40" w:firstLine="1979"/>
        <w:spacing w:after="0" w:line="277" w:lineRule="auto"/>
        <w:tabs>
          <w:tab w:leader="none" w:pos="236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PILOT Agreement Consent</w:t>
      </w:r>
      <w:r>
        <w:rPr>
          <w:rFonts w:ascii="Arial" w:cs="Arial" w:eastAsia="Arial" w:hAnsi="Arial"/>
          <w:sz w:val="18"/>
          <w:szCs w:val="18"/>
          <w:color w:val="auto"/>
        </w:rPr>
        <w:t>. The PILOT Agreement Consent shall be in full force and effect and shall not been waived, amended, modified or terminated.</w:t>
      </w:r>
    </w:p>
    <w:p>
      <w:pPr>
        <w:spacing w:after="0" w:line="170"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Conditions to the Obligations of Seller</w:t>
      </w:r>
      <w:r>
        <w:rPr>
          <w:rFonts w:ascii="Arial" w:cs="Arial" w:eastAsia="Arial" w:hAnsi="Arial"/>
          <w:sz w:val="18"/>
          <w:szCs w:val="18"/>
          <w:color w:val="auto"/>
        </w:rPr>
        <w:t>. The obligations of Seller to consummate the transactions contemplated by this Agreement shall be subject to the satisfaction or Seller’s waiver (to the extent permitted by applicable Law) in its sole discretion, at or before the Closing, of each of the following conditions:</w:t>
      </w:r>
    </w:p>
    <w:p>
      <w:pPr>
        <w:spacing w:after="0" w:line="184" w:lineRule="exact"/>
        <w:rPr>
          <w:sz w:val="20"/>
          <w:szCs w:val="20"/>
          <w:color w:val="auto"/>
        </w:rPr>
      </w:pPr>
    </w:p>
    <w:p>
      <w:pPr>
        <w:ind w:right="120" w:firstLine="1979"/>
        <w:spacing w:after="0" w:line="275" w:lineRule="auto"/>
        <w:tabs>
          <w:tab w:leader="none" w:pos="2224"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representations and warranties of Buyer contained in this Agreement that are qualified as to materiality shall be true and correct in all respects (without disregarding such qualifications), and those not so qualified shall be true and correct in all material respects, in each case, as of the Closing Date as if made on the Closing Date (other than representations and warranties that are made as of a specific date, which representations and warranties shall have been true and correct in all respects for those qualified as to materiality (without disregarding such qualifications) and in all material respects for those not so qualified, in each case, as of such specific date).</w:t>
      </w:r>
    </w:p>
    <w:p>
      <w:pPr>
        <w:spacing w:after="0" w:line="176" w:lineRule="exact"/>
        <w:rPr>
          <w:rFonts w:ascii="Arial" w:cs="Arial" w:eastAsia="Arial" w:hAnsi="Arial"/>
          <w:sz w:val="17"/>
          <w:szCs w:val="17"/>
          <w:color w:val="auto"/>
        </w:rPr>
      </w:pPr>
    </w:p>
    <w:p>
      <w:pPr>
        <w:ind w:right="120" w:firstLine="1979"/>
        <w:spacing w:after="0" w:line="277" w:lineRule="auto"/>
        <w:tabs>
          <w:tab w:leader="none" w:pos="23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covenants contained in this Agreement required to be complied with by Buyer on or before the Closing shall have been complied with in all material respects.</w:t>
      </w:r>
    </w:p>
    <w:p>
      <w:pPr>
        <w:spacing w:after="0" w:line="170" w:lineRule="exact"/>
        <w:rPr>
          <w:rFonts w:ascii="Arial" w:cs="Arial" w:eastAsia="Arial" w:hAnsi="Arial"/>
          <w:sz w:val="18"/>
          <w:szCs w:val="18"/>
          <w:color w:val="auto"/>
        </w:rPr>
      </w:pPr>
    </w:p>
    <w:p>
      <w:pPr>
        <w:ind w:right="420" w:firstLine="1979"/>
        <w:spacing w:after="0" w:line="277" w:lineRule="auto"/>
        <w:tabs>
          <w:tab w:leader="none" w:pos="23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Seller shall have received a certificate signed by an authorized officer of Buyer, dated as of the Closing Date, with respect to the matters set forth in the foregoing clauses (a) and (b).</w:t>
      </w:r>
    </w:p>
    <w:p>
      <w:pPr>
        <w:spacing w:after="0" w:line="170" w:lineRule="exact"/>
        <w:rPr>
          <w:rFonts w:ascii="Arial" w:cs="Arial" w:eastAsia="Arial" w:hAnsi="Arial"/>
          <w:sz w:val="18"/>
          <w:szCs w:val="18"/>
          <w:color w:val="auto"/>
        </w:rPr>
      </w:pPr>
    </w:p>
    <w:p>
      <w:pPr>
        <w:ind w:left="2360" w:hanging="381"/>
        <w:spacing w:after="0"/>
        <w:tabs>
          <w:tab w:leader="none" w:pos="2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PILOT Agreement shall be in full force and effect and shall not have been waived, amended, modified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terminated.</w:t>
      </w:r>
    </w:p>
    <w:p>
      <w:pPr>
        <w:spacing w:after="0" w:line="211" w:lineRule="exact"/>
        <w:rPr>
          <w:sz w:val="20"/>
          <w:szCs w:val="20"/>
          <w:color w:val="auto"/>
        </w:rPr>
      </w:pPr>
    </w:p>
    <w:p>
      <w:pPr>
        <w:jc w:val="both"/>
        <w:ind w:right="80" w:firstLine="1983"/>
        <w:spacing w:after="0" w:line="263"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Conditions to Obligations of Buyer</w:t>
      </w:r>
      <w:r>
        <w:rPr>
          <w:rFonts w:ascii="Arial" w:cs="Arial" w:eastAsia="Arial" w:hAnsi="Arial"/>
          <w:sz w:val="18"/>
          <w:szCs w:val="18"/>
          <w:color w:val="auto"/>
        </w:rPr>
        <w:t>. The obligations of Buyer to consummate the transactions contemplated by this Agreement shall be subject to the fulfillment or Buyer’s waiver (to the extent permitted by applicable Law) in its sole discretion, at or before the Closing, of each of the following conditions:</w:t>
      </w:r>
    </w:p>
    <w:p>
      <w:pPr>
        <w:spacing w:after="0" w:line="184" w:lineRule="exact"/>
        <w:rPr>
          <w:sz w:val="20"/>
          <w:szCs w:val="20"/>
          <w:color w:val="auto"/>
        </w:rPr>
      </w:pPr>
    </w:p>
    <w:p>
      <w:pPr>
        <w:ind w:right="120" w:firstLine="1979"/>
        <w:spacing w:after="0" w:line="275" w:lineRule="auto"/>
        <w:tabs>
          <w:tab w:leader="none" w:pos="222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representations and warranties of Seller contained in this Agreement that are qualified as to materiality shall be true and correct in all respects (without disregarding such qualifications), and those not so qualified shall be true and correct in all material respects, in each case, as of the Closing Date as if made on the Closing Date (other than representations and warranties that are made as of a specific date, which representations and warranties shall have been true and correct in all respects for those qualified as to materiality (without disregarding such qualifications) and in all material respects for those not so qualified, in each case, as of such specific date).</w:t>
      </w:r>
    </w:p>
    <w:p>
      <w:pPr>
        <w:spacing w:after="0" w:line="176" w:lineRule="exact"/>
        <w:rPr>
          <w:rFonts w:ascii="Arial" w:cs="Arial" w:eastAsia="Arial" w:hAnsi="Arial"/>
          <w:sz w:val="17"/>
          <w:szCs w:val="17"/>
          <w:color w:val="auto"/>
        </w:rPr>
      </w:pPr>
    </w:p>
    <w:p>
      <w:pPr>
        <w:ind w:right="140" w:firstLine="1979"/>
        <w:spacing w:after="0" w:line="277" w:lineRule="auto"/>
        <w:tabs>
          <w:tab w:leader="none" w:pos="23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covenants contained in this Agreement required to be complied with by Seller on or before the Closing shall have been complied with in all material respects.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7" w:name="page38"/>
    <w:bookmarkEnd w:id="37"/>
    <w:p>
      <w:pPr>
        <w:ind w:right="400" w:firstLine="1979"/>
        <w:spacing w:after="0" w:line="308" w:lineRule="auto"/>
        <w:tabs>
          <w:tab w:leader="none" w:pos="2359"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Pre-Closing Reorganization shall have been completed, other than such for such failures to have completed as would, individually and in the aggregate, be immaterial to EBH or the ownership or operation of the Transferred Real Property.</w:t>
      </w:r>
    </w:p>
    <w:p>
      <w:pPr>
        <w:spacing w:after="0" w:line="146" w:lineRule="exact"/>
        <w:rPr>
          <w:rFonts w:ascii="Arial" w:cs="Arial" w:eastAsia="Arial" w:hAnsi="Arial"/>
          <w:sz w:val="17"/>
          <w:szCs w:val="17"/>
          <w:color w:val="auto"/>
        </w:rPr>
      </w:pPr>
    </w:p>
    <w:p>
      <w:pPr>
        <w:ind w:right="260" w:firstLine="1979"/>
        <w:spacing w:after="0" w:line="277" w:lineRule="auto"/>
        <w:tabs>
          <w:tab w:leader="none" w:pos="23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Seller shall not be in material default under a Ground Lease (which default has not been cured), which such material default would give the lessor under a Ground Lease a right to terminate such Ground Lease.</w:t>
      </w:r>
    </w:p>
    <w:p>
      <w:pPr>
        <w:spacing w:after="0" w:line="170" w:lineRule="exact"/>
        <w:rPr>
          <w:rFonts w:ascii="Arial" w:cs="Arial" w:eastAsia="Arial" w:hAnsi="Arial"/>
          <w:sz w:val="18"/>
          <w:szCs w:val="18"/>
          <w:color w:val="auto"/>
        </w:rPr>
      </w:pPr>
    </w:p>
    <w:p>
      <w:pPr>
        <w:ind w:right="40" w:firstLine="1979"/>
        <w:spacing w:after="0" w:line="273" w:lineRule="auto"/>
        <w:tabs>
          <w:tab w:leader="none" w:pos="2362" w:val="left"/>
        </w:tabs>
        <w:numPr>
          <w:ilvl w:val="0"/>
          <w:numId w:val="50"/>
        </w:numPr>
        <w:rPr>
          <w:rFonts w:ascii="Arial" w:cs="Arial" w:eastAsia="Arial" w:hAnsi="Arial"/>
          <w:sz w:val="17"/>
          <w:szCs w:val="17"/>
          <w:color w:val="auto"/>
        </w:rPr>
      </w:pPr>
      <w:r>
        <w:rPr>
          <w:rFonts w:ascii="Arial" w:cs="Arial" w:eastAsia="Arial" w:hAnsi="Arial"/>
          <w:sz w:val="17"/>
          <w:szCs w:val="17"/>
          <w:color w:val="auto"/>
        </w:rPr>
        <w:t>Upon the condition of payment of the applicable premiums and the parties’ performance of such actions as are required under the Title Commitment or otherwise reasonably required by the Title Company, at Closing, the Title Company shall have irrevocably committed to issue to Landlord an ALTA Owner’s Policy of title insurance, with extended coverage (i.e., with ALTA standard pre-printed exceptions deleted or appropriately modified (e.g., with respect to parties in possession, survey read-in, etc.), dated as of Closing Date, vesting fee or leasehold title, as applicable, to the Transferred Land, the EBH Improvements and the Outparcels Easement in Landlord, in the amount of the Purchase Price, subject only to the Permitted Exceptions, and containing the Buyer’s Endorsements (the “</w:t>
      </w:r>
      <w:r>
        <w:rPr>
          <w:rFonts w:ascii="Arial" w:cs="Arial" w:eastAsia="Arial" w:hAnsi="Arial"/>
          <w:sz w:val="17"/>
          <w:szCs w:val="17"/>
          <w:b w:val="1"/>
          <w:bCs w:val="1"/>
          <w:color w:val="auto"/>
        </w:rPr>
        <w:t>Title Policy</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80" w:firstLine="1979"/>
        <w:spacing w:after="0" w:line="286" w:lineRule="auto"/>
        <w:tabs>
          <w:tab w:leader="none" w:pos="2342"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The Seller shall hold, directly or indirectly, 100% of the issued and outstanding limited liability company membership interests in EBH, free and clear of all Liens, other than restrictions arising under the Securities Act, any other applicable securities Laws or any applicable Gaming Laws and (ii) there shall be no other equity interests in EBH other than the Transferred Equity Interests.</w:t>
      </w:r>
    </w:p>
    <w:p>
      <w:pPr>
        <w:spacing w:after="0" w:line="165" w:lineRule="exact"/>
        <w:rPr>
          <w:rFonts w:ascii="Arial" w:cs="Arial" w:eastAsia="Arial" w:hAnsi="Arial"/>
          <w:sz w:val="17"/>
          <w:szCs w:val="17"/>
          <w:color w:val="auto"/>
        </w:rPr>
      </w:pPr>
    </w:p>
    <w:p>
      <w:pPr>
        <w:ind w:firstLine="1979"/>
        <w:spacing w:after="0" w:line="263" w:lineRule="auto"/>
        <w:tabs>
          <w:tab w:leader="none" w:pos="23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insolvency or bankruptcy proceeding (other than any proceeding which has been discharged, dismissed or otherwise invalidated by Closing) has been commenced against Seller, the Applicable Subsidiary or EBH under the federal Bankruptcy Code or any state law for relief of debtors.</w:t>
      </w:r>
    </w:p>
    <w:p>
      <w:pPr>
        <w:spacing w:after="0" w:line="183" w:lineRule="exact"/>
        <w:rPr>
          <w:rFonts w:ascii="Arial" w:cs="Arial" w:eastAsia="Arial" w:hAnsi="Arial"/>
          <w:sz w:val="18"/>
          <w:szCs w:val="18"/>
          <w:color w:val="auto"/>
        </w:rPr>
      </w:pPr>
    </w:p>
    <w:p>
      <w:pPr>
        <w:ind w:right="180" w:firstLine="1979"/>
        <w:spacing w:after="0" w:line="277" w:lineRule="auto"/>
        <w:tabs>
          <w:tab w:leader="none" w:pos="23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Seller shall not have received any notice from the Gaming Authority terminating the gaming license (as issued by the Gaming Authority) required by Seller to operate the Casino.</w:t>
      </w:r>
    </w:p>
    <w:p>
      <w:pPr>
        <w:spacing w:after="0" w:line="170" w:lineRule="exact"/>
        <w:rPr>
          <w:rFonts w:ascii="Arial" w:cs="Arial" w:eastAsia="Arial" w:hAnsi="Arial"/>
          <w:sz w:val="18"/>
          <w:szCs w:val="18"/>
          <w:color w:val="auto"/>
        </w:rPr>
      </w:pPr>
    </w:p>
    <w:p>
      <w:pPr>
        <w:ind w:right="460" w:firstLine="1979"/>
        <w:spacing w:after="0" w:line="277" w:lineRule="auto"/>
        <w:tabs>
          <w:tab w:leader="none" w:pos="23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Buyer shall have received a certificate signed by an authorized officer of Seller, dated as of the Closing Date, with respect to the matters set forth in the foregoing clauses (a) and (b).</w:t>
      </w:r>
    </w:p>
    <w:p>
      <w:pPr>
        <w:spacing w:after="0" w:line="170" w:lineRule="exact"/>
        <w:rPr>
          <w:sz w:val="20"/>
          <w:szCs w:val="20"/>
          <w:color w:val="auto"/>
        </w:rPr>
      </w:pPr>
    </w:p>
    <w:p>
      <w:pPr>
        <w:jc w:val="both"/>
        <w:ind w:firstLine="1983"/>
        <w:spacing w:after="0" w:line="263"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Neither Seller nor Buyer may rely on the failure of any Closing Condition to be satisfied if such Party’s breach of or failure to fulfill any obligation under this Agreement (including as required by </w:t>
      </w:r>
      <w:r>
        <w:rPr>
          <w:rFonts w:ascii="Arial" w:cs="Arial" w:eastAsia="Arial" w:hAnsi="Arial"/>
          <w:sz w:val="18"/>
          <w:szCs w:val="18"/>
          <w:u w:val="single" w:color="auto"/>
          <w:color w:val="auto"/>
        </w:rPr>
        <w:t>Section 5.04</w:t>
      </w:r>
      <w:r>
        <w:rPr>
          <w:rFonts w:ascii="Arial" w:cs="Arial" w:eastAsia="Arial" w:hAnsi="Arial"/>
          <w:sz w:val="18"/>
          <w:szCs w:val="18"/>
          <w:color w:val="auto"/>
        </w:rPr>
        <w:t>) has contributed in any material respect to such failure.</w:t>
      </w:r>
    </w:p>
    <w:p>
      <w:pPr>
        <w:spacing w:after="0" w:line="184" w:lineRule="exact"/>
        <w:rPr>
          <w:sz w:val="20"/>
          <w:szCs w:val="20"/>
          <w:color w:val="auto"/>
        </w:rPr>
      </w:pPr>
    </w:p>
    <w:p>
      <w:pPr>
        <w:ind w:right="60" w:firstLine="1983"/>
        <w:spacing w:after="0" w:line="27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Waiver of Closing Conditions</w:t>
      </w:r>
      <w:r>
        <w:rPr>
          <w:rFonts w:ascii="Arial" w:cs="Arial" w:eastAsia="Arial" w:hAnsi="Arial"/>
          <w:sz w:val="18"/>
          <w:szCs w:val="18"/>
          <w:color w:val="auto"/>
        </w:rPr>
        <w:t xml:space="preserve">. Upon the occurrence of the Closing, any condition set forth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was not satisfied as of the Closing shall be deemed to have been waived as of and from the Closing.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Notwithstanding anything to the contrary in this Agreement, this Agreement may be terminated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before the Closing:</w:t>
      </w:r>
    </w:p>
    <w:p>
      <w:pPr>
        <w:spacing w:after="0" w:line="211" w:lineRule="exact"/>
        <w:rPr>
          <w:sz w:val="20"/>
          <w:szCs w:val="20"/>
          <w:color w:val="auto"/>
        </w:rPr>
      </w:pPr>
    </w:p>
    <w:p>
      <w:pPr>
        <w:ind w:left="2360" w:hanging="381"/>
        <w:spacing w:after="0"/>
        <w:tabs>
          <w:tab w:leader="none" w:pos="2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the mutual written consent of Seller and Buyer;</w:t>
      </w:r>
    </w:p>
    <w:p>
      <w:pPr>
        <w:spacing w:after="0" w:line="225" w:lineRule="exact"/>
        <w:rPr>
          <w:rFonts w:ascii="Arial" w:cs="Arial" w:eastAsia="Arial" w:hAnsi="Arial"/>
          <w:sz w:val="18"/>
          <w:szCs w:val="18"/>
          <w:color w:val="auto"/>
        </w:rPr>
      </w:pPr>
    </w:p>
    <w:p>
      <w:pPr>
        <w:ind w:firstLine="1979"/>
        <w:spacing w:after="0" w:line="257" w:lineRule="auto"/>
        <w:tabs>
          <w:tab w:leader="none" w:pos="23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by Seller, if Buyer shall have breached any representation or warranty or failed to comply with any covenant or agreement applicable to Buyer that would cause any Closing Condition set forth in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not to be satisfied, and such Closing Condition is incapable of being satisfied by the Outside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Seller shall not have the right to terminate this Agreement pursuant to this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if Seller is then in material breach of this Agreement, which breach would result in the failure of a condition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to be satisfied;</w:t>
      </w:r>
    </w:p>
    <w:p>
      <w:pPr>
        <w:spacing w:after="0" w:line="187" w:lineRule="exact"/>
        <w:rPr>
          <w:rFonts w:ascii="Arial" w:cs="Arial" w:eastAsia="Arial" w:hAnsi="Arial"/>
          <w:sz w:val="18"/>
          <w:szCs w:val="18"/>
          <w:color w:val="auto"/>
        </w:rPr>
      </w:pPr>
    </w:p>
    <w:p>
      <w:pPr>
        <w:ind w:right="60" w:firstLine="1979"/>
        <w:spacing w:after="0" w:line="257" w:lineRule="auto"/>
        <w:tabs>
          <w:tab w:leader="none" w:pos="23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by Buyer, if Seller shall have breached any representation or warranty or failed to comply with any covenant or agreement applicable to Seller that would cause any Closing Condition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not to be satisfied, and such Closing Condition is incapable of being satisfied by the Outside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Buyer shall not have the right to terminate this Agreement pursuant to this </w:t>
      </w:r>
      <w:r>
        <w:rPr>
          <w:rFonts w:ascii="Arial" w:cs="Arial" w:eastAsia="Arial" w:hAnsi="Arial"/>
          <w:sz w:val="18"/>
          <w:szCs w:val="18"/>
          <w:u w:val="single" w:color="auto"/>
          <w:color w:val="auto"/>
        </w:rPr>
        <w:t>Section 8.01(c)</w:t>
      </w:r>
      <w:r>
        <w:rPr>
          <w:rFonts w:ascii="Arial" w:cs="Arial" w:eastAsia="Arial" w:hAnsi="Arial"/>
          <w:sz w:val="18"/>
          <w:szCs w:val="18"/>
          <w:color w:val="auto"/>
        </w:rPr>
        <w:t xml:space="preserve"> if Buyer is then in material breach of this Agreement, which breach would result in the failure of a condition set forth in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to be satisfied;</w:t>
      </w:r>
    </w:p>
    <w:p>
      <w:pPr>
        <w:spacing w:after="0" w:line="183" w:lineRule="exact"/>
        <w:rPr>
          <w:rFonts w:ascii="Arial" w:cs="Arial" w:eastAsia="Arial" w:hAnsi="Arial"/>
          <w:sz w:val="18"/>
          <w:szCs w:val="18"/>
          <w:color w:val="auto"/>
        </w:rPr>
      </w:pPr>
    </w:p>
    <w:p>
      <w:pPr>
        <w:ind w:firstLine="1979"/>
        <w:spacing w:after="0" w:line="291" w:lineRule="auto"/>
        <w:tabs>
          <w:tab w:leader="none" w:pos="2373" w:val="left"/>
        </w:tabs>
        <w:numPr>
          <w:ilvl w:val="0"/>
          <w:numId w:val="51"/>
        </w:numPr>
        <w:rPr>
          <w:rFonts w:ascii="Arial" w:cs="Arial" w:eastAsia="Arial" w:hAnsi="Arial"/>
          <w:sz w:val="16"/>
          <w:szCs w:val="16"/>
          <w:color w:val="auto"/>
        </w:rPr>
      </w:pPr>
      <w:r>
        <w:rPr>
          <w:rFonts w:ascii="Arial" w:cs="Arial" w:eastAsia="Arial" w:hAnsi="Arial"/>
          <w:sz w:val="16"/>
          <w:szCs w:val="16"/>
          <w:color w:val="auto"/>
        </w:rPr>
        <w:t>by either Seller or Buyer if the Closing shall not have occurred by October 31, 2022 (the “</w:t>
      </w:r>
      <w:r>
        <w:rPr>
          <w:rFonts w:ascii="Arial" w:cs="Arial" w:eastAsia="Arial" w:hAnsi="Arial"/>
          <w:sz w:val="16"/>
          <w:szCs w:val="16"/>
          <w:b w:val="1"/>
          <w:bCs w:val="1"/>
          <w:color w:val="auto"/>
        </w:rPr>
        <w:t>Initial Outside Date</w:t>
      </w:r>
      <w:r>
        <w:rPr>
          <w:rFonts w:ascii="Arial" w:cs="Arial" w:eastAsia="Arial" w:hAnsi="Arial"/>
          <w:sz w:val="16"/>
          <w:szCs w:val="16"/>
          <w:color w:val="auto"/>
        </w:rPr>
        <w:t xml:space="preserve">” and, as such date may be extended pursuant to this </w:t>
      </w:r>
      <w:r>
        <w:rPr>
          <w:rFonts w:ascii="Arial" w:cs="Arial" w:eastAsia="Arial" w:hAnsi="Arial"/>
          <w:sz w:val="16"/>
          <w:szCs w:val="16"/>
          <w:u w:val="single" w:color="auto"/>
          <w:color w:val="auto"/>
        </w:rPr>
        <w:t>Section 8.01(d)</w:t>
      </w:r>
      <w:r>
        <w:rPr>
          <w:rFonts w:ascii="Arial" w:cs="Arial" w:eastAsia="Arial" w:hAnsi="Arial"/>
          <w:sz w:val="16"/>
          <w:szCs w:val="16"/>
          <w:color w:val="auto"/>
        </w:rPr>
        <w:t>, the “</w:t>
      </w:r>
      <w:r>
        <w:rPr>
          <w:rFonts w:ascii="Arial" w:cs="Arial" w:eastAsia="Arial" w:hAnsi="Arial"/>
          <w:sz w:val="16"/>
          <w:szCs w:val="16"/>
          <w:b w:val="1"/>
          <w:bCs w:val="1"/>
          <w:color w:val="auto"/>
        </w:rPr>
        <w:t>Outside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Initial Outside Date shall be automatically extended until February 14, 2023 if, on the Initial Outside Date, one or more of the Closing Conditions set forth in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(in the case of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only with respect to a Legal Restraint arising under a Gaming Law) have not been satisfied or (to the extent permitted by applicable Law) waived but all of the other Closing Conditions are satisfied or (to the extent permitted by applicable Law) waived (or, in the case of Closing Conditions that by their terms are to be satisfied at the Closing, shall be capable of being satisfied on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8.01(d)</w:t>
      </w:r>
      <w:r>
        <w:rPr>
          <w:rFonts w:ascii="Arial" w:cs="Arial" w:eastAsia="Arial" w:hAnsi="Arial"/>
          <w:sz w:val="16"/>
          <w:szCs w:val="16"/>
          <w:color w:val="auto"/>
        </w:rPr>
        <w:t xml:space="preserve"> shall not be available to a Party whose breach of or failure to fulfill any obligation under this Agreement (including as required by </w:t>
      </w:r>
      <w:r>
        <w:rPr>
          <w:rFonts w:ascii="Arial" w:cs="Arial" w:eastAsia="Arial" w:hAnsi="Arial"/>
          <w:sz w:val="16"/>
          <w:szCs w:val="16"/>
          <w:u w:val="single" w:color="auto"/>
          <w:color w:val="auto"/>
        </w:rPr>
        <w:t>Section 5.04</w:t>
      </w:r>
      <w:r>
        <w:rPr>
          <w:rFonts w:ascii="Arial" w:cs="Arial" w:eastAsia="Arial" w:hAnsi="Arial"/>
          <w:sz w:val="16"/>
          <w:szCs w:val="16"/>
          <w:color w:val="auto"/>
        </w:rPr>
        <w:t>) contributed in a material respect to the failure of the Closing to occur before such date; or</w:t>
      </w:r>
    </w:p>
    <w:p>
      <w:pPr>
        <w:spacing w:after="0" w:line="163" w:lineRule="exact"/>
        <w:rPr>
          <w:rFonts w:ascii="Arial" w:cs="Arial" w:eastAsia="Arial" w:hAnsi="Arial"/>
          <w:sz w:val="16"/>
          <w:szCs w:val="16"/>
          <w:color w:val="auto"/>
        </w:rPr>
      </w:pPr>
    </w:p>
    <w:p>
      <w:pPr>
        <w:ind w:right="80" w:firstLine="1979"/>
        <w:spacing w:after="0" w:line="257" w:lineRule="auto"/>
        <w:tabs>
          <w:tab w:leader="none" w:pos="23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by either Seller or Buyer in the event that any Government Authority of competent jurisdiction (including the Gaming Authority) shall have issued or enacted a Legal Restraint that permanently enjoins or prohibits the consummation of the transactions contemplated by this Agreement and such Legal Restraint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shall not be available to any Party whose breach of or failure to fulfill any obligation under this Agreement has contributed in a material respect to the issuance or enactment of any such Legal Restraint.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39" w:name="page40"/>
    <w:bookmarkEnd w:id="39"/>
    <w:p>
      <w:pPr>
        <w:ind w:right="100" w:firstLine="198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Either Party desiring to terminate this Agreement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shall give written notice of such termination to the other Party.</w:t>
      </w:r>
    </w:p>
    <w:p>
      <w:pPr>
        <w:spacing w:after="0" w:line="170" w:lineRule="exact"/>
        <w:rPr>
          <w:sz w:val="20"/>
          <w:szCs w:val="20"/>
          <w:color w:val="auto"/>
        </w:rPr>
      </w:pPr>
    </w:p>
    <w:p>
      <w:pPr>
        <w:ind w:right="60" w:firstLine="1983"/>
        <w:spacing w:after="0" w:line="290"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this Agreement is validly terminated pursuant to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this Agreement shall thereupon become null and void and of no further force and effect, except for the provisions of (i)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(ii) the last sentence of </w:t>
      </w:r>
      <w:r>
        <w:rPr>
          <w:rFonts w:ascii="Arial" w:cs="Arial" w:eastAsia="Arial" w:hAnsi="Arial"/>
          <w:sz w:val="16"/>
          <w:szCs w:val="16"/>
          <w:u w:val="single" w:color="auto"/>
          <w:color w:val="auto"/>
        </w:rPr>
        <w:t>Section 5.04(b)</w:t>
      </w:r>
      <w:r>
        <w:rPr>
          <w:rFonts w:ascii="Arial" w:cs="Arial" w:eastAsia="Arial" w:hAnsi="Arial"/>
          <w:sz w:val="16"/>
          <w:szCs w:val="16"/>
          <w:color w:val="auto"/>
        </w:rPr>
        <w:t xml:space="preserve">, (iii)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and (iv)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each of which shall survive termination of this Agreement. Nothing in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shall be deemed to release any Party from any Liability for Fraud or any knowing and material breach by such Party of any term of this Agreement (which, for purposes of this sentence, the Parties acknowledge and agree shall not be limited to reimbursement of expenses or out-of-pocket costs, and in the case of any damages sought by the non-breaching Party, including for any knowing and material breach, such damages shall include the benefit of the bargain lost by such non-beaching party, taking into consideration relevant matters including opportunity costs and the time value of money) or impair the right of a Party to compel specific performance by the other Party of its surviving obligations under this Agreement pursuant to </w:t>
      </w:r>
      <w:r>
        <w:rPr>
          <w:rFonts w:ascii="Arial" w:cs="Arial" w:eastAsia="Arial" w:hAnsi="Arial"/>
          <w:sz w:val="16"/>
          <w:szCs w:val="16"/>
          <w:u w:val="single" w:color="auto"/>
          <w:color w:val="auto"/>
        </w:rPr>
        <w:t>Section 9.16</w:t>
      </w:r>
      <w:r>
        <w:rPr>
          <w:rFonts w:ascii="Arial" w:cs="Arial" w:eastAsia="Arial" w:hAnsi="Arial"/>
          <w:sz w:val="16"/>
          <w:szCs w:val="16"/>
          <w:color w:val="auto"/>
        </w:rPr>
        <w: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7"/>
          <w:szCs w:val="17"/>
          <w:u w:val="single" w:color="auto"/>
          <w:color w:val="auto"/>
        </w:rPr>
        <w:t>Survival; Indemnification</w:t>
      </w:r>
      <w:r>
        <w:rPr>
          <w:rFonts w:ascii="Arial" w:cs="Arial" w:eastAsia="Arial" w:hAnsi="Arial"/>
          <w:sz w:val="17"/>
          <w:szCs w:val="17"/>
          <w:color w:val="auto"/>
        </w:rPr>
        <w:t>.</w:t>
      </w:r>
    </w:p>
    <w:p>
      <w:pPr>
        <w:spacing w:after="0" w:line="225" w:lineRule="exact"/>
        <w:rPr>
          <w:sz w:val="20"/>
          <w:szCs w:val="20"/>
          <w:color w:val="auto"/>
        </w:rPr>
      </w:pPr>
    </w:p>
    <w:p>
      <w:pPr>
        <w:ind w:firstLine="1979"/>
        <w:spacing w:after="0" w:line="283" w:lineRule="auto"/>
        <w:tabs>
          <w:tab w:leader="none" w:pos="222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those covenants and agreements set forth in this Agreement that by their terms contemplate performance in whole or in part after the Closing shall survive the Closing in accordance with their respective terms. The representations and warranties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survive for the Survival Period. All covenants and agreements of Seller and Buyer contained in or made pursuant to this Agreement requiring performance prior to Closing shall terminate and not survive, and be of no further force and effect from and after, the Closing, and no Party shall have any Liability with respect thereto from and after the Closing. Without limiting the generality of the foregoing, from and after the Closing, except in the case of Fraud, each Party, on behalf of itself, its Affiliates and its and their respective Representatives, hereby fully, unconditionally and irrevocably waives (and discharges and releases the other Party, its Affiliates and its and their respective Representatives from) any and all Actions, Liabilities and rights whatsoever, at law or in equity, whether known or unknown, suspected or unsuspected, now existing or which may hereafter accrue, directly or indirectly arising out of or related to the transactions contemplated by this Agreement, in each case, other than (i) with respect to any covenants or agreements that expressly survive the Closing pursuant to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(ii) subject to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with respect to the representations and warranties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(iii) with respect to all Actions, Liabilities and rights whatsoever, at law or in equity, that may be available pursuant to any of the Transaction Agreements (with respect to this Agreement, after giving effect to the foregoing in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For clarity, nothing in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shall limit or otherwise impair the operation of the cost and expense reimbursements in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5.04(b)</w:t>
      </w:r>
      <w:r>
        <w:rPr>
          <w:rFonts w:ascii="Arial" w:cs="Arial" w:eastAsia="Arial" w:hAnsi="Arial"/>
          <w:sz w:val="18"/>
          <w:szCs w:val="18"/>
          <w:color w:val="auto"/>
        </w:rPr>
        <w:t xml:space="preserve"> or any provision of the Master Lease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40" w:name="page41"/>
    <w:bookmarkEnd w:id="40"/>
    <w:p>
      <w:pPr>
        <w:ind w:left="2364" w:hanging="381"/>
        <w:spacing w:after="0"/>
        <w:tabs>
          <w:tab w:leader="none" w:pos="236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r>
        <w:rPr>
          <w:rFonts w:ascii="Arial" w:cs="Arial" w:eastAsia="Arial" w:hAnsi="Arial"/>
          <w:sz w:val="18"/>
          <w:szCs w:val="18"/>
          <w:color w:val="auto"/>
        </w:rPr>
        <w:t>.</w:t>
      </w:r>
    </w:p>
    <w:p>
      <w:pPr>
        <w:spacing w:after="0" w:line="225" w:lineRule="exact"/>
        <w:rPr>
          <w:sz w:val="20"/>
          <w:szCs w:val="20"/>
          <w:color w:val="auto"/>
        </w:rPr>
      </w:pPr>
    </w:p>
    <w:p>
      <w:pPr>
        <w:ind w:left="4" w:right="20" w:firstLine="1979"/>
        <w:spacing w:after="0" w:line="283" w:lineRule="auto"/>
        <w:tabs>
          <w:tab w:leader="none" w:pos="2337"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Subject to the provisions of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Seller hereby agrees to defend, indemnify and hold harmless Buyer for any and all Losses based upon, arising out of or resulting from (A) any of the representations or warranties made by Seller to Buyer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if such representations or warranties were made on the Closing Date, other than representations and warranties that are made as of a specific date in which case as of such specific date), (B) Taxes allocable to Seller under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and (C) Taxes attributable to any restructuring or reorganization transactions undertaken by Seller or EBH prior to the Closing in connection with the Transactions, including the Pre-Closing Reorganization, (D) any Taxes of Seller or the Applicable Subsidiary (including, without limitation, any Taxes arising as a result of the Transactions) or any of their Affiliates for any Tax period; (E) any Taxes for which EBH (or any predecessor of EBH) is held liable under Treasury Regulations Section 1.1502-6 (or any similar provision of state, local or foreign Law) by reason of such entity being included in any consolidated, affiliated, combined or unitary group at any time on or before the Closing Date, and (F) Taxes imposed on or payable by third parties with respect to which EBH has an obligation to indemnify such third party pursuant to a transaction consummated on or prior to the Closing (collectively, clauses</w:t>
      </w:r>
    </w:p>
    <w:p>
      <w:pPr>
        <w:spacing w:after="0" w:line="4" w:lineRule="exact"/>
        <w:rPr>
          <w:rFonts w:ascii="Arial" w:cs="Arial" w:eastAsia="Arial" w:hAnsi="Arial"/>
          <w:sz w:val="16"/>
          <w:szCs w:val="16"/>
          <w:color w:val="auto"/>
        </w:rPr>
      </w:pPr>
    </w:p>
    <w:p>
      <w:pPr>
        <w:ind w:left="284" w:hanging="284"/>
        <w:spacing w:after="0"/>
        <w:tabs>
          <w:tab w:leader="none" w:pos="28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(F), the “</w:t>
      </w:r>
      <w:r>
        <w:rPr>
          <w:rFonts w:ascii="Arial" w:cs="Arial" w:eastAsia="Arial" w:hAnsi="Arial"/>
          <w:sz w:val="18"/>
          <w:szCs w:val="18"/>
          <w:b w:val="1"/>
          <w:bCs w:val="1"/>
          <w:u w:val="single" w:color="auto"/>
          <w:color w:val="auto"/>
        </w:rPr>
        <w:t>Pre-Closing Tax Indemnity</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4" w:right="60" w:firstLine="1979"/>
        <w:spacing w:after="0" w:line="273" w:lineRule="auto"/>
        <w:tabs>
          <w:tab w:leader="none" w:pos="2387" w:val="left"/>
        </w:tabs>
        <w:numPr>
          <w:ilvl w:val="1"/>
          <w:numId w:val="55"/>
        </w:numPr>
        <w:rPr>
          <w:rFonts w:ascii="Arial" w:cs="Arial" w:eastAsia="Arial" w:hAnsi="Arial"/>
          <w:sz w:val="17"/>
          <w:szCs w:val="17"/>
          <w:color w:val="auto"/>
        </w:rPr>
      </w:pPr>
      <w:r>
        <w:rPr>
          <w:rFonts w:ascii="Arial" w:cs="Arial" w:eastAsia="Arial" w:hAnsi="Arial"/>
          <w:sz w:val="17"/>
          <w:szCs w:val="17"/>
          <w:color w:val="auto"/>
        </w:rPr>
        <w:t xml:space="preserve">(A) Seller shall not have any indemnification obligations for Losses under </w:t>
      </w:r>
      <w:r>
        <w:rPr>
          <w:rFonts w:ascii="Arial" w:cs="Arial" w:eastAsia="Arial" w:hAnsi="Arial"/>
          <w:sz w:val="17"/>
          <w:szCs w:val="17"/>
          <w:u w:val="single" w:color="auto"/>
          <w:color w:val="auto"/>
        </w:rPr>
        <w:t>Section 9.01(b)(i)</w:t>
      </w:r>
      <w:r>
        <w:rPr>
          <w:rFonts w:ascii="Arial" w:cs="Arial" w:eastAsia="Arial" w:hAnsi="Arial"/>
          <w:sz w:val="17"/>
          <w:szCs w:val="17"/>
          <w:color w:val="auto"/>
        </w:rPr>
        <w:t xml:space="preserve"> arising as a result of a breach of the representations and warranties of Seller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excluding the Seller Fundamental Representations (the “</w:t>
      </w:r>
      <w:r>
        <w:rPr>
          <w:rFonts w:ascii="Arial" w:cs="Arial" w:eastAsia="Arial" w:hAnsi="Arial"/>
          <w:sz w:val="17"/>
          <w:szCs w:val="17"/>
          <w:b w:val="1"/>
          <w:bCs w:val="1"/>
          <w:color w:val="auto"/>
        </w:rPr>
        <w:t>Seller</w:t>
      </w:r>
      <w:r>
        <w:rPr>
          <w:rFonts w:ascii="Arial" w:cs="Arial" w:eastAsia="Arial" w:hAnsi="Arial"/>
          <w:sz w:val="17"/>
          <w:szCs w:val="17"/>
          <w:color w:val="auto"/>
        </w:rPr>
        <w:t xml:space="preserve"> </w:t>
      </w:r>
      <w:r>
        <w:rPr>
          <w:rFonts w:ascii="Arial" w:cs="Arial" w:eastAsia="Arial" w:hAnsi="Arial"/>
          <w:sz w:val="17"/>
          <w:szCs w:val="17"/>
          <w:b w:val="1"/>
          <w:bCs w:val="1"/>
          <w:color w:val="auto"/>
        </w:rPr>
        <w:t>Non-Fundamental Representations</w:t>
      </w:r>
      <w:r>
        <w:rPr>
          <w:rFonts w:ascii="Arial" w:cs="Arial" w:eastAsia="Arial" w:hAnsi="Arial"/>
          <w:sz w:val="17"/>
          <w:szCs w:val="17"/>
          <w:color w:val="auto"/>
        </w:rPr>
        <w:t>”) with respect to any individual claim (or series of related claims) unless such claim (or series of claims) involves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Losses in excess of $100,000, and (B) in no event shall the aggregate indemnification to be paid under </w:t>
      </w:r>
      <w:r>
        <w:rPr>
          <w:rFonts w:ascii="Arial" w:cs="Arial" w:eastAsia="Arial" w:hAnsi="Arial"/>
          <w:sz w:val="17"/>
          <w:szCs w:val="17"/>
          <w:u w:val="single" w:color="auto"/>
          <w:color w:val="auto"/>
        </w:rPr>
        <w:t>Section 9.01(b)(i)</w:t>
      </w:r>
      <w:r>
        <w:rPr>
          <w:rFonts w:ascii="Arial" w:cs="Arial" w:eastAsia="Arial" w:hAnsi="Arial"/>
          <w:sz w:val="17"/>
          <w:szCs w:val="17"/>
          <w:color w:val="auto"/>
        </w:rPr>
        <w:t xml:space="preserve"> arising as a result of a breach of the Seller Non-Fundamental Representations exceed 10% of the Purchase Price (the “</w:t>
      </w:r>
      <w:r>
        <w:rPr>
          <w:rFonts w:ascii="Arial" w:cs="Arial" w:eastAsia="Arial" w:hAnsi="Arial"/>
          <w:sz w:val="17"/>
          <w:szCs w:val="17"/>
          <w:b w:val="1"/>
          <w:bCs w:val="1"/>
          <w:color w:val="auto"/>
        </w:rPr>
        <w:t>Closing Cap</w:t>
      </w:r>
      <w:r>
        <w:rPr>
          <w:rFonts w:ascii="Arial" w:cs="Arial" w:eastAsia="Arial" w:hAnsi="Arial"/>
          <w:sz w:val="17"/>
          <w:szCs w:val="17"/>
          <w:color w:val="auto"/>
        </w:rPr>
        <w:t xml:space="preserve">”), and (C) in no event shall the aggregate indemnification obligations to be paid by Seller for Losses under </w:t>
      </w:r>
      <w:r>
        <w:rPr>
          <w:rFonts w:ascii="Arial" w:cs="Arial" w:eastAsia="Arial" w:hAnsi="Arial"/>
          <w:sz w:val="17"/>
          <w:szCs w:val="17"/>
          <w:u w:val="single" w:color="auto"/>
          <w:color w:val="auto"/>
        </w:rPr>
        <w:t>Section 9.01(b)(i)</w:t>
      </w:r>
      <w:r>
        <w:rPr>
          <w:rFonts w:ascii="Arial" w:cs="Arial" w:eastAsia="Arial" w:hAnsi="Arial"/>
          <w:sz w:val="17"/>
          <w:szCs w:val="17"/>
          <w:color w:val="auto"/>
        </w:rPr>
        <w:t xml:space="preserve"> exceed the Purchase Price.</w:t>
      </w:r>
    </w:p>
    <w:p>
      <w:pPr>
        <w:spacing w:after="0" w:line="177" w:lineRule="exact"/>
        <w:rPr>
          <w:rFonts w:ascii="Arial" w:cs="Arial" w:eastAsia="Arial" w:hAnsi="Arial"/>
          <w:sz w:val="17"/>
          <w:szCs w:val="17"/>
          <w:color w:val="auto"/>
        </w:rPr>
      </w:pPr>
    </w:p>
    <w:p>
      <w:pPr>
        <w:ind w:left="4" w:right="540" w:firstLine="1979"/>
        <w:spacing w:after="0" w:line="277" w:lineRule="auto"/>
        <w:tabs>
          <w:tab w:leader="none" w:pos="2427"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Any claims for indemnification pursuant to </w:t>
      </w:r>
      <w:r>
        <w:rPr>
          <w:rFonts w:ascii="Arial" w:cs="Arial" w:eastAsia="Arial" w:hAnsi="Arial"/>
          <w:sz w:val="18"/>
          <w:szCs w:val="18"/>
          <w:u w:val="single" w:color="auto"/>
          <w:color w:val="auto"/>
        </w:rPr>
        <w:t>Section 9.01(b)(i)</w:t>
      </w:r>
      <w:r>
        <w:rPr>
          <w:rFonts w:ascii="Arial" w:cs="Arial" w:eastAsia="Arial" w:hAnsi="Arial"/>
          <w:sz w:val="18"/>
          <w:szCs w:val="18"/>
          <w:color w:val="auto"/>
        </w:rPr>
        <w:t xml:space="preserve"> for which notice under this </w:t>
      </w:r>
      <w:r>
        <w:rPr>
          <w:rFonts w:ascii="Arial" w:cs="Arial" w:eastAsia="Arial" w:hAnsi="Arial"/>
          <w:sz w:val="18"/>
          <w:szCs w:val="18"/>
          <w:u w:val="single" w:color="auto"/>
          <w:color w:val="auto"/>
        </w:rPr>
        <w:t>Section 9.01(b)</w:t>
      </w:r>
      <w:r>
        <w:rPr>
          <w:rFonts w:ascii="Arial" w:cs="Arial" w:eastAsia="Arial" w:hAnsi="Arial"/>
          <w:sz w:val="18"/>
          <w:szCs w:val="18"/>
          <w:color w:val="auto"/>
        </w:rPr>
        <w:t xml:space="preserve"> is not delivered prior to the end of the Survival Period shall be expressly barred and are hereby waived.</w:t>
      </w:r>
    </w:p>
    <w:p>
      <w:pPr>
        <w:spacing w:after="0" w:line="170" w:lineRule="exact"/>
        <w:rPr>
          <w:rFonts w:ascii="Arial" w:cs="Arial" w:eastAsia="Arial" w:hAnsi="Arial"/>
          <w:sz w:val="18"/>
          <w:szCs w:val="18"/>
          <w:color w:val="auto"/>
        </w:rPr>
      </w:pPr>
    </w:p>
    <w:p>
      <w:pPr>
        <w:ind w:left="4" w:right="60" w:firstLine="1979"/>
        <w:spacing w:after="0" w:line="263" w:lineRule="auto"/>
        <w:tabs>
          <w:tab w:leader="none" w:pos="2427"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Buyer shall not be entitled to recover from Seller (A) under this </w:t>
      </w:r>
      <w:r>
        <w:rPr>
          <w:rFonts w:ascii="Arial" w:cs="Arial" w:eastAsia="Arial" w:hAnsi="Arial"/>
          <w:sz w:val="18"/>
          <w:szCs w:val="18"/>
          <w:u w:val="single" w:color="auto"/>
          <w:color w:val="auto"/>
        </w:rPr>
        <w:t>Section 9.01(b)</w:t>
      </w:r>
      <w:r>
        <w:rPr>
          <w:rFonts w:ascii="Arial" w:cs="Arial" w:eastAsia="Arial" w:hAnsi="Arial"/>
          <w:sz w:val="18"/>
          <w:szCs w:val="18"/>
          <w:color w:val="auto"/>
        </w:rPr>
        <w:t xml:space="preserve"> more than once in respect of the same Loss (notwithstanding that such Loss may result from breaches of multiple provisions of this Agreement), or (B) to the extent such Buyer has already recovered for such Loss under any other Transaction Agreement.</w:t>
      </w:r>
    </w:p>
    <w:p>
      <w:pPr>
        <w:spacing w:after="0" w:line="183" w:lineRule="exact"/>
        <w:rPr>
          <w:rFonts w:ascii="Arial" w:cs="Arial" w:eastAsia="Arial" w:hAnsi="Arial"/>
          <w:sz w:val="18"/>
          <w:szCs w:val="18"/>
          <w:color w:val="auto"/>
        </w:rPr>
      </w:pPr>
    </w:p>
    <w:p>
      <w:pPr>
        <w:jc w:val="both"/>
        <w:ind w:left="4" w:firstLine="1979"/>
        <w:spacing w:after="0" w:line="279" w:lineRule="auto"/>
        <w:tabs>
          <w:tab w:leader="none" w:pos="2377" w:val="left"/>
        </w:tabs>
        <w:numPr>
          <w:ilvl w:val="1"/>
          <w:numId w:val="5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in no event shall Seller have any liability under this Agreement to Buyer (A) for any consequential or special damages, (B) for any punitive or exemplary damages, (C) for lost opportunities or (D) for diminution or reduction in value premised upon application of a multiplier of any financial measure or of any similar item (including the application of a multiplier to loss of revenue, income or profits, loss of business reputation, goodwill or opportunity).</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4"/>
          </w:cols>
          <w:pgMar w:left="436" w:top="274" w:right="479" w:bottom="1440" w:gutter="0" w:footer="0" w:header="0"/>
        </w:sectPr>
      </w:pPr>
    </w:p>
    <w:bookmarkStart w:id="41" w:name="page42"/>
    <w:bookmarkEnd w:id="41"/>
    <w:p>
      <w:pPr>
        <w:ind w:right="280" w:firstLine="1979"/>
        <w:spacing w:after="0" w:line="291" w:lineRule="auto"/>
        <w:tabs>
          <w:tab w:leader="none" w:pos="2419"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remedies set forth in this </w:t>
      </w:r>
      <w:r>
        <w:rPr>
          <w:rFonts w:ascii="Arial" w:cs="Arial" w:eastAsia="Arial" w:hAnsi="Arial"/>
          <w:sz w:val="16"/>
          <w:szCs w:val="16"/>
          <w:u w:val="single" w:color="auto"/>
          <w:color w:val="auto"/>
        </w:rPr>
        <w:t>Section 9.01(b)(i)</w:t>
      </w:r>
      <w:r>
        <w:rPr>
          <w:rFonts w:ascii="Arial" w:cs="Arial" w:eastAsia="Arial" w:hAnsi="Arial"/>
          <w:sz w:val="16"/>
          <w:szCs w:val="16"/>
          <w:color w:val="auto"/>
        </w:rPr>
        <w:t xml:space="preserve"> shall be the sole and exclusive remedies of Buyer for any breach or alleged breach of any representation or warranty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Buyer acknowledges and agrees that the remedies available in this</w:t>
      </w:r>
    </w:p>
    <w:p>
      <w:pPr>
        <w:ind w:right="80"/>
        <w:spacing w:after="0" w:line="273" w:lineRule="auto"/>
        <w:rPr>
          <w:rFonts w:ascii="Arial" w:cs="Arial" w:eastAsia="Arial" w:hAnsi="Arial"/>
          <w:sz w:val="16"/>
          <w:szCs w:val="16"/>
          <w:color w:val="auto"/>
        </w:rPr>
      </w:pPr>
      <w:r>
        <w:rPr>
          <w:rFonts w:ascii="Arial" w:cs="Arial" w:eastAsia="Arial" w:hAnsi="Arial"/>
          <w:sz w:val="17"/>
          <w:szCs w:val="17"/>
          <w:u w:val="single" w:color="auto"/>
          <w:color w:val="auto"/>
        </w:rPr>
        <w:t>Section 9.01(b)(i)</w:t>
      </w:r>
      <w:r>
        <w:rPr>
          <w:rFonts w:ascii="Arial" w:cs="Arial" w:eastAsia="Arial" w:hAnsi="Arial"/>
          <w:sz w:val="17"/>
          <w:szCs w:val="17"/>
          <w:color w:val="auto"/>
        </w:rPr>
        <w:t xml:space="preserve"> supersede any other remedies available at law or in equity including rights of rescission and claims arising under applicable Law, and Buyer hereby waives and releases, to the fullest extent permitted by applicable Law, any and all other rights, remedies, claims and causes of action, whether in contract, tort or otherwise, known or unknown, foreseen or unforeseen, which exist or may arise in the future, arising under or based upon any federal, state or local Law, that Buyer may have against Seller in respect of any breach of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176" w:lineRule="exact"/>
        <w:rPr>
          <w:rFonts w:ascii="Arial" w:cs="Arial" w:eastAsia="Arial" w:hAnsi="Arial"/>
          <w:sz w:val="16"/>
          <w:szCs w:val="16"/>
          <w:color w:val="auto"/>
        </w:rPr>
      </w:pPr>
    </w:p>
    <w:p>
      <w:pPr>
        <w:jc w:val="both"/>
        <w:ind w:firstLine="1979"/>
        <w:spacing w:after="0" w:line="263" w:lineRule="auto"/>
        <w:tabs>
          <w:tab w:leader="none" w:pos="247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Buyer shall (and shall cause its Affiliates to) cooperate with Seller with respect to resolving any claim or liability with respect to which Seller is obligated to indemnify Buyer under this </w:t>
      </w:r>
      <w:r>
        <w:rPr>
          <w:rFonts w:ascii="Arial" w:cs="Arial" w:eastAsia="Arial" w:hAnsi="Arial"/>
          <w:sz w:val="18"/>
          <w:szCs w:val="18"/>
          <w:u w:val="single" w:color="auto"/>
          <w:color w:val="auto"/>
        </w:rPr>
        <w:t>Section 9.01(b)(i)</w:t>
      </w:r>
      <w:r>
        <w:rPr>
          <w:rFonts w:ascii="Arial" w:cs="Arial" w:eastAsia="Arial" w:hAnsi="Arial"/>
          <w:sz w:val="18"/>
          <w:szCs w:val="18"/>
          <w:color w:val="auto"/>
        </w:rPr>
        <w:t>, including by making commercially reasonable efforts to mitigate to the extent required by Law after becoming aware of any such claim.</w:t>
      </w:r>
    </w:p>
    <w:p>
      <w:pPr>
        <w:spacing w:after="0" w:line="183" w:lineRule="exact"/>
        <w:rPr>
          <w:rFonts w:ascii="Arial" w:cs="Arial" w:eastAsia="Arial" w:hAnsi="Arial"/>
          <w:sz w:val="18"/>
          <w:szCs w:val="18"/>
          <w:color w:val="auto"/>
        </w:rPr>
      </w:pPr>
    </w:p>
    <w:p>
      <w:pPr>
        <w:ind w:right="80" w:firstLine="1979"/>
        <w:spacing w:after="0" w:line="277" w:lineRule="auto"/>
        <w:tabs>
          <w:tab w:leader="none" w:pos="2523"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the foregoing, nothing herein shall limit or otherwise modify any of Landlord’s rights, and Tenant’s obligations, under the Master Lease Agreement.</w:t>
      </w:r>
    </w:p>
    <w:p>
      <w:pPr>
        <w:spacing w:after="0" w:line="170"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 The following rules of construction shall govern the interpretation of this Agreement:</w:t>
      </w:r>
    </w:p>
    <w:p>
      <w:pPr>
        <w:spacing w:after="0" w:line="225" w:lineRule="exact"/>
        <w:rPr>
          <w:sz w:val="20"/>
          <w:szCs w:val="20"/>
          <w:color w:val="auto"/>
        </w:rPr>
      </w:pPr>
    </w:p>
    <w:p>
      <w:pPr>
        <w:ind w:right="20" w:firstLine="1979"/>
        <w:spacing w:after="0" w:line="308" w:lineRule="auto"/>
        <w:tabs>
          <w:tab w:leader="none" w:pos="2227"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references to “applicable” Law or Laws with respect to a particular Person, thing or matter means only such Law or Laws as to which the Government Authority that enacted or promulgated such Law or Laws has jurisdiction over such Person, thing or matter;</w:t>
      </w:r>
    </w:p>
    <w:p>
      <w:pPr>
        <w:spacing w:after="0" w:line="146" w:lineRule="exact"/>
        <w:rPr>
          <w:rFonts w:ascii="Arial" w:cs="Arial" w:eastAsia="Arial" w:hAnsi="Arial"/>
          <w:sz w:val="17"/>
          <w:szCs w:val="17"/>
          <w:color w:val="auto"/>
        </w:rPr>
      </w:pPr>
    </w:p>
    <w:p>
      <w:pPr>
        <w:ind w:right="200" w:firstLine="1979"/>
        <w:spacing w:after="0" w:line="259" w:lineRule="auto"/>
        <w:tabs>
          <w:tab w:leader="none" w:pos="23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references to any statute, rule, regulation or form (including in the definition thereof) shall be deemed to include references to such statute, rule, regulation or form as amended, modified, supplemented or replaced from time to time (and, in the case of any statute, include any rules and regulations promulgated under such statute), and all references to any section of any statute, rule, regulation or form include any successor to such section;</w:t>
      </w:r>
    </w:p>
    <w:p>
      <w:pPr>
        <w:spacing w:after="0" w:line="186" w:lineRule="exact"/>
        <w:rPr>
          <w:rFonts w:ascii="Arial" w:cs="Arial" w:eastAsia="Arial" w:hAnsi="Arial"/>
          <w:sz w:val="18"/>
          <w:szCs w:val="18"/>
          <w:color w:val="auto"/>
        </w:rPr>
      </w:pPr>
    </w:p>
    <w:p>
      <w:pPr>
        <w:ind w:right="160" w:firstLine="1979"/>
        <w:spacing w:after="0" w:line="279" w:lineRule="auto"/>
        <w:tabs>
          <w:tab w:leader="none" w:pos="2362" w:val="left"/>
        </w:tabs>
        <w:numPr>
          <w:ilvl w:val="0"/>
          <w:numId w:val="57"/>
        </w:numPr>
        <w:rPr>
          <w:rFonts w:ascii="Arial" w:cs="Arial" w:eastAsia="Arial" w:hAnsi="Arial"/>
          <w:sz w:val="17"/>
          <w:szCs w:val="17"/>
          <w:color w:val="auto"/>
        </w:rPr>
      </w:pPr>
      <w:r>
        <w:rPr>
          <w:rFonts w:ascii="Arial" w:cs="Arial" w:eastAsia="Arial" w:hAnsi="Arial"/>
          <w:sz w:val="17"/>
          <w:szCs w:val="17"/>
          <w:color w:val="auto"/>
        </w:rPr>
        <w:t>when calculating the period of time before which, within which or following which any act is to be done or step taken pursuant to this Agreement, the date that is referenced in beginning the calculation of such period will be excluded (for example, if an action is to be taken within two days after a triggering event and such event occurs on a Tuesday, then the action must be taken by Thursday); if the last day of such period is a non-Business Day, the period in question will end on the next succeeding Business Day;</w:t>
      </w:r>
    </w:p>
    <w:p>
      <w:pPr>
        <w:spacing w:after="0" w:line="171" w:lineRule="exact"/>
        <w:rPr>
          <w:rFonts w:ascii="Arial" w:cs="Arial" w:eastAsia="Arial" w:hAnsi="Arial"/>
          <w:sz w:val="17"/>
          <w:szCs w:val="17"/>
          <w:color w:val="auto"/>
        </w:rPr>
      </w:pPr>
    </w:p>
    <w:p>
      <w:pPr>
        <w:ind w:right="20" w:firstLine="1979"/>
        <w:spacing w:after="0" w:line="277" w:lineRule="auto"/>
        <w:tabs>
          <w:tab w:leader="none" w:pos="23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whenever the context requires, words in the singular shall be held to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and words of one gender shall be held to include the other gender as the context requires;</w:t>
      </w:r>
    </w:p>
    <w:p>
      <w:pPr>
        <w:spacing w:after="0" w:line="170" w:lineRule="exact"/>
        <w:rPr>
          <w:rFonts w:ascii="Arial" w:cs="Arial" w:eastAsia="Arial" w:hAnsi="Arial"/>
          <w:sz w:val="18"/>
          <w:szCs w:val="18"/>
          <w:color w:val="auto"/>
        </w:rPr>
      </w:pPr>
    </w:p>
    <w:p>
      <w:pPr>
        <w:jc w:val="both"/>
        <w:ind w:right="200" w:firstLine="1979"/>
        <w:spacing w:after="0" w:line="263" w:lineRule="auto"/>
        <w:tabs>
          <w:tab w:leader="none" w:pos="23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the provision of a table of contents, the division into Articles, Sections and other subdivisions and the insertion of headings are for convenience of reference only and shall not affect or be utilized in construing or interpreting this Agreement and (ii) references to the terms “Article,” “Section,” “subsection,” “subclause,” “clause,” “Schedule”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2" w:name="page43"/>
    <w:bookmarkEnd w:id="42"/>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“Exhibit” are references to the Articles, Sections, subsections, subclauses, clauses, Schedules and Exhibits to this Agreement unless otherwise specified;</w:t>
      </w:r>
    </w:p>
    <w:p>
      <w:pPr>
        <w:spacing w:after="0" w:line="170" w:lineRule="exact"/>
        <w:rPr>
          <w:sz w:val="20"/>
          <w:szCs w:val="20"/>
          <w:color w:val="auto"/>
        </w:rPr>
      </w:pPr>
    </w:p>
    <w:p>
      <w:pPr>
        <w:ind w:right="120" w:firstLine="1979"/>
        <w:spacing w:after="0" w:line="257" w:lineRule="auto"/>
        <w:tabs>
          <w:tab w:leader="none" w:pos="2342"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the terms “hereof,” “herein,” “hereby,” “hereto” and derivative or similar words refer to this entire Agreement, including the Schedules and Exhibits hereto, (ii) the terms “include,” “includes,” “including” and words of similar import when used in this Agreement mean “including, without limitation” unless otherwise specified, (iii) the term “any” means “any and all,” (iv) the term “or” shall not be exclusive and shall mean “and/or” and (v) the word “extent” in the phrase “to the extent” shall mean the degree to which a subject or other thing extends, and such phrase shall not mean simply “if”;</w:t>
      </w:r>
    </w:p>
    <w:p>
      <w:pPr>
        <w:spacing w:after="0" w:line="187" w:lineRule="exact"/>
        <w:rPr>
          <w:rFonts w:ascii="Arial" w:cs="Arial" w:eastAsia="Arial" w:hAnsi="Arial"/>
          <w:sz w:val="18"/>
          <w:szCs w:val="18"/>
          <w:color w:val="auto"/>
        </w:rPr>
      </w:pPr>
    </w:p>
    <w:p>
      <w:pPr>
        <w:ind w:right="80" w:firstLine="1979"/>
        <w:spacing w:after="0" w:line="263" w:lineRule="auto"/>
        <w:tabs>
          <w:tab w:leader="none" w:pos="23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references to “days” means calendar days unless Business Days are expressly specified, (ii) references to “written” or “in writing” include in electronic form, (iii) references to “$” mean U.S. dollars and (iv) references to a date or time shall be deemed to be references to such date or time in the City of Boston, Massachusetts, unless otherwise specified;</w:t>
      </w:r>
    </w:p>
    <w:p>
      <w:pPr>
        <w:spacing w:after="0" w:line="183" w:lineRule="exact"/>
        <w:rPr>
          <w:rFonts w:ascii="Arial" w:cs="Arial" w:eastAsia="Arial" w:hAnsi="Arial"/>
          <w:sz w:val="18"/>
          <w:szCs w:val="18"/>
          <w:color w:val="auto"/>
        </w:rPr>
      </w:pPr>
    </w:p>
    <w:p>
      <w:pPr>
        <w:ind w:left="2360" w:hanging="381"/>
        <w:spacing w:after="0"/>
        <w:tabs>
          <w:tab w:leader="none" w:pos="2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references to any Person include such Person’s successors and permitted assigns;</w:t>
      </w:r>
    </w:p>
    <w:p>
      <w:pPr>
        <w:spacing w:after="0" w:line="225" w:lineRule="exact"/>
        <w:rPr>
          <w:rFonts w:ascii="Arial" w:cs="Arial" w:eastAsia="Arial" w:hAnsi="Arial"/>
          <w:sz w:val="18"/>
          <w:szCs w:val="18"/>
          <w:color w:val="auto"/>
        </w:rPr>
      </w:pPr>
    </w:p>
    <w:p>
      <w:pPr>
        <w:ind w:firstLine="1979"/>
        <w:spacing w:after="0" w:line="259" w:lineRule="auto"/>
        <w:tabs>
          <w:tab w:leader="none" w:pos="23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whenever this Agreement requires any Affiliate of Seller to take any action, such requirement shall be deemed to involve an undertaking on the part of Seller to take such action or to cause such Subsidiary to take such action and (ii) whenever this Agreement requires any Affiliate of Buyer to take any action, such requirement shall be deemed to involve an undertaking on the part of Buyer to take such action or to cause such Affiliate to take such action;</w:t>
      </w:r>
    </w:p>
    <w:p>
      <w:pPr>
        <w:spacing w:after="0" w:line="186" w:lineRule="exact"/>
        <w:rPr>
          <w:rFonts w:ascii="Arial" w:cs="Arial" w:eastAsia="Arial" w:hAnsi="Arial"/>
          <w:sz w:val="18"/>
          <w:szCs w:val="18"/>
          <w:color w:val="auto"/>
        </w:rPr>
      </w:pPr>
    </w:p>
    <w:p>
      <w:pPr>
        <w:jc w:val="both"/>
        <w:ind w:firstLine="1979"/>
        <w:spacing w:after="0" w:line="286" w:lineRule="auto"/>
        <w:tabs>
          <w:tab w:leader="none" w:pos="2333"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term “made available”, with respect to any document or item, shall mean that such document or item has been made available to Buyer or its Representatives in the electronic data room maintained by Seller at </w:t>
      </w:r>
      <w:r>
        <w:rPr>
          <w:rFonts w:ascii="Arial" w:cs="Arial" w:eastAsia="Arial" w:hAnsi="Arial"/>
          <w:sz w:val="17"/>
          <w:szCs w:val="17"/>
          <w:u w:val="single" w:color="auto"/>
          <w:color w:val="auto"/>
        </w:rPr>
        <w:t>https://americas.datasite.com</w:t>
      </w:r>
      <w:r>
        <w:rPr>
          <w:rFonts w:ascii="Arial" w:cs="Arial" w:eastAsia="Arial" w:hAnsi="Arial"/>
          <w:sz w:val="17"/>
          <w:szCs w:val="17"/>
          <w:color w:val="auto"/>
        </w:rPr>
        <w:t xml:space="preserve"> [Project Mystic] or provided to Buyer or its Representatives by email, in each case on or before one Business Day immediately prior to the Agreement Date; and</w:t>
      </w:r>
    </w:p>
    <w:p>
      <w:pPr>
        <w:spacing w:after="0" w:line="165" w:lineRule="exact"/>
        <w:rPr>
          <w:rFonts w:ascii="Arial" w:cs="Arial" w:eastAsia="Arial" w:hAnsi="Arial"/>
          <w:sz w:val="17"/>
          <w:szCs w:val="17"/>
          <w:color w:val="auto"/>
        </w:rPr>
      </w:pPr>
    </w:p>
    <w:p>
      <w:pPr>
        <w:ind w:right="60" w:firstLine="1979"/>
        <w:spacing w:after="0" w:line="291" w:lineRule="auto"/>
        <w:tabs>
          <w:tab w:leader="none" w:pos="2373"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Party has participated in the negotiation and drafting of this Agreement and if an ambiguity or question of interpretation should arise, this Agreement shall be construed as if drafted jointly by the Parties and no presumption or burden of proof shall arise favoring or burdening either Party by virtue of the authorship of any provision in this Agreement; the language used herein will be deemed to be the language chosen by the Parties to express their mutual intent, and no rule of strict construction will be applied against either Party. Further, prior drafts of this Agreement or any other Transaction Agreement or the fact that any clauses have been added, deleted or otherwise modified from any prior drafts of this Agreement or any ancillary agreements hereto shall not be used as an aide of construction or otherwise constitute evidence of the intent of the Parties; and no presumption or burden of proof shall arise favoring or disfavoring any Party by virtue of such prior drafts.</w:t>
      </w:r>
    </w:p>
    <w:p>
      <w:pPr>
        <w:spacing w:after="0" w:line="166" w:lineRule="exact"/>
        <w:rPr>
          <w:sz w:val="20"/>
          <w:szCs w:val="20"/>
          <w:color w:val="auto"/>
        </w:rPr>
      </w:pPr>
    </w:p>
    <w:p>
      <w:pPr>
        <w:ind w:right="120" w:firstLine="1983"/>
        <w:spacing w:after="0" w:line="27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specified in the Transaction Agreements, each Party will pay its own costs and expenses, including legal, consulting,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3" w:name="page44"/>
    <w:bookmarkEnd w:id="43"/>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financial advisor and accounting fees and expenses, incurred in connection with the Transaction Agreements and the Transactions, irrespective of when incurred or whether or not the Closing occurs; </w:t>
      </w:r>
      <w:r>
        <w:rPr>
          <w:rFonts w:ascii="Arial" w:cs="Arial" w:eastAsia="Arial" w:hAnsi="Arial"/>
          <w:sz w:val="17"/>
          <w:szCs w:val="17"/>
          <w:u w:val="single" w:color="auto"/>
          <w:color w:val="auto"/>
        </w:rPr>
        <w:t>provided</w:t>
      </w:r>
      <w:r>
        <w:rPr>
          <w:rFonts w:ascii="Arial" w:cs="Arial" w:eastAsia="Arial" w:hAnsi="Arial"/>
          <w:sz w:val="17"/>
          <w:szCs w:val="17"/>
          <w:color w:val="auto"/>
        </w:rPr>
        <w:t>, that (i) Buyer shall be solely responsible for all amounts payable in respect of Buyer’s due diligence of the Transferred Equity Interests and the Transferred Real Property, including all costs and expenses of Buyer’s consultants and advisors and all costs and expenses relating to any property condition surveys or zoning reports obtained by or on behalf of Buyer, and (ii) Seller and Buyer shall bear equally all amounts payable in respect of the Title Commitment and the Title Policy (including the Buyer’s Endorsements; provided that Buyer alone shall bear all costs of any other or additional endorsements or coverages), the cost of any updates, modifications or supplements to the Existing Survey and the cost of the Zoning Report.</w:t>
      </w:r>
    </w:p>
    <w:p>
      <w:pPr>
        <w:spacing w:after="0" w:line="177" w:lineRule="exact"/>
        <w:rPr>
          <w:sz w:val="20"/>
          <w:szCs w:val="20"/>
          <w:color w:val="auto"/>
        </w:rPr>
      </w:pPr>
    </w:p>
    <w:p>
      <w:pPr>
        <w:ind w:left="4" w:right="140" w:firstLine="1983"/>
        <w:spacing w:after="0" w:line="291"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or by reason of this Agreement shall be in writing and shall be deemed to have been duly given or made (a) when personally delivered, (b) when delivered by e-mail transmission with receipt confirmed or</w:t>
      </w:r>
    </w:p>
    <w:p>
      <w:pPr>
        <w:ind w:left="4" w:right="100" w:hanging="4"/>
        <w:spacing w:after="0" w:line="290" w:lineRule="auto"/>
        <w:tabs>
          <w:tab w:leader="none" w:pos="249"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upon delivery by overnight courier service, in each case to the addresses and attention parties indicated below (or such other address, e-mail address or attention party as the recipient party has specified by prior notice given to the sending party in accordance with this </w:t>
      </w:r>
      <w:r>
        <w:rPr>
          <w:rFonts w:ascii="Arial" w:cs="Arial" w:eastAsia="Arial" w:hAnsi="Arial"/>
          <w:sz w:val="17"/>
          <w:szCs w:val="17"/>
          <w:u w:val="single" w:color="auto"/>
          <w:color w:val="auto"/>
        </w:rPr>
        <w:t>Section 9.04</w:t>
      </w:r>
      <w:r>
        <w:rPr>
          <w:rFonts w:ascii="Arial" w:cs="Arial" w:eastAsia="Arial" w:hAnsi="Arial"/>
          <w:sz w:val="17"/>
          <w:szCs w:val="17"/>
          <w:color w:val="auto"/>
        </w:rPr>
        <w:t>):</w:t>
      </w:r>
    </w:p>
    <w:p>
      <w:pPr>
        <w:sectPr>
          <w:pgSz w:w="11900" w:h="16838" w:orient="portrait"/>
          <w:cols w:equalWidth="0" w:num="1">
            <w:col w:w="11004"/>
          </w:cols>
          <w:pgMar w:left="436" w:top="274" w:right="459" w:bottom="1440" w:gutter="0" w:footer="0" w:header="0"/>
        </w:sectPr>
      </w:pP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to Seller, to: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WYNN MA,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Everett, MA 02149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Jacqui Krum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jacqui.krum@encorebostonharbor.com</w:t>
      </w:r>
    </w:p>
    <w:p>
      <w:pPr>
        <w:spacing w:after="0" w:line="200" w:lineRule="exact"/>
        <w:rPr>
          <w:sz w:val="20"/>
          <w:szCs w:val="20"/>
          <w:color w:val="auto"/>
        </w:rPr>
      </w:pPr>
    </w:p>
    <w:p>
      <w:pPr>
        <w:sectPr>
          <w:pgSz w:w="11900" w:h="16838" w:orient="portrait"/>
          <w:cols w:equalWidth="0" w:num="2">
            <w:col w:w="3144" w:space="720"/>
            <w:col w:w="7140"/>
          </w:cols>
          <w:pgMar w:left="436" w:top="274" w:right="459" w:bottom="144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 a copy (which will not constitute notice) to:</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Eric L. Schiele, P.C.</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Carlo Zenkner</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Jonathan A. Schechter, P.C.</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Richard A. Grossmann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eric.schiele@kirkland.com</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carlo.zenkner@kirkland.com</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jonathan.schechter@kirkland.com</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richard.grossmann@kirkland.com</w:t>
      </w:r>
    </w:p>
    <w:p>
      <w:pPr>
        <w:spacing w:after="0" w:line="200" w:lineRule="exact"/>
        <w:rPr>
          <w:sz w:val="20"/>
          <w:szCs w:val="20"/>
          <w:color w:val="auto"/>
        </w:rPr>
      </w:pPr>
    </w:p>
    <w:p>
      <w:pPr>
        <w:sectPr>
          <w:pgSz w:w="11900" w:h="16838" w:orient="portrait"/>
          <w:cols w:equalWidth="0" w:num="2">
            <w:col w:w="3504" w:space="360"/>
            <w:col w:w="7140"/>
          </w:cols>
          <w:pgMar w:left="436" w:top="274" w:right="459" w:bottom="144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7"/>
          <w:szCs w:val="17"/>
          <w:color w:val="auto"/>
        </w:rPr>
        <w:t>If to Buyer, to:</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Realty Income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11995 El Camino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notices@realtyincome.com</w:t>
      </w:r>
    </w:p>
    <w:p>
      <w:pPr>
        <w:spacing w:after="0" w:line="200" w:lineRule="exact"/>
        <w:rPr>
          <w:sz w:val="20"/>
          <w:szCs w:val="20"/>
          <w:color w:val="auto"/>
        </w:rPr>
      </w:pPr>
    </w:p>
    <w:p>
      <w:pPr>
        <w:sectPr>
          <w:pgSz w:w="11900" w:h="16838" w:orient="portrait"/>
          <w:cols w:equalWidth="0" w:num="2">
            <w:col w:w="3144" w:space="720"/>
            <w:col w:w="7140"/>
          </w:cols>
          <w:pgMar w:left="436" w:top="274" w:right="459" w:bottom="1440" w:gutter="0" w:footer="0" w:header="0"/>
          <w:type w:val="continuous"/>
        </w:sectPr>
      </w:pPr>
    </w:p>
    <w:p>
      <w:pPr>
        <w:spacing w:after="0" w:line="47" w:lineRule="exact"/>
        <w:rPr>
          <w:sz w:val="20"/>
          <w:szCs w:val="20"/>
          <w:color w:val="auto"/>
        </w:rPr>
      </w:pPr>
    </w:p>
    <w:p>
      <w:pPr>
        <w:ind w:left="4" w:right="20" w:firstLine="1983"/>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The initial press release with respect to the execution of this Agreement shall be a joint press release to be reasonably agreed upon by the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type w:val="continuous"/>
        </w:sectPr>
      </w:pPr>
    </w:p>
    <w:bookmarkStart w:id="44" w:name="page45"/>
    <w:bookmarkEnd w:id="4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Parties. Neither Party nor any Affiliate or Representative of either Party shall issue or cause the publication of any press release or public announcement or otherwise communicate with any news media in respect of this Agreement without the prior written consent of the other Party (which consent shall not be unreasonably withheld, conditioned or delayed), except (a) as is required by applicable Law or by applicable rules of any stock exchange or quotation system on which such Party or its Affiliates lists or trades securities (in which case the disclosing Party will use its commercially reasonable efforts to (i) advise the other Party before making such disclosure and (ii) provide such other Party a reasonable opportunity to review and comment on such release or announcement and consider in good faith any comments with respect thereto) or (b) a Party may make such public disclosures that are consistent with prior disclosures made in compliance with this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or any communication plan or strategy previously agreed to in writing by the Parties.</w:t>
      </w:r>
    </w:p>
    <w:p>
      <w:pPr>
        <w:spacing w:after="0" w:line="192" w:lineRule="exact"/>
        <w:rPr>
          <w:sz w:val="20"/>
          <w:szCs w:val="20"/>
          <w:color w:val="auto"/>
        </w:rPr>
      </w:pPr>
    </w:p>
    <w:p>
      <w:pPr>
        <w:ind w:right="20" w:firstLine="1983"/>
        <w:spacing w:after="0" w:line="254"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is held invalid, illegal or unenforceable in any respect under any applicable Law, as a matter of public policy or on any other grounds, the validity, legality and enforceability of all other terms and provisions of this Agreement will not in any way be affected or impaired. If the final judgment of a court of competent jurisdiction declares that any term or provision hereof is invalid, illegal or unenforceable, the Parties agree that the court making such determination will have the power to reduce the scope, duration, area or applicability of the term or provision, to delete specific words or phrases, or to replace any invalid, illegal or unenforceable term or provision with a term or provision that is valid, legal and enforceable and that comes closest to expressing the intention of the invalid, illegal or unenforceable term or provision.</w:t>
      </w:r>
    </w:p>
    <w:p>
      <w:pPr>
        <w:spacing w:after="0" w:line="195" w:lineRule="exact"/>
        <w:rPr>
          <w:sz w:val="20"/>
          <w:szCs w:val="20"/>
          <w:color w:val="auto"/>
        </w:rPr>
      </w:pPr>
    </w:p>
    <w:p>
      <w:pPr>
        <w:ind w:right="40" w:firstLine="1983"/>
        <w:spacing w:after="0" w:line="275"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Neither Party may assign (whether by operation of Law or otherwise) this Agreement or any rights, interests or obligations provided by this Agreement without the prior written consent of the other Party. Any attempted assignment in violation of this </w:t>
      </w:r>
      <w:r>
        <w:rPr>
          <w:rFonts w:ascii="Arial" w:cs="Arial" w:eastAsia="Arial" w:hAnsi="Arial"/>
          <w:sz w:val="17"/>
          <w:szCs w:val="17"/>
          <w:u w:val="single" w:color="auto"/>
          <w:color w:val="auto"/>
        </w:rPr>
        <w:t>Section 9.07</w:t>
      </w:r>
      <w:r>
        <w:rPr>
          <w:rFonts w:ascii="Arial" w:cs="Arial" w:eastAsia="Arial" w:hAnsi="Arial"/>
          <w:sz w:val="17"/>
          <w:szCs w:val="17"/>
          <w:color w:val="auto"/>
        </w:rPr>
        <w:t xml:space="preserve"> shall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Seller will have the right to assign all or any portion of its rights and obligations pursuant to this Agreement in connection with a merger or consolidation involving Seller or other disposition of all or substantially all of the assets of Seller, it being understood that such assignment will not relieve Seller of any of its obligations under this Agreement.</w:t>
      </w:r>
    </w:p>
    <w:p>
      <w:pPr>
        <w:spacing w:after="0" w:line="176" w:lineRule="exact"/>
        <w:rPr>
          <w:sz w:val="20"/>
          <w:szCs w:val="20"/>
          <w:color w:val="auto"/>
        </w:rPr>
      </w:pPr>
    </w:p>
    <w:p>
      <w:pPr>
        <w:ind w:right="100" w:firstLine="1983"/>
        <w:spacing w:after="0" w:line="259"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and the other Transaction Agreements are for the sole benefit of the Parties (or their Affiliates who are a party thereto) and their respective successors and permitted assigns, and, except as otherwise expressly set forth herein or in the applicable Transaction Agreement, nothing in the Transaction Agreements shall create or be deemed to create any third-party beneficiary rights in any Person not a party to the Transaction Agreements.</w:t>
      </w:r>
    </w:p>
    <w:p>
      <w:pPr>
        <w:spacing w:after="0" w:line="187" w:lineRule="exact"/>
        <w:rPr>
          <w:sz w:val="20"/>
          <w:szCs w:val="20"/>
          <w:color w:val="auto"/>
        </w:rPr>
      </w:pPr>
    </w:p>
    <w:p>
      <w:pPr>
        <w:ind w:right="60" w:firstLine="1983"/>
        <w:spacing w:after="0" w:line="311" w:lineRule="auto"/>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other Transaction Agreements collectively constitute and contain the entire agreement and understanding of the Parties with respect to the subject matter hereof and thereof and supersede all prior negotiations, correspondence, understandings, agreements and Contracts, whether written or oral, among the Parties respecting the subject matter hereof and thereof.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5" w:name="page46"/>
    <w:bookmarkEnd w:id="45"/>
    <w:p>
      <w:pPr>
        <w:ind w:right="460" w:firstLine="198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9.10.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restated, supplemented or otherwise modified only by written agreement making specific reference to this Agreement, in each case duly executed by the Parties.</w:t>
      </w:r>
    </w:p>
    <w:p>
      <w:pPr>
        <w:spacing w:after="0" w:line="170" w:lineRule="exact"/>
        <w:rPr>
          <w:sz w:val="20"/>
          <w:szCs w:val="20"/>
          <w:color w:val="auto"/>
        </w:rPr>
      </w:pPr>
    </w:p>
    <w:p>
      <w:pPr>
        <w:ind w:firstLine="1983"/>
        <w:spacing w:after="0" w:line="271"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Waiver</w:t>
      </w:r>
      <w:r>
        <w:rPr>
          <w:rFonts w:ascii="Arial" w:cs="Arial" w:eastAsia="Arial" w:hAnsi="Arial"/>
          <w:sz w:val="17"/>
          <w:szCs w:val="17"/>
          <w:color w:val="auto"/>
        </w:rPr>
        <w:t>. At any time before the Closing, either Seller or Buyer may (a) extend the time for the performance of any obligation or other acts of the other Person, (b) waive any breaches or inaccuracies in the representations and warranties of the other Person contained in this Agreement or in any document delivered pursuant to this Agreement or (c) waive compliance with any covenant or agreement contained in this Agreement of the other Person, but such waiver of compliance with any such covenant or agreement shall not operate as a waiver of, or estoppel with respect to, any subsequent or other failure of compliance. Any such waiver shall be in a written instrument duly executed by the waiving Party. No failure on the part of either Party to exercise, and no delay in exercising, any right, power or remedy under this Agreement shall operate as a waiver thereof, nor shall any single or partial exercise of such right, power or remedy by such Party preclude any other or further exercise thereof or the exercise of any other right, power or remedy.</w:t>
      </w:r>
    </w:p>
    <w:p>
      <w:pPr>
        <w:spacing w:after="0" w:line="178" w:lineRule="exact"/>
        <w:rPr>
          <w:sz w:val="20"/>
          <w:szCs w:val="20"/>
          <w:color w:val="auto"/>
        </w:rPr>
      </w:pPr>
    </w:p>
    <w:p>
      <w:pPr>
        <w:ind w:right="80" w:firstLine="1983"/>
        <w:spacing w:after="0" w:line="255"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Action that may be based upon or arise out of this Agreement, the negotiation, execution, performance or consummation of this Agreement or the inducement of any Party to enter into this Agreement, whether for breach of contract, tortious conduct or otherwise, and whether now existing or hereafter arising (each, a “</w:t>
      </w:r>
      <w:r>
        <w:rPr>
          <w:rFonts w:ascii="Arial" w:cs="Arial" w:eastAsia="Arial" w:hAnsi="Arial"/>
          <w:sz w:val="18"/>
          <w:szCs w:val="18"/>
          <w:b w:val="1"/>
          <w:bCs w:val="1"/>
          <w:color w:val="auto"/>
        </w:rPr>
        <w:t>Transaction Dispute</w:t>
      </w:r>
      <w:r>
        <w:rPr>
          <w:rFonts w:ascii="Arial" w:cs="Arial" w:eastAsia="Arial" w:hAnsi="Arial"/>
          <w:sz w:val="18"/>
          <w:szCs w:val="18"/>
          <w:color w:val="auto"/>
        </w:rPr>
        <w:t>”), will be exclusively governed by and construed and enforced in accordance with the internal Laws of the State of Nevada, without giving effect to any Law or rule that would cause the Laws of any jurisdiction other than the State of Nevada to be applied; provided that Gaming Approvals shall be governed by the rules, regulations and laws of the Commonwealth of Massachusetts.</w:t>
      </w:r>
    </w:p>
    <w:p>
      <w:pPr>
        <w:spacing w:after="0" w:line="192"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w:t>
      </w:r>
    </w:p>
    <w:p>
      <w:pPr>
        <w:spacing w:after="0" w:line="225" w:lineRule="exact"/>
        <w:rPr>
          <w:sz w:val="20"/>
          <w:szCs w:val="20"/>
          <w:color w:val="auto"/>
        </w:rPr>
      </w:pPr>
    </w:p>
    <w:p>
      <w:pPr>
        <w:ind w:right="300" w:firstLine="1979"/>
        <w:spacing w:after="0" w:line="259" w:lineRule="auto"/>
        <w:tabs>
          <w:tab w:leader="none" w:pos="23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Transaction Dispute will be brought and resolved exclusively in any Nevada state court (or, only if the Nevada state courts decline to accept jurisdiction over a particular matter, then in the Federal court of the United States of America sitting in Clark County, Nevada) and any appellate court from any of such courts. In that context, and without limiting the generality of the foregoing, each Party irrevocably and unconditionally:</w:t>
      </w:r>
    </w:p>
    <w:p>
      <w:pPr>
        <w:spacing w:after="0" w:line="187" w:lineRule="exact"/>
        <w:rPr>
          <w:sz w:val="20"/>
          <w:szCs w:val="20"/>
          <w:color w:val="auto"/>
        </w:rPr>
      </w:pPr>
    </w:p>
    <w:p>
      <w:pPr>
        <w:ind w:right="180" w:firstLine="1979"/>
        <w:spacing w:after="0" w:line="263" w:lineRule="auto"/>
        <w:tabs>
          <w:tab w:leader="none" w:pos="2333"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submits for itself and its property to the exclusive jurisdiction of such courts with respect to any Transaction Dispute and for recognition and enforcement of any judgment in respect thereof, and agrees that all claims in respect of any Transaction Dispute shall be heard and determined in such courts;</w:t>
      </w:r>
    </w:p>
    <w:p>
      <w:pPr>
        <w:spacing w:after="0" w:line="183" w:lineRule="exact"/>
        <w:rPr>
          <w:rFonts w:ascii="Arial" w:cs="Arial" w:eastAsia="Arial" w:hAnsi="Arial"/>
          <w:sz w:val="18"/>
          <w:szCs w:val="18"/>
          <w:color w:val="auto"/>
        </w:rPr>
      </w:pPr>
    </w:p>
    <w:p>
      <w:pPr>
        <w:ind w:right="140" w:firstLine="1979"/>
        <w:spacing w:after="0" w:line="277" w:lineRule="auto"/>
        <w:tabs>
          <w:tab w:leader="none" w:pos="23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agrees that venue would be proper in such courts, and waives any objection that it may now or hereafter have that any such court is an improper or inconvenient forum for the resolution of any Transaction Dispute; and</w:t>
      </w:r>
    </w:p>
    <w:p>
      <w:pPr>
        <w:spacing w:after="0" w:line="170" w:lineRule="exact"/>
        <w:rPr>
          <w:rFonts w:ascii="Arial" w:cs="Arial" w:eastAsia="Arial" w:hAnsi="Arial"/>
          <w:sz w:val="18"/>
          <w:szCs w:val="18"/>
          <w:color w:val="auto"/>
        </w:rPr>
      </w:pPr>
    </w:p>
    <w:p>
      <w:pPr>
        <w:ind w:right="100" w:firstLine="1979"/>
        <w:spacing w:after="0" w:line="308" w:lineRule="auto"/>
        <w:tabs>
          <w:tab w:leader="none" w:pos="2433"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agrees that the mailing by certified or registered mail, return receipt requested, to the Persons listed in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of any process required by any such court will be effective service of process;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herein will be deemed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6" w:name="page47"/>
    <w:bookmarkEnd w:id="4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prevent a Party from making service of process by any other means authorized by the Laws of the State of Nevada.</w:t>
      </w:r>
    </w:p>
    <w:p>
      <w:pPr>
        <w:spacing w:after="0" w:line="225" w:lineRule="exact"/>
        <w:rPr>
          <w:sz w:val="20"/>
          <w:szCs w:val="20"/>
          <w:color w:val="auto"/>
        </w:rPr>
      </w:pPr>
    </w:p>
    <w:p>
      <w:pPr>
        <w:ind w:left="4" w:right="420" w:firstLine="1979"/>
        <w:spacing w:after="0" w:line="277" w:lineRule="auto"/>
        <w:tabs>
          <w:tab w:leader="none" w:pos="237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foregoing consent to jurisdiction will not constitute submission to jurisdiction or general consent to service of process in the State of Nevada for any purpose except with respect to any Transaction Dispute.</w:t>
      </w:r>
    </w:p>
    <w:p>
      <w:pPr>
        <w:spacing w:after="0" w:line="170" w:lineRule="exact"/>
        <w:rPr>
          <w:sz w:val="20"/>
          <w:szCs w:val="20"/>
          <w:color w:val="auto"/>
        </w:rPr>
      </w:pPr>
    </w:p>
    <w:p>
      <w:pPr>
        <w:ind w:left="4" w:right="140" w:firstLine="1983"/>
        <w:spacing w:after="0" w:line="287"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To the maximum extent permitted by Law, each Party irrevocably and unconditionally waives any right to trial by jury in any forum in respect of any Transaction Dispute and covenants that neither it nor any of its Affiliates or Representatives will assert (whether as plaintiff, defendant or otherwise) any right to such trial by jury. Each Party certifies and acknowledges that</w:t>
      </w:r>
    </w:p>
    <w:p>
      <w:pPr>
        <w:spacing w:after="0" w:line="2" w:lineRule="exact"/>
        <w:rPr>
          <w:sz w:val="20"/>
          <w:szCs w:val="20"/>
          <w:color w:val="auto"/>
        </w:rPr>
      </w:pPr>
    </w:p>
    <w:p>
      <w:pPr>
        <w:ind w:left="4" w:right="80" w:hanging="4"/>
        <w:spacing w:after="0" w:line="302" w:lineRule="auto"/>
        <w:tabs>
          <w:tab w:leader="none" w:pos="2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such Party has considered the implications of this waiver, (b) such Party makes this waiver voluntarily and (c) such waiver constitutes a material inducement upon which the other Party is relying and will rely in entering into the Transaction Agreements. Each Party may file an original counterpart or a copy of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with any court as written evidence of the consent of each Party to the waiver of its right to trial by jury.</w:t>
      </w:r>
    </w:p>
    <w:p>
      <w:pPr>
        <w:spacing w:after="0" w:line="155" w:lineRule="exact"/>
        <w:rPr>
          <w:sz w:val="20"/>
          <w:szCs w:val="20"/>
          <w:color w:val="auto"/>
        </w:rPr>
      </w:pPr>
    </w:p>
    <w:p>
      <w:pPr>
        <w:ind w:left="4" w:right="220" w:firstLine="1983"/>
        <w:spacing w:after="0" w:line="259"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Admissibility into Evidence</w:t>
      </w:r>
      <w:r>
        <w:rPr>
          <w:rFonts w:ascii="Arial" w:cs="Arial" w:eastAsia="Arial" w:hAnsi="Arial"/>
          <w:sz w:val="18"/>
          <w:szCs w:val="18"/>
          <w:color w:val="auto"/>
        </w:rPr>
        <w:t>. All offers of compromise or settlement among the Parties or their Representatives in connection with the attempted resolution of any Transaction Dispute (a) shall be deemed to have been delivered in furtherance of a Transaction Dispute settlement, (b) shall be exempt from discovery and production and (c) shall not be admissible into evidence (whether as an admission or otherwise) in any Action for the resolution of the Transaction Dispute.</w:t>
      </w:r>
    </w:p>
    <w:p>
      <w:pPr>
        <w:spacing w:after="0" w:line="187" w:lineRule="exact"/>
        <w:rPr>
          <w:sz w:val="20"/>
          <w:szCs w:val="20"/>
          <w:color w:val="auto"/>
        </w:rPr>
      </w:pPr>
    </w:p>
    <w:p>
      <w:pPr>
        <w:ind w:left="1984"/>
        <w:spacing w:after="0"/>
        <w:tabs>
          <w:tab w:leader="none" w:pos="3084"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u w:val="single" w:color="auto"/>
          <w:color w:val="auto"/>
        </w:rPr>
        <w:t>Remedies; Specific Performance</w:t>
      </w:r>
      <w:r>
        <w:rPr>
          <w:rFonts w:ascii="Arial" w:cs="Arial" w:eastAsia="Arial" w:hAnsi="Arial"/>
          <w:sz w:val="16"/>
          <w:szCs w:val="16"/>
          <w:color w:val="auto"/>
        </w:rPr>
        <w:t>.</w:t>
      </w:r>
    </w:p>
    <w:p>
      <w:pPr>
        <w:spacing w:after="0" w:line="225" w:lineRule="exact"/>
        <w:rPr>
          <w:sz w:val="20"/>
          <w:szCs w:val="20"/>
          <w:color w:val="auto"/>
        </w:rPr>
      </w:pPr>
    </w:p>
    <w:p>
      <w:pPr>
        <w:ind w:left="4" w:right="60" w:firstLine="1979"/>
        <w:spacing w:after="0" w:line="263" w:lineRule="auto"/>
        <w:tabs>
          <w:tab w:leader="none" w:pos="2366"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to the extent set forth otherwise in this Agreement, all remedies under this Agreement expressly conferred upon a Party will be deemed cumulative with and not exclusive of any other remedy conferred hereby, or by Law or in equity, upon such Party, and the exercise by a Party of any one remedy will not preclude the exercise of any other remedy.</w:t>
      </w:r>
    </w:p>
    <w:p>
      <w:pPr>
        <w:spacing w:after="0" w:line="183" w:lineRule="exact"/>
        <w:rPr>
          <w:rFonts w:ascii="Arial" w:cs="Arial" w:eastAsia="Arial" w:hAnsi="Arial"/>
          <w:sz w:val="18"/>
          <w:szCs w:val="18"/>
          <w:color w:val="auto"/>
        </w:rPr>
      </w:pPr>
    </w:p>
    <w:p>
      <w:pPr>
        <w:ind w:left="4" w:firstLine="1979"/>
        <w:spacing w:after="0" w:line="289" w:lineRule="auto"/>
        <w:tabs>
          <w:tab w:leader="none" w:pos="2377" w:val="left"/>
        </w:tabs>
        <w:numPr>
          <w:ilvl w:val="0"/>
          <w:numId w:val="64"/>
        </w:numPr>
        <w:rPr>
          <w:rFonts w:ascii="Arial" w:cs="Arial" w:eastAsia="Arial" w:hAnsi="Arial"/>
          <w:sz w:val="16"/>
          <w:szCs w:val="16"/>
          <w:color w:val="auto"/>
        </w:rPr>
      </w:pPr>
      <w:r>
        <w:rPr>
          <w:rFonts w:ascii="Arial" w:cs="Arial" w:eastAsia="Arial" w:hAnsi="Arial"/>
          <w:sz w:val="16"/>
          <w:szCs w:val="16"/>
          <w:color w:val="auto"/>
        </w:rPr>
        <w:t>Each Party acknowledges and agrees that irreparable damage (for which monetary relief, even if available, would not be an adequate remedy) would occur and the Parties would not have an adequate remedy at law if any provision of this Agreement is not performed in accordance with its specific terms or is otherwise breached, including if any Party fails to take such actions as are required of it hereunder to consummate the transactions contemplated hereby or to enable the transactions contemplated hereby to be consummated. Accordingly, each Party agrees that the other Party will be entitled to injunctive relief at any time and from time to time to prevent breaches or threatened breaches of this Agreement and to specifically enforce the terms of this Agreement, in each case (i) without the requirement of posting any bond or other indemnity and (ii) in addition to any other remedy to which it may be entitled, at law or in equity. Furthermore, each Party agrees (x) not to raise any objections (whether on the basis that a remedy of monetary damages would provide an adequate remedy for any such breach or otherwise) to the availability of the equitable remedy of specific performance to prevent breaches or threatened breaches of, and to specifically enforce the terms of, this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7" w:name="page48"/>
    <w:bookmarkEnd w:id="47"/>
    <w:p>
      <w:pPr>
        <w:ind w:left="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(y) that the right to specific performance is an integral part of the transactions contemplated hereby and without such right neither Seller nor Buyer would have entered into this Agreement.</w:t>
      </w:r>
    </w:p>
    <w:p>
      <w:pPr>
        <w:spacing w:after="0" w:line="170" w:lineRule="exact"/>
        <w:rPr>
          <w:sz w:val="20"/>
          <w:szCs w:val="20"/>
          <w:color w:val="auto"/>
        </w:rPr>
      </w:pPr>
    </w:p>
    <w:p>
      <w:pPr>
        <w:ind w:left="4" w:right="20" w:firstLine="1979"/>
        <w:spacing w:after="0" w:line="287" w:lineRule="auto"/>
        <w:tabs>
          <w:tab w:leader="none" w:pos="2363"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The Parties further agree that (i) by seeking the remedies provided for in this </w:t>
      </w:r>
      <w:r>
        <w:rPr>
          <w:rFonts w:ascii="Arial" w:cs="Arial" w:eastAsia="Arial" w:hAnsi="Arial"/>
          <w:sz w:val="16"/>
          <w:szCs w:val="16"/>
          <w:u w:val="single" w:color="auto"/>
          <w:color w:val="auto"/>
        </w:rPr>
        <w:t>Section 9.16</w:t>
      </w:r>
      <w:r>
        <w:rPr>
          <w:rFonts w:ascii="Arial" w:cs="Arial" w:eastAsia="Arial" w:hAnsi="Arial"/>
          <w:sz w:val="16"/>
          <w:szCs w:val="16"/>
          <w:color w:val="auto"/>
        </w:rPr>
        <w:t xml:space="preserve">, a Party shall not in any respect waive its right to seek any other form of relief that may be available to such Party under this Agreement, or by Law or in equity, in the event that this Agreement has been terminated or in the event that the remedies provided for in this </w:t>
      </w:r>
      <w:r>
        <w:rPr>
          <w:rFonts w:ascii="Arial" w:cs="Arial" w:eastAsia="Arial" w:hAnsi="Arial"/>
          <w:sz w:val="16"/>
          <w:szCs w:val="16"/>
          <w:u w:val="single" w:color="auto"/>
          <w:color w:val="auto"/>
        </w:rPr>
        <w:t>Section 9.16</w:t>
      </w:r>
      <w:r>
        <w:rPr>
          <w:rFonts w:ascii="Arial" w:cs="Arial" w:eastAsia="Arial" w:hAnsi="Arial"/>
          <w:sz w:val="16"/>
          <w:szCs w:val="16"/>
          <w:color w:val="auto"/>
        </w:rPr>
        <w:t xml:space="preserve"> are not available or otherwise are not granted and</w:t>
      </w:r>
    </w:p>
    <w:p>
      <w:pPr>
        <w:spacing w:after="0" w:line="2" w:lineRule="exact"/>
        <w:rPr>
          <w:rFonts w:ascii="Arial" w:cs="Arial" w:eastAsia="Arial" w:hAnsi="Arial"/>
          <w:sz w:val="16"/>
          <w:szCs w:val="16"/>
          <w:color w:val="auto"/>
        </w:rPr>
      </w:pPr>
    </w:p>
    <w:p>
      <w:pPr>
        <w:ind w:left="4" w:right="60" w:hanging="4"/>
        <w:spacing w:after="0" w:line="253" w:lineRule="auto"/>
        <w:tabs>
          <w:tab w:leader="none" w:pos="2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nothing set forth in this </w:t>
      </w:r>
      <w:r>
        <w:rPr>
          <w:rFonts w:ascii="Arial" w:cs="Arial" w:eastAsia="Arial" w:hAnsi="Arial"/>
          <w:sz w:val="18"/>
          <w:szCs w:val="18"/>
          <w:u w:val="single" w:color="auto"/>
          <w:color w:val="auto"/>
        </w:rPr>
        <w:t>Section 9.16</w:t>
      </w:r>
      <w:r>
        <w:rPr>
          <w:rFonts w:ascii="Arial" w:cs="Arial" w:eastAsia="Arial" w:hAnsi="Arial"/>
          <w:sz w:val="18"/>
          <w:szCs w:val="18"/>
          <w:color w:val="auto"/>
        </w:rPr>
        <w:t xml:space="preserve"> shall require any Party to institute any proceeding for (or limit any Party’s right to institute any proceeding for) specific performance under this </w:t>
      </w:r>
      <w:r>
        <w:rPr>
          <w:rFonts w:ascii="Arial" w:cs="Arial" w:eastAsia="Arial" w:hAnsi="Arial"/>
          <w:sz w:val="18"/>
          <w:szCs w:val="18"/>
          <w:u w:val="single" w:color="auto"/>
          <w:color w:val="auto"/>
        </w:rPr>
        <w:t>Section 9.16</w:t>
      </w:r>
      <w:r>
        <w:rPr>
          <w:rFonts w:ascii="Arial" w:cs="Arial" w:eastAsia="Arial" w:hAnsi="Arial"/>
          <w:sz w:val="18"/>
          <w:szCs w:val="18"/>
          <w:color w:val="auto"/>
        </w:rPr>
        <w:t xml:space="preserve"> prior or as a condition to exercising any termination right under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pursuing damages after such termination), nor shall the commencement of any legal proceeding for a remedy pursuant to this </w:t>
      </w:r>
      <w:r>
        <w:rPr>
          <w:rFonts w:ascii="Arial" w:cs="Arial" w:eastAsia="Arial" w:hAnsi="Arial"/>
          <w:sz w:val="18"/>
          <w:szCs w:val="18"/>
          <w:u w:val="single" w:color="auto"/>
          <w:color w:val="auto"/>
        </w:rPr>
        <w:t>Section 9.16</w:t>
      </w:r>
      <w:r>
        <w:rPr>
          <w:rFonts w:ascii="Arial" w:cs="Arial" w:eastAsia="Arial" w:hAnsi="Arial"/>
          <w:sz w:val="18"/>
          <w:szCs w:val="18"/>
          <w:color w:val="auto"/>
        </w:rPr>
        <w:t xml:space="preserve"> or anything set forth in this </w:t>
      </w:r>
      <w:r>
        <w:rPr>
          <w:rFonts w:ascii="Arial" w:cs="Arial" w:eastAsia="Arial" w:hAnsi="Arial"/>
          <w:sz w:val="18"/>
          <w:szCs w:val="18"/>
          <w:u w:val="single" w:color="auto"/>
          <w:color w:val="auto"/>
        </w:rPr>
        <w:t>Section 9.16</w:t>
      </w:r>
      <w:r>
        <w:rPr>
          <w:rFonts w:ascii="Arial" w:cs="Arial" w:eastAsia="Arial" w:hAnsi="Arial"/>
          <w:sz w:val="18"/>
          <w:szCs w:val="18"/>
          <w:color w:val="auto"/>
        </w:rPr>
        <w:t xml:space="preserve"> restrict or limit any Party’s right to terminate this Agreement in accordance with the terms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pursue any other remedies under this Agreement, or by Law or in equity, that may be available then or thereafter.</w:t>
      </w:r>
    </w:p>
    <w:p>
      <w:pPr>
        <w:spacing w:after="0" w:line="191" w:lineRule="exact"/>
        <w:rPr>
          <w:sz w:val="20"/>
          <w:szCs w:val="20"/>
          <w:color w:val="auto"/>
        </w:rPr>
      </w:pPr>
    </w:p>
    <w:p>
      <w:pPr>
        <w:ind w:left="4" w:right="120" w:firstLine="1983"/>
        <w:spacing w:after="0" w:line="287" w:lineRule="auto"/>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Non-Recourse</w:t>
      </w:r>
      <w:r>
        <w:rPr>
          <w:rFonts w:ascii="Arial" w:cs="Arial" w:eastAsia="Arial" w:hAnsi="Arial"/>
          <w:sz w:val="16"/>
          <w:szCs w:val="16"/>
          <w:color w:val="auto"/>
        </w:rPr>
        <w:t>. Except as expressly provided for in any Transaction Agreement, all Liabilities, or causes of action (whether in contract or in tort, at law or in equity, including with respect to any matters arising under the Comprehensive Environmental Response, Compensation, and Liability Act or any other environmental, health or safety matters) arising under, out of, in connection with, or related in any manner to this Agreement or based on, in respect of, or by reason of this Agreement, or its negotiation, execution, performance or breach, may be made only against (and are expressly limited to) the entities that are expressly identified as parties in the preamble to this Agreement (“</w:t>
      </w:r>
      <w:r>
        <w:rPr>
          <w:rFonts w:ascii="Arial" w:cs="Arial" w:eastAsia="Arial" w:hAnsi="Arial"/>
          <w:sz w:val="16"/>
          <w:szCs w:val="16"/>
          <w:b w:val="1"/>
          <w:bCs w:val="1"/>
          <w:color w:val="auto"/>
        </w:rPr>
        <w:t>Contracting</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Except as expressly provided for in any Transaction Agreement, no Person who is not a Contracting Party, including any past, present 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Representative, member, stockholder or Affiliate of or to any Contracting Party, or any Representative, member, stockholder or Affiliate of or to any of the foregoing (“</w:t>
      </w:r>
      <w:r>
        <w:rPr>
          <w:rFonts w:ascii="Arial" w:cs="Arial" w:eastAsia="Arial" w:hAnsi="Arial"/>
          <w:sz w:val="16"/>
          <w:szCs w:val="16"/>
          <w:b w:val="1"/>
          <w:bCs w:val="1"/>
          <w:color w:val="auto"/>
        </w:rPr>
        <w:t>Nonparty Affiliates</w:t>
      </w:r>
      <w:r>
        <w:rPr>
          <w:rFonts w:ascii="Arial" w:cs="Arial" w:eastAsia="Arial" w:hAnsi="Arial"/>
          <w:sz w:val="16"/>
          <w:szCs w:val="16"/>
          <w:color w:val="auto"/>
        </w:rPr>
        <w:t>”), shall have any Liability (whether in contract or in tort, at law or in equity, including with respect to any matters arising under the Comprehensive Environmental Response, Compensation, and Liability Act or any other environmental, health or safety matters) for any causes of action, arising under, out of, in connection with, or related in any manner to this Agreement or based on, in respect of, or by reason of this Agreement, or its negotiation, execution, performance or breach; and, to the maximum extent permitted by Law, each Contracting Party hereby waives and releases all such Liabilities and causes of action against any such Nonparty Affiliates.</w:t>
      </w:r>
    </w:p>
    <w:p>
      <w:pPr>
        <w:spacing w:after="0" w:line="168" w:lineRule="exact"/>
        <w:rPr>
          <w:sz w:val="20"/>
          <w:szCs w:val="20"/>
          <w:color w:val="auto"/>
        </w:rPr>
      </w:pPr>
    </w:p>
    <w:p>
      <w:pPr>
        <w:ind w:left="4" w:firstLine="1983"/>
        <w:spacing w:after="0" w:line="257"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Interest</w:t>
      </w:r>
      <w:r>
        <w:rPr>
          <w:rFonts w:ascii="Arial" w:cs="Arial" w:eastAsia="Arial" w:hAnsi="Arial"/>
          <w:sz w:val="18"/>
          <w:szCs w:val="18"/>
          <w:color w:val="auto"/>
        </w:rPr>
        <w:t>. If any payment required to be made to a Party under this Agreement is made after the date on which such payment is due, interest shall accrue on such amount from (but not including) the due date of the payment to (and including) the date such payment is actually made at the Interest Rate. All computations of interest pursuant to this Agreement shall be made on the basis of a year of 365 days, in each case, for the actual number of days from (but not including) the first day to (and including) the last day occurring in the period for which such interest is payable.</w:t>
      </w:r>
    </w:p>
    <w:p>
      <w:pPr>
        <w:spacing w:after="0" w:line="188" w:lineRule="exact"/>
        <w:rPr>
          <w:sz w:val="20"/>
          <w:szCs w:val="20"/>
          <w:color w:val="auto"/>
        </w:rPr>
      </w:pPr>
    </w:p>
    <w:p>
      <w:pPr>
        <w:ind w:left="4" w:right="720" w:firstLine="1983"/>
        <w:spacing w:after="0" w:line="277" w:lineRule="auto"/>
        <w:rPr>
          <w:sz w:val="20"/>
          <w:szCs w:val="20"/>
          <w:color w:val="auto"/>
        </w:rPr>
      </w:pPr>
      <w:r>
        <w:rPr>
          <w:rFonts w:ascii="Arial" w:cs="Arial" w:eastAsia="Arial" w:hAnsi="Arial"/>
          <w:sz w:val="18"/>
          <w:szCs w:val="18"/>
          <w:color w:val="auto"/>
        </w:rPr>
        <w:t xml:space="preserve">Section 9.19. </w:t>
      </w:r>
      <w:r>
        <w:rPr>
          <w:rFonts w:ascii="Arial" w:cs="Arial" w:eastAsia="Arial" w:hAnsi="Arial"/>
          <w:sz w:val="18"/>
          <w:szCs w:val="18"/>
          <w:u w:val="single" w:color="auto"/>
          <w:color w:val="auto"/>
        </w:rPr>
        <w:t>Disclosure Schedules and Exhibits</w:t>
      </w:r>
      <w:r>
        <w:rPr>
          <w:rFonts w:ascii="Arial" w:cs="Arial" w:eastAsia="Arial" w:hAnsi="Arial"/>
          <w:sz w:val="18"/>
          <w:szCs w:val="18"/>
          <w:color w:val="auto"/>
        </w:rPr>
        <w:t>. The Schedules and Exhibits attached to this Agreement shall be construed with and as an integral part of this Agreement to</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4"/>
          </w:cols>
          <w:pgMar w:left="436" w:top="274" w:right="479" w:bottom="1440" w:gutter="0" w:footer="0" w:header="0"/>
        </w:sectPr>
      </w:pPr>
    </w:p>
    <w:bookmarkStart w:id="48" w:name="page49"/>
    <w:bookmarkEnd w:id="48"/>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same extent as if the same had been set forth verbatim herein. Any capitalized terms used in any Exhibit or Schedule but not otherwise defined therein shall be defined as set forth in this Agreement. The representations and warranties of Seller set forth in this Agreement are made and given subject to the disclosures contained in the Disclosure Schedules, and neither Seller nor any of its Affiliates shall be, or deemed to be, in breach of any such representations and warranties (and no claim shall exist in respect thereof) in respect of any such matter so disclosed in the Disclosure Schedules. Where only brief particulars of a matter are set out or referred to in the Disclosure Schedules or a reference is made only to a particular part of a disclosed document, full particulars of the matter and the full contents of the document are deemed to be disclosed to the extent of the disclosures with respect to such matter contained in any documents or other materials delivered or made available by or on behalf of Seller to Buyer or its Representatives prior to the Closing. Inclusion of information in the Disclosure Schedules will not be construed as an admission that such information is material to the business, operations or condition (financial or otherwise) of EBH or the Transferred Real Property. The Disclosure Schedules have been arranged for purposes of convenience in separately titled Schedules corresponding to the Sections of this Agreement; however, each Schedule of the Disclosure Schedules shall be deemed to incorporate by reference all information disclosed in any other Schedule of the Disclosure Schedules to the extent it is reasonably apparent that the disclosure of such matter is applicable to such Schedule of the Disclosure Schedules.</w:t>
      </w:r>
    </w:p>
    <w:p>
      <w:pPr>
        <w:spacing w:after="0" w:line="168" w:lineRule="exact"/>
        <w:rPr>
          <w:sz w:val="20"/>
          <w:szCs w:val="20"/>
          <w:color w:val="auto"/>
        </w:rPr>
      </w:pPr>
    </w:p>
    <w:p>
      <w:pPr>
        <w:ind w:right="80" w:firstLine="1983"/>
        <w:spacing w:after="0" w:line="272" w:lineRule="auto"/>
        <w:rPr>
          <w:sz w:val="20"/>
          <w:szCs w:val="20"/>
          <w:color w:val="auto"/>
        </w:rPr>
      </w:pPr>
      <w:r>
        <w:rPr>
          <w:rFonts w:ascii="Arial" w:cs="Arial" w:eastAsia="Arial" w:hAnsi="Arial"/>
          <w:sz w:val="17"/>
          <w:szCs w:val="17"/>
          <w:color w:val="auto"/>
        </w:rPr>
        <w:t xml:space="preserve">Section 9.20. </w:t>
      </w:r>
      <w:r>
        <w:rPr>
          <w:rFonts w:ascii="Arial" w:cs="Arial" w:eastAsia="Arial" w:hAnsi="Arial"/>
          <w:sz w:val="17"/>
          <w:szCs w:val="17"/>
          <w:u w:val="single" w:color="auto"/>
          <w:color w:val="auto"/>
        </w:rPr>
        <w:t>Provision Respecting Legal Representation</w:t>
      </w:r>
      <w:r>
        <w:rPr>
          <w:rFonts w:ascii="Arial" w:cs="Arial" w:eastAsia="Arial" w:hAnsi="Arial"/>
          <w:sz w:val="17"/>
          <w:szCs w:val="17"/>
          <w:color w:val="auto"/>
        </w:rPr>
        <w:t>. Each Party to this Agreement agrees, on its own behalf and on behalf of its Affiliates and Representatives, that Kirkland &amp; Ellis LLP may serve as counsel to Seller or any of its Affiliates, on the one hand, and EBH, on the other hand, in connection with the negotiation, preparation, execution and delivery of the Transaction Agreements and the consummation of the Transactions, and that, following consummation of the Transactions, Kirkland &amp; Ellis LLP may serve as counsel to Seller or any of its Affiliates or any Representative of any such party, in connection with any Action or arising out of or relating to the Transactions and the Transaction Agreements, notwithstanding such prior representation of EBH, and each Party consents thereto and waives any conflict of interest arising therefrom, and each Party shall cause its Affiliates and Representatives to consent to waive any conflict of interest arising therefrom.</w:t>
      </w:r>
    </w:p>
    <w:p>
      <w:pPr>
        <w:spacing w:after="0" w:line="177" w:lineRule="exact"/>
        <w:rPr>
          <w:sz w:val="20"/>
          <w:szCs w:val="20"/>
          <w:color w:val="auto"/>
        </w:rPr>
      </w:pPr>
    </w:p>
    <w:p>
      <w:pPr>
        <w:ind w:firstLine="1983"/>
        <w:spacing w:after="0" w:line="271"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Privilege</w:t>
      </w:r>
      <w:r>
        <w:rPr>
          <w:rFonts w:ascii="Arial" w:cs="Arial" w:eastAsia="Arial" w:hAnsi="Arial"/>
          <w:sz w:val="17"/>
          <w:szCs w:val="17"/>
          <w:color w:val="auto"/>
        </w:rPr>
        <w:t>. Buyer, for itself and its Affiliates, and its and its Affiliates’ respective successors and assigns, hereby irrevocably and unconditionally acknowledges and agrees that, other than in the case of Fraud (such potential claims to be reasonably determined upon the advice of counsel), all attorney-client privileged communications between Seller, any of its Affiliates (including EBH) and their respective current or former Affiliates or Representatives and their counsel, including Kirkland &amp; Ellis LLP, in connection with the negotiation, preparation, execution, delivery and Closing under any Transaction Agreement or any Transaction Dispute, or any other matter, shall continue after the Closing to be privileged communications with such counsel and neither Buyer nor any of its former or current Affiliates or Representatives nor any Person purporting to act on behalf of or through Buyer or any of its current or former Affiliates or Representatives, shall seek to obtain the same by any process on the grounds that the privilege attaching to such communications belongs to Buyer, EBH or on any other grounds.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9" w:name="page50"/>
    <w:bookmarkEnd w:id="49"/>
    <w:p>
      <w:pPr>
        <w:ind w:firstLine="1983"/>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9.22. </w:t>
      </w:r>
      <w:r>
        <w:rPr>
          <w:rFonts w:ascii="Arial" w:cs="Arial" w:eastAsia="Arial" w:hAnsi="Arial"/>
          <w:sz w:val="16"/>
          <w:szCs w:val="16"/>
          <w:u w:val="single" w:color="auto"/>
          <w:color w:val="auto"/>
        </w:rPr>
        <w:t>Counterparts</w:t>
      </w:r>
      <w:r>
        <w:rPr>
          <w:rFonts w:ascii="Arial" w:cs="Arial" w:eastAsia="Arial" w:hAnsi="Arial"/>
          <w:sz w:val="16"/>
          <w:szCs w:val="16"/>
          <w:color w:val="auto"/>
        </w:rPr>
        <w:t>. Except as otherwise required by the Title Company or applicable Law, each Transaction Agreement may be executed in counterparts, each of which shall be deemed an original, but all of which when taken together shall constitute one and the same instrument. Facsimiles, e-mail transmission of pdf. signatures or other electronic copies of signatures shall be deemed to be originals.</w:t>
      </w:r>
    </w:p>
    <w:p>
      <w:pPr>
        <w:spacing w:after="0" w:line="1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60"/>
          </w:cols>
          <w:pgMar w:left="440" w:top="274" w:right="699" w:bottom="1440" w:gutter="0" w:footer="0" w:header="0"/>
        </w:sectPr>
      </w:pPr>
    </w:p>
    <w:bookmarkStart w:id="50" w:name="page51"/>
    <w:bookmarkEnd w:id="5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Seller and Buyer have caused this Agreement to be executed on the date first written above by their respective duly authorized officers.</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SELLER: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WYNN MA,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limited liability company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Jacqui Krum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Jacqui Krum</w:t>
      </w:r>
    </w:p>
    <w:p>
      <w:pPr>
        <w:spacing w:after="0" w:line="23"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General Counsel</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REALTY INCOME CORPORATION,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Maryland corporation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Sumit 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Sumit Roy</w:t>
      </w:r>
    </w:p>
    <w:p>
      <w:pPr>
        <w:spacing w:after="0" w:line="23" w:lineRule="exact"/>
        <w:rPr>
          <w:sz w:val="20"/>
          <w:szCs w:val="20"/>
          <w:color w:val="auto"/>
        </w:rPr>
      </w:pPr>
    </w:p>
    <w:p>
      <w:pPr>
        <w:ind w:left="3780" w:right="660" w:firstLine="3103"/>
        <w:spacing w:after="0" w:line="433" w:lineRule="auto"/>
        <w:rPr>
          <w:sz w:val="20"/>
          <w:szCs w:val="20"/>
          <w:color w:val="auto"/>
        </w:rPr>
      </w:pPr>
      <w:r>
        <w:rPr>
          <w:rFonts w:ascii="Arial" w:cs="Arial" w:eastAsia="Arial" w:hAnsi="Arial"/>
          <w:sz w:val="18"/>
          <w:szCs w:val="18"/>
          <w:color w:val="auto"/>
        </w:rPr>
        <w:t>Title: President &amp; Chief Executive Officer [Signature Page to Equity Purchase Agreement]</w:t>
      </w:r>
    </w:p>
    <w:p>
      <w:pPr>
        <w:sectPr>
          <w:pgSz w:w="11900" w:h="16838" w:orient="portrait"/>
          <w:cols w:equalWidth="0" w:num="1">
            <w:col w:w="10740"/>
          </w:cols>
          <w:pgMar w:left="440" w:top="274" w:right="71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 Charlton Parcel</w:t>
      </w:r>
      <w:r>
        <w:rPr>
          <w:rFonts w:ascii="Arial" w:cs="Arial" w:eastAsia="Arial" w:hAnsi="Arial"/>
          <w:sz w:val="18"/>
          <w:szCs w:val="18"/>
          <w:color w:val="auto"/>
        </w:rPr>
        <w:t xml:space="preserve">” means the parcel of land owned in fee by Everett Lessee, as more particularly described on </w:t>
      </w:r>
      <w:r>
        <w:rPr>
          <w:rFonts w:ascii="Arial" w:cs="Arial" w:eastAsia="Arial" w:hAnsi="Arial"/>
          <w:sz w:val="18"/>
          <w:szCs w:val="18"/>
          <w:u w:val="single" w:color="auto"/>
          <w:color w:val="auto"/>
        </w:rPr>
        <w:t>Schedule 1.01(b)-1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action, suit, arbitration or proceeding by or before any Government Authority.</w:t>
      </w:r>
    </w:p>
    <w:p>
      <w:pPr>
        <w:spacing w:after="0" w:line="225" w:lineRule="exact"/>
        <w:rPr>
          <w:sz w:val="20"/>
          <w:szCs w:val="20"/>
          <w:color w:val="auto"/>
        </w:rPr>
      </w:pPr>
    </w:p>
    <w:p>
      <w:pPr>
        <w:ind w:right="2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specified Person, any other Person that, at the time of determination, directly or indirectly through one or more intermediaries, Controls, is Controlled by or is under common Control, with such specified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purposes of this Agreement (i) Seller shall not be deemed an Affiliate, after the Closing, of EBH and (ii) after the Closing, Buyer shall be deemed an Affiliate of EBH.</w:t>
      </w:r>
    </w:p>
    <w:p>
      <w:pPr>
        <w:spacing w:after="0" w:line="14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means this Equity Purchase Agreement, including the Schedules and the Exhibits hereto, and all amendments to such agreement made in accordance with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and Equity Exception</w:t>
      </w:r>
      <w:r>
        <w:rPr>
          <w:rFonts w:ascii="Arial" w:cs="Arial" w:eastAsia="Arial" w:hAnsi="Arial"/>
          <w:sz w:val="18"/>
          <w:szCs w:val="18"/>
          <w:color w:val="auto"/>
        </w:rPr>
        <w:t>” means the effect on enforceability of (i) any applicable Law relating to bankruptcy, reorganization, insolvency, moratorium, fraudulent conveyance or preferential transfers, or similar Law relating to or affecting creditors’ rights generally and (ii) general principles of equity (regardless of whether enforceability is considered in a proceeding in equity or at law).</w:t>
      </w:r>
    </w:p>
    <w:p>
      <w:pPr>
        <w:spacing w:after="0" w:line="176" w:lineRule="exact"/>
        <w:rPr>
          <w:sz w:val="20"/>
          <w:szCs w:val="20"/>
          <w:color w:val="auto"/>
        </w:rPr>
      </w:pPr>
    </w:p>
    <w:p>
      <w:pPr>
        <w:ind w:right="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Battery Farm Easement Area</w:t>
      </w:r>
      <w:r>
        <w:rPr>
          <w:rFonts w:ascii="Arial" w:cs="Arial" w:eastAsia="Arial" w:hAnsi="Arial"/>
          <w:sz w:val="16"/>
          <w:szCs w:val="16"/>
          <w:color w:val="auto"/>
        </w:rPr>
        <w:t xml:space="preserve">” means the area generally corresponding to the portion of the 3 Charlton Parcel identified as the “Battery Farm Easement Area” on the site plan attached hereto as </w:t>
      </w:r>
      <w:r>
        <w:rPr>
          <w:rFonts w:ascii="Arial" w:cs="Arial" w:eastAsia="Arial" w:hAnsi="Arial"/>
          <w:sz w:val="16"/>
          <w:szCs w:val="16"/>
          <w:u w:val="single" w:color="auto"/>
          <w:color w:val="auto"/>
        </w:rPr>
        <w:t>Schedule 1.01(b)</w:t>
      </w:r>
      <w:r>
        <w:rPr>
          <w:rFonts w:ascii="Arial" w:cs="Arial" w:eastAsia="Arial" w:hAnsi="Arial"/>
          <w:sz w:val="16"/>
          <w:szCs w:val="16"/>
          <w:color w:val="auto"/>
        </w:rPr>
        <w:t>; provided that the Battery Farm Easement Area shall be more particularly described by metes and bounds measurements (or other means reasonably acceptable to Seller, Buyer and the Title Company) in the Outparcels Easement.</w:t>
      </w:r>
    </w:p>
    <w:p>
      <w:pPr>
        <w:spacing w:after="0" w:line="14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Battery Farm Equipment</w:t>
      </w:r>
      <w:r>
        <w:rPr>
          <w:rFonts w:ascii="Arial" w:cs="Arial" w:eastAsia="Arial" w:hAnsi="Arial"/>
          <w:sz w:val="18"/>
          <w:szCs w:val="18"/>
          <w:color w:val="auto"/>
        </w:rPr>
        <w:t>” means two 15KV feeders, two 15KV disconnect switches, two 15KV/480V Dry – Type Transformers, two 480V Switchgear, 16 Battery &amp; Inverter Skids and 1,100 lithium-ion batteries.</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a Sunday or a U.S. Federal holiday or other day on which commercial banks in the City of Boston, Massachusetts, are required or authorized by Law to be closed.</w:t>
      </w:r>
    </w:p>
    <w:p>
      <w:pPr>
        <w:spacing w:after="0" w:line="162"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“Buyer’s Endorsements</w:t>
      </w:r>
      <w:r>
        <w:rPr>
          <w:rFonts w:ascii="Arial" w:cs="Arial" w:eastAsia="Arial" w:hAnsi="Arial"/>
          <w:sz w:val="18"/>
          <w:szCs w:val="18"/>
          <w:color w:val="auto"/>
        </w:rPr>
        <w:t>” means, solely with respect to the EBH Land: (1) ALTA 9.2 (owner’s comprehensive); (2) ALTA 17 (access); (3) ALTA</w:t>
      </w:r>
      <w:r>
        <w:rPr>
          <w:rFonts w:ascii="Arial" w:cs="Arial" w:eastAsia="Arial" w:hAnsi="Arial"/>
          <w:sz w:val="18"/>
          <w:szCs w:val="18"/>
          <w:b w:val="1"/>
          <w:bCs w:val="1"/>
          <w:color w:val="auto"/>
        </w:rPr>
        <w:t xml:space="preserve"> </w:t>
      </w:r>
      <w:r>
        <w:rPr>
          <w:rFonts w:ascii="Arial" w:cs="Arial" w:eastAsia="Arial" w:hAnsi="Arial"/>
          <w:sz w:val="18"/>
          <w:szCs w:val="18"/>
          <w:color w:val="auto"/>
        </w:rPr>
        <w:t>25 (same as survey; survey legal matches record title legal); (4) ALTA 22 (location); (5) ALTA 18.1 (separate/multiple tax lot); (6) ALTA 26 (subdivision map act); (7) commercial endorsement over environmental protection liens; (8) ALTA 17.2 (utilities); (9) ALTA 19 (contiguity); (10) ALTA 28 (damage or enforced removal); (11) ALTA 28.1 (boundaries and easements encroachment); (12) deletion of arbitration; (13) ALTA 15 (non-imputation; only if and to the extent that the Title Company accepts Guarantor as indemnitor for purposes thereof); (14) recharacterization; and (15) special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0" w:right="439" w:bottom="1440" w:gutter="0" w:footer="0" w:header="0"/>
        </w:sectPr>
      </w:pPr>
    </w:p>
    <w:bookmarkStart w:id="52" w:name="page53"/>
    <w:bookmarkEnd w:id="52"/>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loss of value (a.k.a. “going concern”; only if and to the extent available in the Commonwealth on commercial terms mutually acceptable to Seller and Buyer).</w:t>
      </w:r>
    </w:p>
    <w:p>
      <w:pPr>
        <w:spacing w:after="0" w:line="16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 Transaction Agreements</w:t>
      </w:r>
      <w:r>
        <w:rPr>
          <w:rFonts w:ascii="Arial" w:cs="Arial" w:eastAsia="Arial" w:hAnsi="Arial"/>
          <w:sz w:val="18"/>
          <w:szCs w:val="18"/>
          <w:color w:val="auto"/>
        </w:rPr>
        <w:t>” means this Agreement and each other Transaction Agreement to which Buyer or an Affiliate thereof is named as a party on the signature pages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 Transactions</w:t>
      </w:r>
      <w:r>
        <w:rPr>
          <w:rFonts w:ascii="Arial" w:cs="Arial" w:eastAsia="Arial" w:hAnsi="Arial"/>
          <w:sz w:val="18"/>
          <w:szCs w:val="18"/>
          <w:color w:val="auto"/>
        </w:rPr>
        <w:t>” means the transactions contemplated by the Buyer Transaction Agreements.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Casino</w:t>
      </w:r>
      <w:r>
        <w:rPr>
          <w:rFonts w:ascii="Arial" w:cs="Arial" w:eastAsia="Arial" w:hAnsi="Arial"/>
          <w:sz w:val="18"/>
          <w:szCs w:val="18"/>
          <w:color w:val="auto"/>
        </w:rPr>
        <w:t>” means the casino located at 1 Broadway, Everett, MA 02149 and commonly known as Encore Boston Harbor.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Event</w:t>
      </w:r>
      <w:r>
        <w:rPr>
          <w:rFonts w:ascii="Arial" w:cs="Arial" w:eastAsia="Arial" w:hAnsi="Arial"/>
          <w:sz w:val="18"/>
          <w:szCs w:val="18"/>
          <w:color w:val="auto"/>
        </w:rPr>
        <w:t>” means the damage or destruction of the Transferred Real Property of any portion thereof by fire or other casualty.</w:t>
      </w:r>
    </w:p>
    <w:p>
      <w:pPr>
        <w:spacing w:after="0" w:line="225"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Conditions</w:t>
      </w:r>
      <w:r>
        <w:rPr>
          <w:rFonts w:ascii="Arial" w:cs="Arial" w:eastAsia="Arial" w:hAnsi="Arial"/>
          <w:sz w:val="18"/>
          <w:szCs w:val="18"/>
          <w:color w:val="auto"/>
        </w:rPr>
        <w:t xml:space="preserve">” means conditions to the respective obligations of the Parties to consummate the transactions contemplated by this Agreement, as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Condemnation</w:t>
      </w:r>
      <w:r>
        <w:rPr>
          <w:rFonts w:ascii="Arial" w:cs="Arial" w:eastAsia="Arial" w:hAnsi="Arial"/>
          <w:sz w:val="18"/>
          <w:szCs w:val="18"/>
          <w:color w:val="auto"/>
        </w:rPr>
        <w:t>” means the commencement of any condemnation proceeding or other proceeding in eminent domain by a Government Authority for the taking of all or any portion of the Transferred Real Property.</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the Confidentiality Agreement, dated December 27, 2021, by and between Realty Income Corporation and Wynn Resorts, Limited, as the same may be amended from time to time in accordance with its terms.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means any consent, approval, clearance, qualification or authorization.</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loan or credit agreement, debenture, note, bond, mortgage, indenture, deed of trust, lease, license, contract or other legally binding agreement.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as to any Person, the power to direct or cause the direction of the management and policies of such Person, whether through the ownership of voting securities, by contract or otherwise. The terms “Controlled by,” “Controlled,” “under common Control with” and “Controlling” shall have correlative meanings.</w:t>
      </w:r>
    </w:p>
    <w:p>
      <w:pPr>
        <w:spacing w:after="0" w:line="17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Financings</w:t>
      </w:r>
      <w:r>
        <w:rPr>
          <w:rFonts w:ascii="Arial" w:cs="Arial" w:eastAsia="Arial" w:hAnsi="Arial"/>
          <w:sz w:val="18"/>
          <w:szCs w:val="18"/>
          <w:color w:val="auto"/>
        </w:rPr>
        <w:t>” means the Credit Agreement dated September 20, 2019, by and among Guarantor, as borrower, and the other subsidiaries of borrower which are party thereto as guarantors, Deutsche Bank AG New York Branch, as administrative agent and collateral agent and the lenders from time to time party thereto.</w:t>
      </w:r>
    </w:p>
    <w:p>
      <w:pPr>
        <w:spacing w:after="0" w:line="176"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Schedules</w:t>
      </w:r>
      <w:r>
        <w:rPr>
          <w:rFonts w:ascii="Arial" w:cs="Arial" w:eastAsia="Arial" w:hAnsi="Arial"/>
          <w:sz w:val="18"/>
          <w:szCs w:val="18"/>
          <w:color w:val="auto"/>
        </w:rPr>
        <w:t>” means the disclosure schedules dated as of the Agreement Date delivered by Seller to Buyer, which form a part of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80"/>
          </w:cols>
          <w:pgMar w:left="440" w:top="274" w:right="479" w:bottom="1440" w:gutter="0" w:footer="0" w:header="0"/>
        </w:sectPr>
      </w:pPr>
    </w:p>
    <w:bookmarkStart w:id="53" w:name="page54"/>
    <w:bookmarkEnd w:id="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EBH Land</w:t>
      </w:r>
      <w:r>
        <w:rPr>
          <w:rFonts w:ascii="Arial" w:cs="Arial" w:eastAsia="Arial" w:hAnsi="Arial"/>
          <w:sz w:val="18"/>
          <w:szCs w:val="18"/>
          <w:color w:val="auto"/>
        </w:rPr>
        <w:t xml:space="preserve">” means the parcels of land owned in fee by EBH, as more particularly described on </w:t>
      </w:r>
      <w:r>
        <w:rPr>
          <w:rFonts w:ascii="Arial" w:cs="Arial" w:eastAsia="Arial" w:hAnsi="Arial"/>
          <w:sz w:val="18"/>
          <w:szCs w:val="18"/>
          <w:u w:val="single" w:color="auto"/>
          <w:color w:val="auto"/>
        </w:rPr>
        <w:t>Schedule 1.01(b)-2</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xml:space="preserve">” means all applicable and legally enforceable foreign, federal, state and local statutes or Laws, judgments, orders, regulations, licenses, permits, rules and ordinances relating to pollution or protection of the environment or, to the extent related to exposure to Hazardous Materials, health and safety, including the Federal Water Pollution Control Act (33 U.S.C. §1251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Resource Conservation and Recovery Act (42 U.S.C. §6901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Safe Drinking Water Act (42 U.S.C. §3000(f)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Toxic Substances Control Act (15 U.S.C. §2601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Clean Air Act (42 U.S.C. §7401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Comprehensive Environmental Response, Compensation and Liability Act (42 U.S.C. §9601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National Environmental Policy Act (42 U.S.C. § 4321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Endangered Species Act of 1973 (16 U.S.C. § 1531 </w:t>
      </w:r>
      <w:r>
        <w:rPr>
          <w:rFonts w:ascii="Arial" w:cs="Arial" w:eastAsia="Arial" w:hAnsi="Arial"/>
          <w:sz w:val="17"/>
          <w:szCs w:val="17"/>
          <w:u w:val="single" w:color="auto"/>
          <w:color w:val="auto"/>
        </w:rPr>
        <w:t>et seq</w:t>
      </w:r>
      <w:r>
        <w:rPr>
          <w:rFonts w:ascii="Arial" w:cs="Arial" w:eastAsia="Arial" w:hAnsi="Arial"/>
          <w:sz w:val="17"/>
          <w:szCs w:val="17"/>
          <w:color w:val="auto"/>
        </w:rPr>
        <w:t>.), Massachusetts General Laws, Chapter 21D; Massachusetts General Laws, Chapter 21E; Massachusetts General Laws, Chapter 21C; Massachusetts General Laws, Chapter 21I; or any regulations promulgated under any of the foregoing, including the ones promulgated in connection with Massachusetts General Laws Chapter 21E at 310 CMR 40.0000 et seq., together with other similar state and local statutes, in effect as of the date hereof.</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permit, license, authorization or approval required under applicable Environmental Laws.</w:t>
      </w:r>
    </w:p>
    <w:p>
      <w:pPr>
        <w:spacing w:after="0" w:line="22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Everett Lessee</w:t>
      </w:r>
      <w:r>
        <w:rPr>
          <w:rFonts w:ascii="Arial" w:cs="Arial" w:eastAsia="Arial" w:hAnsi="Arial"/>
          <w:sz w:val="18"/>
          <w:szCs w:val="18"/>
          <w:color w:val="auto"/>
        </w:rPr>
        <w:t>” means Everett Property, LLC, a Massachusetts limited liability company, together with its successors and assigns under the applicable Ground Lease.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Assets</w:t>
      </w:r>
      <w:r>
        <w:rPr>
          <w:rFonts w:ascii="Arial" w:cs="Arial" w:eastAsia="Arial" w:hAnsi="Arial"/>
          <w:sz w:val="16"/>
          <w:szCs w:val="16"/>
          <w:color w:val="auto"/>
        </w:rPr>
        <w:t xml:space="preserve">” means all of the assets of EBH other than the Transferred Real Property, including those assets set forth on </w:t>
      </w:r>
      <w:r>
        <w:rPr>
          <w:rFonts w:ascii="Arial" w:cs="Arial" w:eastAsia="Arial" w:hAnsi="Arial"/>
          <w:sz w:val="16"/>
          <w:szCs w:val="16"/>
          <w:u w:val="single" w:color="auto"/>
          <w:color w:val="auto"/>
        </w:rPr>
        <w:t>Schedule 1.01(a)</w:t>
      </w:r>
      <w:r>
        <w:rPr>
          <w:rFonts w:ascii="Arial" w:cs="Arial" w:eastAsia="Arial" w:hAnsi="Arial"/>
          <w:sz w:val="16"/>
          <w:szCs w:val="16"/>
          <w:color w:val="auto"/>
        </w:rPr>
        <w:t>.</w:t>
      </w:r>
    </w:p>
    <w:p>
      <w:pPr>
        <w:spacing w:after="0" w:line="248"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Fraud</w:t>
      </w:r>
      <w:r>
        <w:rPr>
          <w:rFonts w:ascii="Arial" w:cs="Arial" w:eastAsia="Arial" w:hAnsi="Arial"/>
          <w:sz w:val="18"/>
          <w:szCs w:val="18"/>
          <w:color w:val="auto"/>
        </w:rPr>
        <w:t>” means, with respect to any Party, an actual fraud that must include a knowing and intentional misrepresentation of a material fact (based solely on the representations and warranties contained in this Agreement and not with respect to any other matters) with the intent to induce the other Party to execute this Agreement and consummate the Transactions and upon which such other Party reasonably relied and as a result of which suffered material losses. For the avoidance of doubt, “Fraud” shall not include any representation or warranty made negligently or recklessly, or any constructive fraud, equitable fraud or promissory fraud.</w:t>
      </w:r>
    </w:p>
    <w:p>
      <w:pPr>
        <w:spacing w:after="0" w:line="183"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Approvals</w:t>
      </w:r>
      <w:r>
        <w:rPr>
          <w:rFonts w:ascii="Arial" w:cs="Arial" w:eastAsia="Arial" w:hAnsi="Arial"/>
          <w:sz w:val="18"/>
          <w:szCs w:val="18"/>
          <w:color w:val="auto"/>
        </w:rPr>
        <w:t>” means all approvals from the Gaming Authority that are necessary in order to (i) allow Buyer and its Affiliates (directly or indirectly, as applicable) to own the Transferred Equity Interests and the Transferred Real Property and (ii) for the Transferred Real Property to continue to be utilized in connection with operation of Gaming Services by the Casino.</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Authority</w:t>
      </w:r>
      <w:r>
        <w:rPr>
          <w:rFonts w:ascii="Arial" w:cs="Arial" w:eastAsia="Arial" w:hAnsi="Arial"/>
          <w:sz w:val="18"/>
          <w:szCs w:val="18"/>
          <w:color w:val="auto"/>
        </w:rPr>
        <w:t>” means the Massachusetts Gaming Commission.</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means any Law, permit (including land use), consent, registration, finding of suitability, approval, license or other authorization, including any condition or limitation placed thereon, governing or relating to casino or gaming activities or operations.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0" w:right="459" w:bottom="1440" w:gutter="0" w:footer="0" w:header="0"/>
        </w:sectPr>
      </w:pPr>
    </w:p>
    <w:bookmarkStart w:id="54" w:name="page55"/>
    <w:bookmarkEnd w:id="54"/>
    <w:p>
      <w:pPr>
        <w:ind w:firstLine="44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Gaming Services</w:t>
      </w:r>
      <w:r>
        <w:rPr>
          <w:rFonts w:ascii="Arial" w:cs="Arial" w:eastAsia="Arial" w:hAnsi="Arial"/>
          <w:sz w:val="16"/>
          <w:szCs w:val="16"/>
          <w:color w:val="auto"/>
        </w:rPr>
        <w:t>” means the conduct of gaming and gambling activities, race books and sports pools, or the use of gaming devices, equipment and supplies in the operation of a casino, simulcasting facility, card club or other enterprise, including slot machines, gaming tables, cards, dice, gaming chips, player tracking systems, cashless wagering systems, mobile gaming systems, online real money gaming, poker tournaments, inter-casino linked systems and related and associated equipment, supplies and systems, and any other gambling lawfully permitted at or operated from the Casino.</w:t>
      </w:r>
    </w:p>
    <w:p>
      <w:pPr>
        <w:spacing w:after="0" w:line="151"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Authority</w:t>
      </w:r>
      <w:r>
        <w:rPr>
          <w:rFonts w:ascii="Arial" w:cs="Arial" w:eastAsia="Arial" w:hAnsi="Arial"/>
          <w:sz w:val="18"/>
          <w:szCs w:val="18"/>
          <w:color w:val="auto"/>
        </w:rPr>
        <w:t>” means any U.S. federal, state or local or any supra-national or non-U.S. government, political subdivision, governmental, regulatory or administrative authority (including the Gaming Authority), instrumentality, agency, body or commission, self-regulatory organization or any court, tribunal, or judicial or arbitral body, including any stock exchange.</w:t>
      </w:r>
    </w:p>
    <w:p>
      <w:pPr>
        <w:spacing w:after="0" w:line="176"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Ground Leases</w:t>
      </w:r>
      <w:r>
        <w:rPr>
          <w:rFonts w:ascii="Arial" w:cs="Arial" w:eastAsia="Arial" w:hAnsi="Arial"/>
          <w:sz w:val="18"/>
          <w:szCs w:val="18"/>
          <w:color w:val="auto"/>
        </w:rPr>
        <w:t>” means, each individually and collectively, the Ventouris Ground Lease and the Vigorito Ground Lease, as the same may be amended or modified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means Wynn Resorts Finance, LLC, a Nevada limited liability company.</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any substance, material, or waste, whether in solid, liquid or gaseous states, which is toxic, ignitable, reactive, or corrosive, which is or can be injurious to the health, safety, or welfare of the public or environment, and which is regulated by any local or state governmental authority or the United States Government. The term “Hazardous Material” includes any material or substance which is (i) defined as a “hazardous waste,” “extremely hazardous waste,” “restricted hazardous waste,” “hazardous substance,” “pollutant or contaminant,” or “hazardous material,” by any Environmental Law, (ii) oil and petroleum products, including gasoline and diesel, and their by-products, (iii) friable asbestos or asbestos-containing materials, (iv) designated as a “hazardous substance” pursuant to the Federal Water Pollution Control Act, (v) defined as a “hazardous waste” pursuant to the Federal Resource Conservation and Recovery Act, or (vi) defined as a “hazardous substance” pursuant to the Comprehensive Environmental Response, Compensation and Liability Act.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Horizon Parcel</w:t>
      </w:r>
      <w:r>
        <w:rPr>
          <w:rFonts w:ascii="Arial" w:cs="Arial" w:eastAsia="Arial" w:hAnsi="Arial"/>
          <w:sz w:val="18"/>
          <w:szCs w:val="18"/>
          <w:color w:val="auto"/>
        </w:rPr>
        <w:t xml:space="preserve">” means the parcel of land owned in fee by Everett Lessee, as more particularly described on </w:t>
      </w:r>
      <w:r>
        <w:rPr>
          <w:rFonts w:ascii="Arial" w:cs="Arial" w:eastAsia="Arial" w:hAnsi="Arial"/>
          <w:sz w:val="18"/>
          <w:szCs w:val="18"/>
          <w:u w:val="single" w:color="auto"/>
          <w:color w:val="auto"/>
        </w:rPr>
        <w:t>Schedule 1.01(b)-3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the rate designated from time to time in Section 6621(a)(2) of the Code, compounded on a daily basis.</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Gaming Approval</w:t>
      </w:r>
      <w:r>
        <w:rPr>
          <w:rFonts w:ascii="Arial" w:cs="Arial" w:eastAsia="Arial" w:hAnsi="Arial"/>
          <w:sz w:val="18"/>
          <w:szCs w:val="18"/>
          <w:color w:val="auto"/>
        </w:rPr>
        <w:t>” means an Interim Authorization (as described in 205 CMR 116.10 of the Code of Massachusetts Regulations) issued by the Gaming Authority allowing for the Closing to occur.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 of Buyer</w:t>
      </w:r>
      <w:r>
        <w:rPr>
          <w:rFonts w:ascii="Arial" w:cs="Arial" w:eastAsia="Arial" w:hAnsi="Arial"/>
          <w:sz w:val="16"/>
          <w:szCs w:val="16"/>
          <w:color w:val="auto"/>
        </w:rPr>
        <w:t>” means the actual knowledge of the following Persons as of the Agreement Date: Mark Hagan and Shannon Jensen.</w:t>
      </w:r>
    </w:p>
    <w:p>
      <w:pPr>
        <w:spacing w:after="0" w:line="248"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 of Seller</w:t>
      </w:r>
      <w:r>
        <w:rPr>
          <w:rFonts w:ascii="Arial" w:cs="Arial" w:eastAsia="Arial" w:hAnsi="Arial"/>
          <w:sz w:val="18"/>
          <w:szCs w:val="18"/>
          <w:color w:val="auto"/>
        </w:rPr>
        <w:t>” means the actual knowledge of the following Persons as of the Agreement Date: Ellen Whittemore, Vincent Zahn and Jacqui Krum.</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40"/>
          </w:cols>
          <w:pgMar w:left="440" w:top="270" w:right="519" w:bottom="1440" w:gutter="0" w:footer="0" w:header="0"/>
        </w:sectPr>
      </w:pPr>
    </w:p>
    <w:bookmarkStart w:id="55" w:name="page56"/>
    <w:bookmarkEnd w:id="55"/>
    <w:p>
      <w:pPr>
        <w:ind w:right="2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Law</w:t>
      </w:r>
      <w:r>
        <w:rPr>
          <w:rFonts w:ascii="Arial" w:cs="Arial" w:eastAsia="Arial" w:hAnsi="Arial"/>
          <w:sz w:val="18"/>
          <w:szCs w:val="18"/>
          <w:color w:val="auto"/>
        </w:rPr>
        <w:t>” means any U.S. federal, state, local or non-U.S. statute, law, ordinance, regulation, rule, code, Order or other requirement or rule of law (including common law) promulgated by a Government Authority.</w:t>
      </w:r>
    </w:p>
    <w:p>
      <w:pPr>
        <w:spacing w:after="0" w:line="162"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Restraint</w:t>
      </w:r>
      <w:r>
        <w:rPr>
          <w:rFonts w:ascii="Arial" w:cs="Arial" w:eastAsia="Arial" w:hAnsi="Arial"/>
          <w:sz w:val="18"/>
          <w:szCs w:val="18"/>
          <w:color w:val="auto"/>
        </w:rPr>
        <w:t xml:space="preserve">” means any Law that has the effect of prohibiting or making illegal the consummation of any of the sale and purchase of the Transferred Interests pursuant to this Agreement (including, for clarity, a final, non-appealable determination by the Gaming Authority that it will not issue a Gaming Approval to Buyer; </w:t>
      </w:r>
      <w:r>
        <w:rPr>
          <w:rFonts w:ascii="Arial" w:cs="Arial" w:eastAsia="Arial" w:hAnsi="Arial"/>
          <w:sz w:val="18"/>
          <w:szCs w:val="18"/>
          <w:u w:val="single" w:color="auto"/>
          <w:color w:val="auto"/>
        </w:rPr>
        <w:t>provided</w:t>
      </w:r>
      <w:r>
        <w:rPr>
          <w:rFonts w:ascii="Arial" w:cs="Arial" w:eastAsia="Arial" w:hAnsi="Arial"/>
          <w:sz w:val="18"/>
          <w:szCs w:val="18"/>
          <w:color w:val="auto"/>
        </w:rPr>
        <w:t>, that, a denial by the Gaming Authority of an Interim Gaming Approval shall be deemed not to be a Legal Restraint).</w:t>
      </w:r>
    </w:p>
    <w:p>
      <w:pPr>
        <w:spacing w:after="0" w:line="180"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liability, debt, guarantee, claim, demand, expense, commitment or obligation (whether direct or indirect, absolute or contingent, accrued or unaccrued, liquidated or unliquidated, or due or to become due) of every kind and description, including all costs and expenses related thereto.</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mortgage, deed of trust, pledge, hypothecation, security interest, encumbrance, claim, lien or adverse claim charge.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means all losses, damages, costs, expenses, Taxes and Liabilities actually suffered or incurred and paid (including reasonable attorneys’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07"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“MDC Holdings</w:t>
      </w:r>
      <w:r>
        <w:rPr>
          <w:rFonts w:ascii="Arial" w:cs="Arial" w:eastAsia="Arial" w:hAnsi="Arial"/>
          <w:sz w:val="18"/>
          <w:szCs w:val="18"/>
          <w:color w:val="auto"/>
        </w:rPr>
        <w:t>” means MDC Encore Holdings, LLC, a Delaware limited liability company, a wholly-owned U.S. Subsidiary of Buyer,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wholly-owned U.S. Subsidiary(ies) of Buyer that Buyer designates to take title to the Transferred Interests (but, for the avoidance of doubt, EBH shall not be included within the definition of MDC Holdings).</w:t>
      </w:r>
    </w:p>
    <w:p>
      <w:pPr>
        <w:spacing w:after="0" w:line="17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order, writ, judgment, injunction, temporary restraining order, decree, stipulation, determination or award entered by or with any Government Authority.</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Pass-Through Tax Return</w:t>
      </w:r>
      <w:r>
        <w:rPr>
          <w:rFonts w:ascii="Arial" w:cs="Arial" w:eastAsia="Arial" w:hAnsi="Arial"/>
          <w:sz w:val="18"/>
          <w:szCs w:val="18"/>
          <w:color w:val="auto"/>
        </w:rPr>
        <w:t>” means any income Tax Return filed by or with respect to EBH to the extent that (i) EBH is treated as a partnership, disregarded entity, or other pass-through entity for purposes of such Tax Return and (ii) the items reflected on such Tax Return are required to be reflected on the Tax Return of Seller or any direct or indirect owner of EBH.</w:t>
      </w:r>
    </w:p>
    <w:p>
      <w:pPr>
        <w:spacing w:after="0" w:line="17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permits, licenses, consents, registrations, concessions, grants, franchises, certificates, identification numbers, exemptions, waivers, and filings issued or required by any Government Authority under applicable Law.</w:t>
      </w:r>
    </w:p>
    <w:p>
      <w:pPr>
        <w:spacing w:after="0" w:line="162"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Permitted Exceptions</w:t>
      </w:r>
      <w:r>
        <w:rPr>
          <w:rFonts w:ascii="Arial" w:cs="Arial" w:eastAsia="Arial" w:hAnsi="Arial"/>
          <w:sz w:val="17"/>
          <w:szCs w:val="17"/>
          <w:color w:val="auto"/>
        </w:rPr>
        <w:t>” means (i) solely with respect to the EBH Land, the exceptions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7.03(e)</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and (ii)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the other Transferred Real Property, any encumbrance that does not materially interfere with the ordinary conduct of Tenant’s operations as currently conducted at the Transferred Real Property; provided that the term “Permitted Exceptions” shall not include: (1) any mortgage or other Lien securing indebtedness of Tenant (including the Current Financings), other than a Permitted Leasehold Mortgage (as defined in the Master Lease Agreement); (2) any statutory Liens of carriers, warehousemen, mechanics, materialmen, workmen and repairmen (unless the same are being contested by Seller in good faith by appropriate proceedings in accordance with the Master Lease Agreement); (3) other monetary Liens (unless the same are being contested by Seller in good</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20"/>
          </w:cols>
          <w:pgMar w:left="440" w:top="270" w:right="539" w:bottom="1440" w:gutter="0" w:footer="0" w:header="0"/>
        </w:sectPr>
      </w:pPr>
    </w:p>
    <w:bookmarkStart w:id="56" w:name="page57"/>
    <w:bookmarkEnd w:id="56"/>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faith by appropriate proceedings in accordance with the Master Lease Agreement). Notwithstanding the foregoing or anything in this Agreement to the contrary, each Permitted Lien described in any the following clauses of the definition of “Permitted Lien” will be deemed Permitted Exceptions for all purposes hereof: (iii) (solely with respect to the Transferred Real Property other than the EBH Land), (iv), (v), (vi), (vii), (viii) (including, without limitation, the Notice of Lease, the Ground Lease Assignment and the Outparcels Easement), (ix), (x), (xii) and (xiii).</w:t>
      </w:r>
    </w:p>
    <w:p>
      <w:pPr>
        <w:spacing w:after="0" w:line="167"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means the following Liens: (i) Liens for Taxes, assessments or other governmental charges or levies that are not yet due or payable or that are being contested in good faith by appropriate proceedings or that may thereafter be paid without penalty; (ii) statutory Liens of landlords and Liens of carriers, warehousemen, mechanics, materialmen, workmen, repairmen and other Liens imposed or permitted by Law in the ordinary course of business; (iii) defects or imperfections of title, easements, covenants, rights-of-way, restrictions, encroachments and other similar charges, defects or encumbrances not materially interfering with the ordinary conduct of Seller and its Affiliates’ gaming operations as currently conducted at the Transferred Real Property; (iv) zoning, entitlement, building and other generally applicable land use and environmental restrictions now or hereafter imposed by a Government Authority (including as a result of any reinterpretation of applicable Law); (v) the Master Lease Agreement and all Liens permitted thereunder, including any Permitted Leasehold Mortgage (as defined in the Master Lease Agreement); (vi) leases, subleases, occupancy agreements and other Liens that affect, or from and after the Closing Date will affect, the Tenant’s leasehold or other interests in the Transferred Real Property but not the Landlord’s interest in the Transferred Real Property, including subleases, concessions, licenses and other use and occupancy agreements and the rights of tenants, subtenants, concessionaires, licensees and others thereunder; (vii) Liens created by or through, or resulting from any facts or circumstances relating to, Buyer or its Affiliates; (viii) Liens permitted by, arising out of, under or in connection with this Agreement or the other Transaction Agreements, including the Additional Transaction Documents; (ix) rights and interests of the ground lessors under the Ground Leases and any mortgagees thereof; (x) the PILOT Agreement and the PILOT Agreement Consent; (xi) any set of facts disclosed by the Title Commitment, the Existing Survey, the Zoning Report, Environmental Reports and financial statements (and any updates or supplements to any of the foregoing or other third-party reports obtained by or made available to Buyer prior to the Agreement Date); (xii) Liens and other restrictions on any subsequent transfer imposed by state and federal securities laws or Gaming Laws; (xiii) Liens disclosed to or of which Buyer has obtained knowledge after the Agreement Date and has not objected to in a written notice given to Seller and the Title Company within two Business Days after such disclosure to or knowledge thereof by Buyer; and (xiv) Liens that will be removed or cured prior to or at Closing or insured over by the Title Company under the Title Policy.</w:t>
      </w:r>
    </w:p>
    <w:p>
      <w:pPr>
        <w:spacing w:after="0" w:line="187"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general or limited partnership, corporation, company, trust, limited liability company, limited liability partnership, firm, association or organization or other legal entity.</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PILOT Agreement</w:t>
      </w:r>
      <w:r>
        <w:rPr>
          <w:rFonts w:ascii="Arial" w:cs="Arial" w:eastAsia="Arial" w:hAnsi="Arial"/>
          <w:sz w:val="18"/>
          <w:szCs w:val="18"/>
          <w:color w:val="auto"/>
        </w:rPr>
        <w:t>” means the Agreement between the City of Everett and EBH MA Property, LLC pursuant to Chapter 121A, Section 6A of the Massachusetts General Laws, dated June 26, 2019.</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00"/>
          </w:cols>
          <w:pgMar w:left="440" w:top="274" w:right="559" w:bottom="1440" w:gutter="0" w:footer="0" w:header="0"/>
        </w:sectPr>
      </w:pPr>
    </w:p>
    <w:bookmarkStart w:id="57" w:name="page58"/>
    <w:bookmarkEnd w:id="57"/>
    <w:p>
      <w:pPr>
        <w:ind w:right="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PILOT Agreement Consent</w:t>
      </w:r>
      <w:r>
        <w:rPr>
          <w:rFonts w:ascii="Arial" w:cs="Arial" w:eastAsia="Arial" w:hAnsi="Arial"/>
          <w:sz w:val="18"/>
          <w:szCs w:val="18"/>
          <w:color w:val="auto"/>
        </w:rPr>
        <w:t>” means the written consent of the City of Everett, by and through its Mayor, as set forth in that certain letter dated as of February 10, 2022.</w:t>
      </w:r>
    </w:p>
    <w:p>
      <w:pPr>
        <w:spacing w:after="0" w:line="162"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Period</w:t>
      </w:r>
      <w:r>
        <w:rPr>
          <w:rFonts w:ascii="Arial" w:cs="Arial" w:eastAsia="Arial" w:hAnsi="Arial"/>
          <w:sz w:val="18"/>
          <w:szCs w:val="18"/>
          <w:color w:val="auto"/>
        </w:rPr>
        <w:t>” means the period beginning on the Agreement Date and ending on the earlier of the Closing Date and the date this Agreement is terminated in accordance with its terms.</w:t>
      </w:r>
    </w:p>
    <w:p>
      <w:pPr>
        <w:spacing w:after="0" w:line="16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(i) any taxable period ending on or before the Closing Date and (ii) with respect to any Straddle Period, the portion of such Straddle Period ending on and including the Closing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Taxes</w:t>
      </w:r>
      <w:r>
        <w:rPr>
          <w:rFonts w:ascii="Arial" w:cs="Arial" w:eastAsia="Arial" w:hAnsi="Arial"/>
          <w:sz w:val="18"/>
          <w:szCs w:val="18"/>
          <w:color w:val="auto"/>
        </w:rPr>
        <w:t>” means all real property Taxes, personal property Taxes and similar ad valorem Taxes.</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release, spill, emission, leaking, pumping, pouring, injection, escaping, disposal, discharge, dumping, or leaching of any Hazardous Material into the environment.</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of a Person means any director, officer, employee, partner, manager, principal, advisor, agent, consultant, attorney, accountant, investment banker or other representative of such Person.</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Business</w:t>
      </w:r>
      <w:r>
        <w:rPr>
          <w:rFonts w:ascii="Arial" w:cs="Arial" w:eastAsia="Arial" w:hAnsi="Arial"/>
          <w:sz w:val="18"/>
          <w:szCs w:val="18"/>
          <w:color w:val="auto"/>
        </w:rPr>
        <w:t>” means the businesses of Seller and its Affiliates other than ownership of the Transferred Real Property (and, for clarity, the Retained Business shall include the operation of Gaming Services at the Casino).</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Liabilities</w:t>
      </w:r>
      <w:r>
        <w:rPr>
          <w:rFonts w:ascii="Arial" w:cs="Arial" w:eastAsia="Arial" w:hAnsi="Arial"/>
          <w:sz w:val="18"/>
          <w:szCs w:val="18"/>
          <w:color w:val="auto"/>
        </w:rPr>
        <w:t xml:space="preserve">” means all Liabilities of any kind to the extent resulting from, arising out of or relating to the Retained Business before the Closing, excluding any Liabilities (i) incurred in the ordinary course of ownership of the Transferred Real Property and for which Seller will be responsible pursuant to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or (ii) to be borne by Seller under the Master Lease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Seller Fundamental Representations”</w:t>
      </w:r>
      <w:r>
        <w:rPr>
          <w:rFonts w:ascii="Arial" w:cs="Arial" w:eastAsia="Arial" w:hAnsi="Arial"/>
          <w:sz w:val="16"/>
          <w:szCs w:val="16"/>
          <w:color w:val="auto"/>
        </w:rPr>
        <w:t xml:space="preserve"> means the representations and warranties of Seller in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3.08.</w:t>
      </w:r>
    </w:p>
    <w:p>
      <w:pPr>
        <w:spacing w:after="0" w:line="248"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Transaction Agreements</w:t>
      </w:r>
      <w:r>
        <w:rPr>
          <w:rFonts w:ascii="Arial" w:cs="Arial" w:eastAsia="Arial" w:hAnsi="Arial"/>
          <w:sz w:val="18"/>
          <w:szCs w:val="18"/>
          <w:color w:val="auto"/>
        </w:rPr>
        <w:t>” means this Agreement and each other Transaction Agreement to which Seller or any of its Subsidiaries (other than EBH) is named as a party on the signature pages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Transactions</w:t>
      </w:r>
      <w:r>
        <w:rPr>
          <w:rFonts w:ascii="Arial" w:cs="Arial" w:eastAsia="Arial" w:hAnsi="Arial"/>
          <w:sz w:val="18"/>
          <w:szCs w:val="18"/>
          <w:color w:val="auto"/>
        </w:rPr>
        <w:t>” means the transactions contemplated by the Seller Transaction Agreements.</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Road Easement Area</w:t>
      </w:r>
      <w:r>
        <w:rPr>
          <w:rFonts w:ascii="Arial" w:cs="Arial" w:eastAsia="Arial" w:hAnsi="Arial"/>
          <w:sz w:val="18"/>
          <w:szCs w:val="18"/>
          <w:color w:val="auto"/>
        </w:rPr>
        <w:t xml:space="preserve">” means the area generally corresponding to the following parcels identified on the site plan attached hereto as </w:t>
      </w:r>
      <w:r>
        <w:rPr>
          <w:rFonts w:ascii="Arial" w:cs="Arial" w:eastAsia="Arial" w:hAnsi="Arial"/>
          <w:sz w:val="18"/>
          <w:szCs w:val="18"/>
          <w:u w:val="single" w:color="auto"/>
          <w:color w:val="auto"/>
        </w:rPr>
        <w:t>Schedule 1.01(b)</w:t>
      </w:r>
      <w:r>
        <w:rPr>
          <w:rFonts w:ascii="Arial" w:cs="Arial" w:eastAsia="Arial" w:hAnsi="Arial"/>
          <w:sz w:val="18"/>
          <w:szCs w:val="18"/>
          <w:color w:val="auto"/>
        </w:rPr>
        <w:t>: “Access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00"/>
          </w:cols>
          <w:pgMar w:left="440" w:top="270" w:right="559" w:bottom="1440" w:gutter="0" w:footer="0" w:header="0"/>
        </w:sectPr>
      </w:pPr>
    </w:p>
    <w:bookmarkStart w:id="58" w:name="page59"/>
    <w:bookmarkEnd w:id="58"/>
    <w:p>
      <w:pPr>
        <w:ind w:right="2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Easement Area #9”; “Lot 2”; “Parcel 2”; and “Parcel 5”; provided that the Service Road Easement Area shall be more particularly described by metes and bounds measurements (or other means reasonably acceptable to Seller, Buyer and the Title Company) in the Outparcels Easement.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any taxable period beginning on or before the Closing Date and ending after the Closing Date.</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of any specified Person means any other Person of which such first Person owns (either directly or through one or more other Subsidiaries) a majority of the outstanding equity securities or securities carrying a majority of the voting power in the election of the board of directors or other governing body of such Person, and with respect to which entity such first Person is not otherwise prohibited contractually or by other legally binding authority from exercising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purposes of this Agreement (i) after the Closing, EBH shall not be deemed a Subsidiary of Seller or any of its Affiliates and (ii) after the Closing, EBH shall be deemed a Subsidiary of Buyer.</w:t>
      </w:r>
    </w:p>
    <w:p>
      <w:pPr>
        <w:spacing w:after="0" w:line="168"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or “</w:t>
      </w:r>
      <w:r>
        <w:rPr>
          <w:rFonts w:ascii="Arial" w:cs="Arial" w:eastAsia="Arial" w:hAnsi="Arial"/>
          <w:sz w:val="17"/>
          <w:szCs w:val="17"/>
          <w:b w:val="1"/>
          <w:bCs w:val="1"/>
          <w:color w:val="auto"/>
        </w:rPr>
        <w:t>Taxes</w:t>
      </w:r>
      <w:r>
        <w:rPr>
          <w:rFonts w:ascii="Arial" w:cs="Arial" w:eastAsia="Arial" w:hAnsi="Arial"/>
          <w:sz w:val="17"/>
          <w:szCs w:val="17"/>
          <w:color w:val="auto"/>
        </w:rPr>
        <w:t>” means all federal, state, local or foreign income, gross receipts, branch profits, license, payroll, employment, excise, severance, stamp, occupation, premium, windfall profits, escheat, environmental, customs duties, capital stock, franchise, profits, withholding, social security, unemployment, disability, real property, personal property, sales, use, transfer, registration, ad valorem, value added, alternative or add-on minimum or estimated tax or other taxes, imposts, duties, levies, assessments or similar charges of any kind whatsoever, whether or not disputed, together with any interest, penalties, or additions to tax imposed by any Taxing Authority with respect thereto.</w:t>
      </w:r>
    </w:p>
    <w:p>
      <w:pPr>
        <w:spacing w:after="0" w:line="168" w:lineRule="exact"/>
        <w:rPr>
          <w:sz w:val="20"/>
          <w:szCs w:val="20"/>
          <w:color w:val="auto"/>
        </w:rPr>
      </w:pPr>
    </w:p>
    <w:p>
      <w:pPr>
        <w:ind w:right="7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Returns</w:t>
      </w:r>
      <w:r>
        <w:rPr>
          <w:rFonts w:ascii="Arial" w:cs="Arial" w:eastAsia="Arial" w:hAnsi="Arial"/>
          <w:sz w:val="18"/>
          <w:szCs w:val="18"/>
          <w:color w:val="auto"/>
        </w:rPr>
        <w:t>” means all returns and reports (including elections, declarations, disclosures, schedules, estimates, claims for refunds and information returns) filed or required to be filed with any Taxing Authority relating to Taxes.</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the IRS or any U.S. federal, state or local or non-U.S. Government Authority responsible for the imposition, collection or administration of Taxes.</w:t>
      </w:r>
    </w:p>
    <w:p>
      <w:pPr>
        <w:spacing w:after="0" w:line="162"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Company</w:t>
      </w:r>
      <w:r>
        <w:rPr>
          <w:rFonts w:ascii="Arial" w:cs="Arial" w:eastAsia="Arial" w:hAnsi="Arial"/>
          <w:sz w:val="18"/>
          <w:szCs w:val="18"/>
          <w:color w:val="auto"/>
        </w:rPr>
        <w:t>” means, collectively, Fidelity National Title Insurance Company (“</w:t>
      </w:r>
      <w:r>
        <w:rPr>
          <w:rFonts w:ascii="Arial" w:cs="Arial" w:eastAsia="Arial" w:hAnsi="Arial"/>
          <w:sz w:val="18"/>
          <w:szCs w:val="18"/>
          <w:b w:val="1"/>
          <w:bCs w:val="1"/>
          <w:color w:val="auto"/>
        </w:rPr>
        <w:t>Fidelity</w:t>
      </w:r>
      <w:r>
        <w:rPr>
          <w:rFonts w:ascii="Arial" w:cs="Arial" w:eastAsia="Arial" w:hAnsi="Arial"/>
          <w:sz w:val="18"/>
          <w:szCs w:val="18"/>
          <w:color w:val="auto"/>
        </w:rPr>
        <w:t>”), together with one or more additional title companies (if any) selected by Buyer (provided that, in all events, Fidelity shall be the lead title insurer with respect to the transactions contemplated hereby).¶</w:t>
      </w:r>
    </w:p>
    <w:p>
      <w:pPr>
        <w:spacing w:after="0" w:line="176"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Agreements</w:t>
      </w:r>
      <w:r>
        <w:rPr>
          <w:rFonts w:ascii="Arial" w:cs="Arial" w:eastAsia="Arial" w:hAnsi="Arial"/>
          <w:sz w:val="17"/>
          <w:szCs w:val="17"/>
          <w:color w:val="auto"/>
        </w:rPr>
        <w:t>” means this Agreement, the Master Lease Agreement, the Seller’s Closing Documents, the Buyer’s Closing Documents, the MIPA and each other agreement, document, instrument or certificate expressly contemplated by this Agreement, in each case including all exhibits and schedules thereto and all amendments thereto made in accordance with the respective terms thereof.</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the transactions contemplated by this Agreement and the other Transaction Agreements.</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59" w:name="page60"/>
    <w:bookmarkEnd w:id="59"/>
    <w:p>
      <w:pPr>
        <w:ind w:right="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Transfer Taxes</w:t>
      </w:r>
      <w:r>
        <w:rPr>
          <w:rFonts w:ascii="Arial" w:cs="Arial" w:eastAsia="Arial" w:hAnsi="Arial"/>
          <w:sz w:val="18"/>
          <w:szCs w:val="18"/>
          <w:color w:val="auto"/>
        </w:rPr>
        <w:t>” means any sales Tax, use Tax, direct or indirect real property transfer Tax, direct or indirect property transfer Tax, documentary or stamp Tax, value added Tax or similar Taxes.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Interests</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Land</w:t>
      </w:r>
      <w:r>
        <w:rPr>
          <w:rFonts w:ascii="Arial" w:cs="Arial" w:eastAsia="Arial" w:hAnsi="Arial"/>
          <w:sz w:val="18"/>
          <w:szCs w:val="18"/>
          <w:color w:val="auto"/>
        </w:rPr>
        <w:t>” means the EBH Land, the Ventouris Leased Property and the Horizon Parcel.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Real Property</w:t>
      </w:r>
      <w:r>
        <w:rPr>
          <w:rFonts w:ascii="Arial" w:cs="Arial" w:eastAsia="Arial" w:hAnsi="Arial"/>
          <w:sz w:val="18"/>
          <w:szCs w:val="18"/>
          <w:color w:val="auto"/>
        </w:rPr>
        <w:t>” means, collectively:</w:t>
      </w:r>
    </w:p>
    <w:p>
      <w:pPr>
        <w:spacing w:after="0" w:line="229" w:lineRule="exact"/>
        <w:rPr>
          <w:sz w:val="20"/>
          <w:szCs w:val="20"/>
          <w:color w:val="auto"/>
        </w:rPr>
      </w:pPr>
    </w:p>
    <w:p>
      <w:pPr>
        <w:ind w:left="660" w:hanging="22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Transferred Land;</w:t>
      </w:r>
    </w:p>
    <w:p>
      <w:pPr>
        <w:spacing w:after="0" w:line="225" w:lineRule="exact"/>
        <w:rPr>
          <w:rFonts w:ascii="Arial" w:cs="Arial" w:eastAsia="Arial" w:hAnsi="Arial"/>
          <w:sz w:val="18"/>
          <w:szCs w:val="18"/>
          <w:color w:val="auto"/>
        </w:rPr>
      </w:pPr>
    </w:p>
    <w:p>
      <w:pPr>
        <w:ind w:right="440" w:firstLine="436"/>
        <w:spacing w:after="0" w:line="263"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buildings and structures of every kind located on the Transferred Land, including alleyways and connecting tunnels, sidewalks, utility pipes, conduits and lines (on-site and off-site, to the extent EBH has any interest in the same) and parking areas (collectively, the “</w:t>
      </w:r>
      <w:r>
        <w:rPr>
          <w:rFonts w:ascii="Arial" w:cs="Arial" w:eastAsia="Arial" w:hAnsi="Arial"/>
          <w:sz w:val="18"/>
          <w:szCs w:val="18"/>
          <w:b w:val="1"/>
          <w:bCs w:val="1"/>
          <w:color w:val="auto"/>
        </w:rPr>
        <w:t>EBH</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Improvements</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firstLine="436"/>
        <w:spacing w:after="0" w:line="259" w:lineRule="auto"/>
        <w:tabs>
          <w:tab w:leader="none" w:pos="7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easements (including pursuant to the Outparcels Easement), rights and appurtenances, covenants, development rights, mineral, gas and oil rights and other rights appurtenant to the Transferred Land or the EBH Improvements, all right, title and interest (if any) of EBH or Everett Lessee, as applicable, in and to any land lying in the bed of any street, road, avenue or alley, open or closed, in front of or adjoining the Transferred Land and to the center line thereof.</w:t>
      </w:r>
    </w:p>
    <w:p>
      <w:pPr>
        <w:spacing w:after="0" w:line="186" w:lineRule="exact"/>
        <w:rPr>
          <w:rFonts w:ascii="Arial" w:cs="Arial" w:eastAsia="Arial" w:hAnsi="Arial"/>
          <w:sz w:val="18"/>
          <w:szCs w:val="18"/>
          <w:color w:val="auto"/>
        </w:rPr>
      </w:pPr>
    </w:p>
    <w:p>
      <w:pPr>
        <w:ind w:right="140" w:firstLine="436"/>
        <w:spacing w:after="0" w:line="263" w:lineRule="auto"/>
        <w:tabs>
          <w:tab w:leader="none" w:pos="7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equipment, machinery, fixtures, and other building fixtures now or hereafter located on, or used exclusively in connection with, the ownership, maintenance or management of the EBH Improvements, and permanently affixed to or otherwise incorporated into the EBH Improvements (“</w:t>
      </w:r>
      <w:r>
        <w:rPr>
          <w:rFonts w:ascii="Arial" w:cs="Arial" w:eastAsia="Arial" w:hAnsi="Arial"/>
          <w:sz w:val="18"/>
          <w:szCs w:val="18"/>
          <w:b w:val="1"/>
          <w:bCs w:val="1"/>
          <w:color w:val="auto"/>
        </w:rPr>
        <w:t>Fixtures</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right="240" w:firstLine="436"/>
        <w:spacing w:after="0" w:line="342"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other properties or rights, real, personal or otherwise, expressly conveyed to Buyer or Landlord pursuant to this Agreement and the other Seller Transaction Agreements, in each case, to the extent constituting “real property” as that term is defined in Treasury Regulation §1.856-3(d).</w:t>
      </w:r>
    </w:p>
    <w:p>
      <w:pPr>
        <w:spacing w:after="0" w:line="124"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Notwithstanding anything to the contrary herein, the Transferred Real Property shall not, for any purposes hereunder or under any other Transaction Agreement, include any Excluded Assets.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regulations promulgated under the Code.</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Agreement</w:t>
      </w:r>
      <w:r>
        <w:rPr>
          <w:rFonts w:ascii="Arial" w:cs="Arial" w:eastAsia="Arial" w:hAnsi="Arial"/>
          <w:sz w:val="18"/>
          <w:szCs w:val="18"/>
          <w:color w:val="auto"/>
        </w:rPr>
        <w:t xml:space="preserve">” means that certain Trust Agreement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(subject to such changes as are required by the Gaming Authority).</w:t>
      </w:r>
    </w:p>
    <w:p>
      <w:pPr>
        <w:spacing w:after="0" w:line="162" w:lineRule="exact"/>
        <w:rPr>
          <w:sz w:val="20"/>
          <w:szCs w:val="20"/>
          <w:color w:val="auto"/>
        </w:rPr>
      </w:pPr>
    </w:p>
    <w:p>
      <w:pPr>
        <w:ind w:right="5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Ventouris Ground Lease</w:t>
      </w:r>
      <w:r>
        <w:rPr>
          <w:rFonts w:ascii="Arial" w:cs="Arial" w:eastAsia="Arial" w:hAnsi="Arial"/>
          <w:sz w:val="17"/>
          <w:szCs w:val="17"/>
          <w:color w:val="auto"/>
        </w:rPr>
        <w:t>” means that certain Lease dated May 1, 2016, by and between Ventouris Ground Lessors, as lessor, and Everett Lessee, as lessee, together with amendments and supplements thereto, with respect to the Ventouris Leased Property</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0"/>
          </w:cols>
          <w:pgMar w:left="440" w:top="270" w:right="459" w:bottom="1440" w:gutter="0" w:footer="0" w:header="0"/>
        </w:sectPr>
      </w:pPr>
    </w:p>
    <w:bookmarkStart w:id="60" w:name="page61"/>
    <w:bookmarkEnd w:id="60"/>
    <w:p>
      <w:pPr>
        <w:ind w:right="440" w:firstLine="440"/>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Ventouris Ground Lessor</w:t>
      </w:r>
      <w:r>
        <w:rPr>
          <w:rFonts w:ascii="Arial" w:cs="Arial" w:eastAsia="Arial" w:hAnsi="Arial"/>
          <w:sz w:val="17"/>
          <w:szCs w:val="17"/>
          <w:color w:val="auto"/>
        </w:rPr>
        <w:t>” means Theodoros Ventouris, as Trustee of T.E.V. Realty Trust under Declaration of Trust dated March 4, 2005, recorded with the Suffolk County Registry of Deeds in Book 36601, Page 117, together with its successors and assigns.</w:t>
      </w:r>
    </w:p>
    <w:p>
      <w:pPr>
        <w:spacing w:after="0" w:line="140"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Ventouris Leased Property</w:t>
      </w:r>
      <w:r>
        <w:rPr>
          <w:rFonts w:ascii="Arial" w:cs="Arial" w:eastAsia="Arial" w:hAnsi="Arial"/>
          <w:sz w:val="18"/>
          <w:szCs w:val="18"/>
          <w:color w:val="auto"/>
        </w:rPr>
        <w:t xml:space="preserve">” means that certain property located at 150 Alford Street, Boston MA 02129, as more particularly described on </w:t>
      </w:r>
      <w:r>
        <w:rPr>
          <w:rFonts w:ascii="Arial" w:cs="Arial" w:eastAsia="Arial" w:hAnsi="Arial"/>
          <w:sz w:val="18"/>
          <w:szCs w:val="18"/>
          <w:u w:val="single" w:color="auto"/>
          <w:color w:val="auto"/>
        </w:rPr>
        <w:t>Schedule 1.01(b)-4</w:t>
      </w:r>
      <w:r>
        <w:rPr>
          <w:rFonts w:ascii="Arial" w:cs="Arial" w:eastAsia="Arial" w:hAnsi="Arial"/>
          <w:sz w:val="18"/>
          <w:szCs w:val="18"/>
          <w:color w:val="auto"/>
        </w:rPr>
        <w:t>.</w:t>
      </w:r>
    </w:p>
    <w:p>
      <w:pPr>
        <w:spacing w:after="0" w:line="162"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Vigorito Ground Lease</w:t>
      </w:r>
      <w:r>
        <w:rPr>
          <w:rFonts w:ascii="Arial" w:cs="Arial" w:eastAsia="Arial" w:hAnsi="Arial"/>
          <w:sz w:val="18"/>
          <w:szCs w:val="18"/>
          <w:color w:val="auto"/>
        </w:rPr>
        <w:t>” means that certain Master Lease dated August 10, 2015 between Vigorito Ground Lessor, as lessor, and Everett Lessee, as lessee, as amended by that certain First Amendment to Master Lease dated September 26, 2017, between Vigorito Ground Lessor and Everett Lessee, as lessee, with respect to the Vigorito Leased Property.</w:t>
      </w:r>
    </w:p>
    <w:p>
      <w:pPr>
        <w:spacing w:after="0" w:line="176" w:lineRule="exact"/>
        <w:rPr>
          <w:sz w:val="20"/>
          <w:szCs w:val="20"/>
          <w:color w:val="auto"/>
        </w:rPr>
      </w:pPr>
    </w:p>
    <w:p>
      <w:pPr>
        <w:ind w:right="1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Vigorito Ground Lessor</w:t>
      </w:r>
      <w:r>
        <w:rPr>
          <w:rFonts w:ascii="Arial" w:cs="Arial" w:eastAsia="Arial" w:hAnsi="Arial"/>
          <w:sz w:val="16"/>
          <w:szCs w:val="16"/>
          <w:color w:val="auto"/>
        </w:rPr>
        <w:t>” means Francesco Vigorito and Vito Vigorito, as Trustees of Vigor Realty Management Trust II, under Declaration of Trust dated December 30, 1995 and recorded with the Middlesex South Registry of Deeds in Book 27069, Page 261, V.M.A. Corporation, a Massachusetts corporation, and Francesco Vigorito, Trustee of Vigor Realty Management Trust under Declaration of Trust dated December 15, 1971 and recorded with the Middlesex South Registry of Deeds in Book 12130, Page 416, collectively, together with their successors and assigns.</w:t>
      </w:r>
    </w:p>
    <w:p>
      <w:pPr>
        <w:spacing w:after="0" w:line="151"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Vigorito Leased Property</w:t>
      </w:r>
      <w:r>
        <w:rPr>
          <w:rFonts w:ascii="Arial" w:cs="Arial" w:eastAsia="Arial" w:hAnsi="Arial"/>
          <w:sz w:val="18"/>
          <w:szCs w:val="18"/>
          <w:color w:val="auto"/>
        </w:rPr>
        <w:t xml:space="preserve">” means that certain property located at 20 Broadway, 28-50 Broadway and 80 Broadway, Everett MA 02149, as more particularly described on </w:t>
      </w:r>
      <w:r>
        <w:rPr>
          <w:rFonts w:ascii="Arial" w:cs="Arial" w:eastAsia="Arial" w:hAnsi="Arial"/>
          <w:sz w:val="18"/>
          <w:szCs w:val="18"/>
          <w:u w:val="single" w:color="auto"/>
          <w:color w:val="auto"/>
        </w:rPr>
        <w:t>Schedule 1.01(b)-5</w:t>
      </w:r>
      <w:r>
        <w:rPr>
          <w:rFonts w:ascii="Arial" w:cs="Arial" w:eastAsia="Arial" w:hAnsi="Arial"/>
          <w:sz w:val="18"/>
          <w:szCs w:val="18"/>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0"/>
          </w:cols>
          <w:pgMar w:left="440" w:top="270" w:right="4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u w:val="single" w:color="auto"/>
          <w:color w:val="auto"/>
        </w:rPr>
        <w:t>LEASE</w:t>
      </w:r>
    </w:p>
    <w:p>
      <w:pPr>
        <w:sectPr>
          <w:pgSz w:w="11900" w:h="16838" w:orient="portrait"/>
          <w:cols w:equalWidth="0" w:num="1">
            <w:col w:w="10020"/>
          </w:cols>
          <w:pgMar w:left="1440" w:top="270" w:right="4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420" w:type="dxa"/>
            <w:vAlign w:val="bottom"/>
            <w:gridSpan w:val="3"/>
          </w:tcPr>
          <w:p>
            <w:pPr>
              <w:jc w:val="center"/>
              <w:ind w:right="4520"/>
              <w:spacing w:after="0"/>
              <w:rPr>
                <w:sz w:val="20"/>
                <w:szCs w:val="20"/>
                <w:color w:val="auto"/>
              </w:rPr>
            </w:pPr>
            <w:r>
              <w:rPr>
                <w:rFonts w:ascii="Arial" w:cs="Arial" w:eastAsia="Arial" w:hAnsi="Arial"/>
                <w:sz w:val="18"/>
                <w:szCs w:val="18"/>
                <w:color w:val="auto"/>
                <w:w w:val="95"/>
              </w:rPr>
              <w:t>TABLE OF CONTENTS</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420" w:type="dxa"/>
            <w:vAlign w:val="bottom"/>
            <w:gridSpan w:val="3"/>
          </w:tcPr>
          <w:p>
            <w:pPr>
              <w:jc w:val="center"/>
              <w:ind w:right="4540"/>
              <w:spacing w:after="0"/>
              <w:rPr>
                <w:sz w:val="20"/>
                <w:szCs w:val="20"/>
                <w:color w:val="auto"/>
              </w:rPr>
            </w:pPr>
            <w:r>
              <w:rPr>
                <w:rFonts w:ascii="Arial" w:cs="Arial" w:eastAsia="Arial" w:hAnsi="Arial"/>
                <w:sz w:val="18"/>
                <w:szCs w:val="18"/>
                <w:color w:val="auto"/>
                <w:w w:val="95"/>
              </w:rPr>
              <w:t>TO LEASE</w:t>
            </w:r>
          </w:p>
        </w:tc>
        <w:tc>
          <w:tcPr>
            <w:tcW w:w="0" w:type="dxa"/>
            <w:vAlign w:val="bottom"/>
          </w:tcPr>
          <w:p>
            <w:pPr>
              <w:spacing w:after="0"/>
              <w:rPr>
                <w:sz w:val="1"/>
                <w:szCs w:val="1"/>
                <w:color w:val="auto"/>
              </w:rPr>
            </w:pPr>
          </w:p>
        </w:tc>
      </w:tr>
      <w:tr>
        <w:trPr>
          <w:trHeight w:val="391"/>
        </w:trPr>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1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ARTICLE I</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612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1.1</w:t>
            </w:r>
          </w:p>
        </w:tc>
        <w:tc>
          <w:tcPr>
            <w:tcW w:w="4240" w:type="dxa"/>
            <w:vAlign w:val="bottom"/>
          </w:tcPr>
          <w:p>
            <w:pPr>
              <w:ind w:left="100"/>
              <w:spacing w:after="0"/>
              <w:rPr>
                <w:sz w:val="20"/>
                <w:szCs w:val="20"/>
                <w:color w:val="auto"/>
              </w:rPr>
            </w:pPr>
            <w:r>
              <w:rPr>
                <w:rFonts w:ascii="Arial" w:cs="Arial" w:eastAsia="Arial" w:hAnsi="Arial"/>
                <w:sz w:val="18"/>
                <w:szCs w:val="18"/>
                <w:color w:val="auto"/>
              </w:rPr>
              <w:t>Leased Property.</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1.2</w:t>
            </w:r>
          </w:p>
        </w:tc>
        <w:tc>
          <w:tcPr>
            <w:tcW w:w="4240" w:type="dxa"/>
            <w:vAlign w:val="bottom"/>
          </w:tcPr>
          <w:p>
            <w:pPr>
              <w:ind w:left="100"/>
              <w:spacing w:after="0"/>
              <w:rPr>
                <w:sz w:val="20"/>
                <w:szCs w:val="20"/>
                <w:color w:val="auto"/>
              </w:rPr>
            </w:pPr>
            <w:r>
              <w:rPr>
                <w:rFonts w:ascii="Arial" w:cs="Arial" w:eastAsia="Arial" w:hAnsi="Arial"/>
                <w:sz w:val="18"/>
                <w:szCs w:val="18"/>
                <w:color w:val="auto"/>
              </w:rPr>
              <w:t>Single Property Lease.</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1.3</w:t>
            </w:r>
          </w:p>
        </w:tc>
        <w:tc>
          <w:tcPr>
            <w:tcW w:w="4240" w:type="dxa"/>
            <w:vAlign w:val="bottom"/>
          </w:tcPr>
          <w:p>
            <w:pPr>
              <w:ind w:left="100"/>
              <w:spacing w:after="0"/>
              <w:rPr>
                <w:sz w:val="20"/>
                <w:szCs w:val="20"/>
                <w:color w:val="auto"/>
              </w:rPr>
            </w:pPr>
            <w:r>
              <w:rPr>
                <w:rFonts w:ascii="Arial" w:cs="Arial" w:eastAsia="Arial" w:hAnsi="Arial"/>
                <w:sz w:val="18"/>
                <w:szCs w:val="18"/>
                <w:color w:val="auto"/>
              </w:rPr>
              <w:t>Term.</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1.4</w:t>
            </w:r>
          </w:p>
        </w:tc>
        <w:tc>
          <w:tcPr>
            <w:tcW w:w="4240" w:type="dxa"/>
            <w:vAlign w:val="bottom"/>
          </w:tcPr>
          <w:p>
            <w:pPr>
              <w:ind w:left="100"/>
              <w:spacing w:after="0"/>
              <w:rPr>
                <w:sz w:val="20"/>
                <w:szCs w:val="20"/>
                <w:color w:val="auto"/>
              </w:rPr>
            </w:pPr>
            <w:r>
              <w:rPr>
                <w:rFonts w:ascii="Arial" w:cs="Arial" w:eastAsia="Arial" w:hAnsi="Arial"/>
                <w:sz w:val="18"/>
                <w:szCs w:val="18"/>
                <w:color w:val="auto"/>
              </w:rPr>
              <w:t>Renewal Term.</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20" w:type="dxa"/>
            <w:vAlign w:val="bottom"/>
            <w:gridSpan w:val="3"/>
          </w:tcPr>
          <w:p>
            <w:pPr>
              <w:jc w:val="center"/>
              <w:ind w:right="4580"/>
              <w:spacing w:after="0"/>
              <w:rPr>
                <w:sz w:val="20"/>
                <w:szCs w:val="20"/>
                <w:color w:val="auto"/>
              </w:rPr>
            </w:pPr>
            <w:r>
              <w:rPr>
                <w:rFonts w:ascii="Arial" w:cs="Arial" w:eastAsia="Arial" w:hAnsi="Arial"/>
                <w:sz w:val="18"/>
                <w:szCs w:val="18"/>
                <w:b w:val="1"/>
                <w:bCs w:val="1"/>
                <w:color w:val="auto"/>
              </w:rPr>
              <w:t>ARTICLE II</w:t>
            </w:r>
          </w:p>
        </w:tc>
        <w:tc>
          <w:tcPr>
            <w:tcW w:w="0" w:type="dxa"/>
            <w:vAlign w:val="bottom"/>
          </w:tcPr>
          <w:p>
            <w:pPr>
              <w:spacing w:after="0"/>
              <w:rPr>
                <w:sz w:val="1"/>
                <w:szCs w:val="1"/>
                <w:color w:val="auto"/>
              </w:rPr>
            </w:pPr>
          </w:p>
        </w:tc>
      </w:tr>
      <w:tr>
        <w:trPr>
          <w:trHeight w:val="432"/>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2.1</w:t>
            </w:r>
          </w:p>
        </w:tc>
        <w:tc>
          <w:tcPr>
            <w:tcW w:w="42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20" w:type="dxa"/>
            <w:vAlign w:val="bottom"/>
            <w:gridSpan w:val="3"/>
          </w:tcPr>
          <w:p>
            <w:pPr>
              <w:jc w:val="center"/>
              <w:ind w:right="4580"/>
              <w:spacing w:after="0"/>
              <w:rPr>
                <w:sz w:val="20"/>
                <w:szCs w:val="20"/>
                <w:color w:val="auto"/>
              </w:rPr>
            </w:pPr>
            <w:r>
              <w:rPr>
                <w:rFonts w:ascii="Arial" w:cs="Arial" w:eastAsia="Arial" w:hAnsi="Arial"/>
                <w:sz w:val="18"/>
                <w:szCs w:val="18"/>
                <w:b w:val="1"/>
                <w:bCs w:val="1"/>
                <w:color w:val="auto"/>
              </w:rPr>
              <w:t>ARTICLE III</w:t>
            </w:r>
          </w:p>
        </w:tc>
        <w:tc>
          <w:tcPr>
            <w:tcW w:w="0" w:type="dxa"/>
            <w:vAlign w:val="bottom"/>
          </w:tcPr>
          <w:p>
            <w:pPr>
              <w:spacing w:after="0"/>
              <w:rPr>
                <w:sz w:val="1"/>
                <w:szCs w:val="1"/>
                <w:color w:val="auto"/>
              </w:rPr>
            </w:pPr>
          </w:p>
        </w:tc>
      </w:tr>
      <w:tr>
        <w:trPr>
          <w:trHeight w:val="418"/>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3.1</w:t>
            </w:r>
          </w:p>
        </w:tc>
        <w:tc>
          <w:tcPr>
            <w:tcW w:w="4240" w:type="dxa"/>
            <w:vAlign w:val="bottom"/>
          </w:tcPr>
          <w:p>
            <w:pPr>
              <w:ind w:left="100"/>
              <w:spacing w:after="0"/>
              <w:rPr>
                <w:sz w:val="20"/>
                <w:szCs w:val="20"/>
                <w:color w:val="auto"/>
              </w:rPr>
            </w:pPr>
            <w:r>
              <w:rPr>
                <w:rFonts w:ascii="Arial" w:cs="Arial" w:eastAsia="Arial" w:hAnsi="Arial"/>
                <w:sz w:val="18"/>
                <w:szCs w:val="18"/>
                <w:color w:val="auto"/>
              </w:rPr>
              <w:t>Rent.</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3.2</w:t>
            </w:r>
          </w:p>
        </w:tc>
        <w:tc>
          <w:tcPr>
            <w:tcW w:w="4240" w:type="dxa"/>
            <w:vAlign w:val="bottom"/>
          </w:tcPr>
          <w:p>
            <w:pPr>
              <w:ind w:left="100"/>
              <w:spacing w:after="0"/>
              <w:rPr>
                <w:sz w:val="20"/>
                <w:szCs w:val="20"/>
                <w:color w:val="auto"/>
              </w:rPr>
            </w:pPr>
            <w:r>
              <w:rPr>
                <w:rFonts w:ascii="Arial" w:cs="Arial" w:eastAsia="Arial" w:hAnsi="Arial"/>
                <w:sz w:val="18"/>
                <w:szCs w:val="18"/>
                <w:color w:val="auto"/>
              </w:rPr>
              <w:t>Late Payment of Rent.</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3.3</w:t>
            </w:r>
          </w:p>
        </w:tc>
        <w:tc>
          <w:tcPr>
            <w:tcW w:w="4240" w:type="dxa"/>
            <w:vAlign w:val="bottom"/>
          </w:tcPr>
          <w:p>
            <w:pPr>
              <w:ind w:left="100"/>
              <w:spacing w:after="0"/>
              <w:rPr>
                <w:sz w:val="20"/>
                <w:szCs w:val="20"/>
                <w:color w:val="auto"/>
              </w:rPr>
            </w:pPr>
            <w:r>
              <w:rPr>
                <w:rFonts w:ascii="Arial" w:cs="Arial" w:eastAsia="Arial" w:hAnsi="Arial"/>
                <w:sz w:val="18"/>
                <w:szCs w:val="18"/>
                <w:color w:val="auto"/>
              </w:rPr>
              <w:t>Method of Payment of Rent.</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3.4</w:t>
            </w:r>
          </w:p>
        </w:tc>
        <w:tc>
          <w:tcPr>
            <w:tcW w:w="4240" w:type="dxa"/>
            <w:vAlign w:val="bottom"/>
          </w:tcPr>
          <w:p>
            <w:pPr>
              <w:ind w:left="100"/>
              <w:spacing w:after="0"/>
              <w:rPr>
                <w:sz w:val="20"/>
                <w:szCs w:val="20"/>
                <w:color w:val="auto"/>
              </w:rPr>
            </w:pPr>
            <w:r>
              <w:rPr>
                <w:rFonts w:ascii="Arial" w:cs="Arial" w:eastAsia="Arial" w:hAnsi="Arial"/>
                <w:sz w:val="18"/>
                <w:szCs w:val="18"/>
                <w:color w:val="auto"/>
              </w:rPr>
              <w:t>Net Lease.</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3.5</w:t>
            </w:r>
          </w:p>
        </w:tc>
        <w:tc>
          <w:tcPr>
            <w:tcW w:w="4240" w:type="dxa"/>
            <w:vAlign w:val="bottom"/>
          </w:tcPr>
          <w:p>
            <w:pPr>
              <w:ind w:left="100"/>
              <w:spacing w:after="0"/>
              <w:rPr>
                <w:sz w:val="20"/>
                <w:szCs w:val="20"/>
                <w:color w:val="auto"/>
              </w:rPr>
            </w:pPr>
            <w:r>
              <w:rPr>
                <w:rFonts w:ascii="Arial" w:cs="Arial" w:eastAsia="Arial" w:hAnsi="Arial"/>
                <w:sz w:val="18"/>
                <w:szCs w:val="18"/>
                <w:color w:val="auto"/>
              </w:rPr>
              <w:t>Expansion Option.</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20" w:type="dxa"/>
            <w:vAlign w:val="bottom"/>
            <w:gridSpan w:val="3"/>
          </w:tcPr>
          <w:p>
            <w:pPr>
              <w:jc w:val="center"/>
              <w:ind w:right="4600"/>
              <w:spacing w:after="0"/>
              <w:rPr>
                <w:sz w:val="20"/>
                <w:szCs w:val="20"/>
                <w:color w:val="auto"/>
              </w:rPr>
            </w:pPr>
            <w:r>
              <w:rPr>
                <w:rFonts w:ascii="Arial" w:cs="Arial" w:eastAsia="Arial" w:hAnsi="Arial"/>
                <w:sz w:val="18"/>
                <w:szCs w:val="18"/>
                <w:b w:val="1"/>
                <w:bCs w:val="1"/>
                <w:color w:val="auto"/>
              </w:rPr>
              <w:t>ARTICLE IV</w:t>
            </w:r>
          </w:p>
        </w:tc>
        <w:tc>
          <w:tcPr>
            <w:tcW w:w="0" w:type="dxa"/>
            <w:vAlign w:val="bottom"/>
          </w:tcPr>
          <w:p>
            <w:pPr>
              <w:spacing w:after="0"/>
              <w:rPr>
                <w:sz w:val="1"/>
                <w:szCs w:val="1"/>
                <w:color w:val="auto"/>
              </w:rPr>
            </w:pPr>
          </w:p>
        </w:tc>
      </w:tr>
      <w:tr>
        <w:trPr>
          <w:trHeight w:val="418"/>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4.1</w:t>
            </w:r>
          </w:p>
        </w:tc>
        <w:tc>
          <w:tcPr>
            <w:tcW w:w="4240" w:type="dxa"/>
            <w:vAlign w:val="bottom"/>
          </w:tcPr>
          <w:p>
            <w:pPr>
              <w:ind w:left="100"/>
              <w:spacing w:after="0"/>
              <w:rPr>
                <w:sz w:val="20"/>
                <w:szCs w:val="20"/>
                <w:color w:val="auto"/>
              </w:rPr>
            </w:pPr>
            <w:r>
              <w:rPr>
                <w:rFonts w:ascii="Arial" w:cs="Arial" w:eastAsia="Arial" w:hAnsi="Arial"/>
                <w:sz w:val="18"/>
                <w:szCs w:val="18"/>
                <w:color w:val="auto"/>
              </w:rPr>
              <w:t>Impositions.</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4.2</w:t>
            </w:r>
          </w:p>
        </w:tc>
        <w:tc>
          <w:tcPr>
            <w:tcW w:w="4240" w:type="dxa"/>
            <w:vAlign w:val="bottom"/>
          </w:tcPr>
          <w:p>
            <w:pPr>
              <w:ind w:left="100"/>
              <w:spacing w:after="0"/>
              <w:rPr>
                <w:sz w:val="20"/>
                <w:szCs w:val="20"/>
                <w:color w:val="auto"/>
              </w:rPr>
            </w:pPr>
            <w:r>
              <w:rPr>
                <w:rFonts w:ascii="Arial" w:cs="Arial" w:eastAsia="Arial" w:hAnsi="Arial"/>
                <w:sz w:val="18"/>
                <w:szCs w:val="18"/>
                <w:color w:val="auto"/>
              </w:rPr>
              <w:t>Utilities.</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4.3</w:t>
            </w:r>
          </w:p>
        </w:tc>
        <w:tc>
          <w:tcPr>
            <w:tcW w:w="4240" w:type="dxa"/>
            <w:vAlign w:val="bottom"/>
          </w:tcPr>
          <w:p>
            <w:pPr>
              <w:ind w:left="100"/>
              <w:spacing w:after="0"/>
              <w:rPr>
                <w:sz w:val="20"/>
                <w:szCs w:val="20"/>
                <w:color w:val="auto"/>
              </w:rPr>
            </w:pPr>
            <w:r>
              <w:rPr>
                <w:rFonts w:ascii="Arial" w:cs="Arial" w:eastAsia="Arial" w:hAnsi="Arial"/>
                <w:sz w:val="18"/>
                <w:szCs w:val="18"/>
                <w:color w:val="auto"/>
              </w:rPr>
              <w:t>Impound Account.</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20" w:type="dxa"/>
            <w:vAlign w:val="bottom"/>
            <w:gridSpan w:val="3"/>
          </w:tcPr>
          <w:p>
            <w:pPr>
              <w:jc w:val="center"/>
              <w:ind w:right="4580"/>
              <w:spacing w:after="0"/>
              <w:rPr>
                <w:sz w:val="20"/>
                <w:szCs w:val="20"/>
                <w:color w:val="auto"/>
              </w:rPr>
            </w:pPr>
            <w:r>
              <w:rPr>
                <w:rFonts w:ascii="Arial" w:cs="Arial" w:eastAsia="Arial" w:hAnsi="Arial"/>
                <w:sz w:val="18"/>
                <w:szCs w:val="18"/>
                <w:b w:val="1"/>
                <w:bCs w:val="1"/>
                <w:color w:val="auto"/>
              </w:rPr>
              <w:t>ARTICLE V</w:t>
            </w:r>
          </w:p>
        </w:tc>
        <w:tc>
          <w:tcPr>
            <w:tcW w:w="0" w:type="dxa"/>
            <w:vAlign w:val="bottom"/>
          </w:tcPr>
          <w:p>
            <w:pPr>
              <w:spacing w:after="0"/>
              <w:rPr>
                <w:sz w:val="1"/>
                <w:szCs w:val="1"/>
                <w:color w:val="auto"/>
              </w:rPr>
            </w:pPr>
          </w:p>
        </w:tc>
      </w:tr>
      <w:tr>
        <w:trPr>
          <w:trHeight w:val="432"/>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5.1</w:t>
            </w:r>
          </w:p>
        </w:tc>
        <w:tc>
          <w:tcPr>
            <w:tcW w:w="4240" w:type="dxa"/>
            <w:vAlign w:val="bottom"/>
          </w:tcPr>
          <w:p>
            <w:pPr>
              <w:ind w:left="100"/>
              <w:spacing w:after="0"/>
              <w:rPr>
                <w:sz w:val="20"/>
                <w:szCs w:val="20"/>
                <w:color w:val="auto"/>
              </w:rPr>
            </w:pPr>
            <w:r>
              <w:rPr>
                <w:rFonts w:ascii="Arial" w:cs="Arial" w:eastAsia="Arial" w:hAnsi="Arial"/>
                <w:sz w:val="18"/>
                <w:szCs w:val="18"/>
                <w:color w:val="auto"/>
              </w:rPr>
              <w:t>No Termination, Abatement, etc.</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20" w:type="dxa"/>
            <w:vAlign w:val="bottom"/>
            <w:gridSpan w:val="3"/>
          </w:tcPr>
          <w:p>
            <w:pPr>
              <w:jc w:val="center"/>
              <w:ind w:right="4600"/>
              <w:spacing w:after="0"/>
              <w:rPr>
                <w:sz w:val="20"/>
                <w:szCs w:val="20"/>
                <w:color w:val="auto"/>
              </w:rPr>
            </w:pPr>
            <w:r>
              <w:rPr>
                <w:rFonts w:ascii="Arial" w:cs="Arial" w:eastAsia="Arial" w:hAnsi="Arial"/>
                <w:sz w:val="18"/>
                <w:szCs w:val="18"/>
                <w:b w:val="1"/>
                <w:bCs w:val="1"/>
                <w:color w:val="auto"/>
              </w:rPr>
              <w:t>ARTICLE VI</w:t>
            </w:r>
          </w:p>
        </w:tc>
        <w:tc>
          <w:tcPr>
            <w:tcW w:w="0" w:type="dxa"/>
            <w:vAlign w:val="bottom"/>
          </w:tcPr>
          <w:p>
            <w:pPr>
              <w:spacing w:after="0"/>
              <w:rPr>
                <w:sz w:val="1"/>
                <w:szCs w:val="1"/>
                <w:color w:val="auto"/>
              </w:rPr>
            </w:pPr>
          </w:p>
        </w:tc>
      </w:tr>
      <w:tr>
        <w:trPr>
          <w:trHeight w:val="418"/>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6.1</w:t>
            </w:r>
          </w:p>
        </w:tc>
        <w:tc>
          <w:tcPr>
            <w:tcW w:w="4240" w:type="dxa"/>
            <w:vAlign w:val="bottom"/>
          </w:tcPr>
          <w:p>
            <w:pPr>
              <w:ind w:left="100"/>
              <w:spacing w:after="0"/>
              <w:rPr>
                <w:sz w:val="20"/>
                <w:szCs w:val="20"/>
                <w:color w:val="auto"/>
              </w:rPr>
            </w:pPr>
            <w:r>
              <w:rPr>
                <w:rFonts w:ascii="Arial" w:cs="Arial" w:eastAsia="Arial" w:hAnsi="Arial"/>
                <w:sz w:val="18"/>
                <w:szCs w:val="18"/>
                <w:color w:val="auto"/>
              </w:rPr>
              <w:t>Ownership of the Leased Property.</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6.2</w:t>
            </w:r>
          </w:p>
        </w:tc>
        <w:tc>
          <w:tcPr>
            <w:tcW w:w="4240" w:type="dxa"/>
            <w:vAlign w:val="bottom"/>
          </w:tcPr>
          <w:p>
            <w:pPr>
              <w:ind w:left="100"/>
              <w:spacing w:after="0"/>
              <w:rPr>
                <w:sz w:val="20"/>
                <w:szCs w:val="20"/>
                <w:color w:val="auto"/>
              </w:rPr>
            </w:pPr>
            <w:r>
              <w:rPr>
                <w:rFonts w:ascii="Arial" w:cs="Arial" w:eastAsia="Arial" w:hAnsi="Arial"/>
                <w:sz w:val="18"/>
                <w:szCs w:val="18"/>
                <w:color w:val="auto"/>
              </w:rPr>
              <w:t>Tenant’s Property.</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6.3</w:t>
            </w:r>
          </w:p>
        </w:tc>
        <w:tc>
          <w:tcPr>
            <w:tcW w:w="4240" w:type="dxa"/>
            <w:vAlign w:val="bottom"/>
          </w:tcPr>
          <w:p>
            <w:pPr>
              <w:ind w:left="100"/>
              <w:spacing w:after="0"/>
              <w:rPr>
                <w:sz w:val="20"/>
                <w:szCs w:val="20"/>
                <w:color w:val="auto"/>
              </w:rPr>
            </w:pPr>
            <w:r>
              <w:rPr>
                <w:rFonts w:ascii="Arial" w:cs="Arial" w:eastAsia="Arial" w:hAnsi="Arial"/>
                <w:sz w:val="18"/>
                <w:szCs w:val="18"/>
                <w:color w:val="auto"/>
              </w:rPr>
              <w:t>Guarantors; Tenant’s Property.</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20" w:type="dxa"/>
            <w:vAlign w:val="bottom"/>
            <w:gridSpan w:val="3"/>
          </w:tcPr>
          <w:p>
            <w:pPr>
              <w:jc w:val="center"/>
              <w:ind w:right="4580"/>
              <w:spacing w:after="0"/>
              <w:rPr>
                <w:sz w:val="20"/>
                <w:szCs w:val="20"/>
                <w:color w:val="auto"/>
              </w:rPr>
            </w:pPr>
            <w:r>
              <w:rPr>
                <w:rFonts w:ascii="Arial" w:cs="Arial" w:eastAsia="Arial" w:hAnsi="Arial"/>
                <w:sz w:val="18"/>
                <w:szCs w:val="18"/>
                <w:b w:val="1"/>
                <w:bCs w:val="1"/>
                <w:color w:val="auto"/>
              </w:rPr>
              <w:t>ARTICLE VII</w:t>
            </w:r>
          </w:p>
        </w:tc>
        <w:tc>
          <w:tcPr>
            <w:tcW w:w="0" w:type="dxa"/>
            <w:vAlign w:val="bottom"/>
          </w:tcPr>
          <w:p>
            <w:pPr>
              <w:spacing w:after="0"/>
              <w:rPr>
                <w:sz w:val="1"/>
                <w:szCs w:val="1"/>
                <w:color w:val="auto"/>
              </w:rPr>
            </w:pPr>
          </w:p>
        </w:tc>
      </w:tr>
      <w:tr>
        <w:trPr>
          <w:trHeight w:val="418"/>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7.1</w:t>
            </w:r>
          </w:p>
        </w:tc>
        <w:tc>
          <w:tcPr>
            <w:tcW w:w="4240" w:type="dxa"/>
            <w:vAlign w:val="bottom"/>
          </w:tcPr>
          <w:p>
            <w:pPr>
              <w:ind w:left="100"/>
              <w:spacing w:after="0"/>
              <w:rPr>
                <w:sz w:val="20"/>
                <w:szCs w:val="20"/>
                <w:color w:val="auto"/>
              </w:rPr>
            </w:pPr>
            <w:r>
              <w:rPr>
                <w:rFonts w:ascii="Arial" w:cs="Arial" w:eastAsia="Arial" w:hAnsi="Arial"/>
                <w:sz w:val="18"/>
                <w:szCs w:val="18"/>
                <w:color w:val="auto"/>
              </w:rPr>
              <w:t>Condition of the Leased Property.</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7.2</w:t>
            </w:r>
          </w:p>
        </w:tc>
        <w:tc>
          <w:tcPr>
            <w:tcW w:w="4240" w:type="dxa"/>
            <w:vAlign w:val="bottom"/>
          </w:tcPr>
          <w:p>
            <w:pPr>
              <w:ind w:left="100"/>
              <w:spacing w:after="0"/>
              <w:rPr>
                <w:sz w:val="20"/>
                <w:szCs w:val="20"/>
                <w:color w:val="auto"/>
              </w:rPr>
            </w:pPr>
            <w:r>
              <w:rPr>
                <w:rFonts w:ascii="Arial" w:cs="Arial" w:eastAsia="Arial" w:hAnsi="Arial"/>
                <w:sz w:val="18"/>
                <w:szCs w:val="18"/>
                <w:color w:val="auto"/>
              </w:rPr>
              <w:t>Use of the Leased Property.</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20" w:type="dxa"/>
            <w:vAlign w:val="bottom"/>
            <w:gridSpan w:val="3"/>
          </w:tcPr>
          <w:p>
            <w:pPr>
              <w:jc w:val="center"/>
              <w:ind w:right="4580"/>
              <w:spacing w:after="0"/>
              <w:rPr>
                <w:sz w:val="20"/>
                <w:szCs w:val="20"/>
                <w:color w:val="auto"/>
              </w:rPr>
            </w:pPr>
            <w:r>
              <w:rPr>
                <w:rFonts w:ascii="Arial" w:cs="Arial" w:eastAsia="Arial" w:hAnsi="Arial"/>
                <w:sz w:val="18"/>
                <w:szCs w:val="18"/>
                <w:b w:val="1"/>
                <w:bCs w:val="1"/>
                <w:color w:val="auto"/>
              </w:rPr>
              <w:t>ARTICLE VIII</w:t>
            </w:r>
          </w:p>
        </w:tc>
        <w:tc>
          <w:tcPr>
            <w:tcW w:w="0" w:type="dxa"/>
            <w:vAlign w:val="bottom"/>
          </w:tcPr>
          <w:p>
            <w:pPr>
              <w:spacing w:after="0"/>
              <w:rPr>
                <w:sz w:val="1"/>
                <w:szCs w:val="1"/>
                <w:color w:val="auto"/>
              </w:rPr>
            </w:pPr>
          </w:p>
        </w:tc>
      </w:tr>
      <w:tr>
        <w:trPr>
          <w:trHeight w:val="418"/>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8.1</w:t>
            </w:r>
          </w:p>
        </w:tc>
        <w:tc>
          <w:tcPr>
            <w:tcW w:w="4240" w:type="dxa"/>
            <w:vAlign w:val="bottom"/>
          </w:tcPr>
          <w:p>
            <w:pPr>
              <w:ind w:left="100"/>
              <w:spacing w:after="0"/>
              <w:rPr>
                <w:sz w:val="20"/>
                <w:szCs w:val="20"/>
                <w:color w:val="auto"/>
              </w:rPr>
            </w:pPr>
            <w:r>
              <w:rPr>
                <w:rFonts w:ascii="Arial" w:cs="Arial" w:eastAsia="Arial" w:hAnsi="Arial"/>
                <w:sz w:val="18"/>
                <w:szCs w:val="18"/>
                <w:color w:val="auto"/>
              </w:rPr>
              <w:t>Representations and Warranties.</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8.2</w:t>
            </w:r>
          </w:p>
        </w:tc>
        <w:tc>
          <w:tcPr>
            <w:tcW w:w="4240" w:type="dxa"/>
            <w:vAlign w:val="bottom"/>
          </w:tcPr>
          <w:p>
            <w:pPr>
              <w:ind w:left="100"/>
              <w:spacing w:after="0"/>
              <w:rPr>
                <w:sz w:val="20"/>
                <w:szCs w:val="20"/>
                <w:color w:val="auto"/>
              </w:rPr>
            </w:pPr>
            <w:r>
              <w:rPr>
                <w:rFonts w:ascii="Arial" w:cs="Arial" w:eastAsia="Arial" w:hAnsi="Arial"/>
                <w:sz w:val="18"/>
                <w:szCs w:val="18"/>
                <w:color w:val="auto"/>
                <w:w w:val="90"/>
              </w:rPr>
              <w:t>Compliance with Legal and Insurance Requirements, etc.</w:t>
            </w:r>
          </w:p>
        </w:tc>
        <w:tc>
          <w:tcPr>
            <w:tcW w:w="642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8.3</w:t>
            </w:r>
          </w:p>
        </w:tc>
        <w:tc>
          <w:tcPr>
            <w:tcW w:w="8060" w:type="dxa"/>
            <w:vAlign w:val="bottom"/>
          </w:tcPr>
          <w:p>
            <w:pPr>
              <w:ind w:left="60"/>
              <w:spacing w:after="0"/>
              <w:rPr>
                <w:sz w:val="20"/>
                <w:szCs w:val="20"/>
                <w:color w:val="auto"/>
              </w:rPr>
            </w:pPr>
            <w:r>
              <w:rPr>
                <w:rFonts w:ascii="Arial" w:cs="Arial" w:eastAsia="Arial" w:hAnsi="Arial"/>
                <w:sz w:val="18"/>
                <w:szCs w:val="18"/>
                <w:color w:val="auto"/>
              </w:rPr>
              <w:t>Zoning and Uses.</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8.4</w:t>
            </w:r>
          </w:p>
        </w:tc>
        <w:tc>
          <w:tcPr>
            <w:tcW w:w="8060" w:type="dxa"/>
            <w:vAlign w:val="bottom"/>
          </w:tcPr>
          <w:p>
            <w:pPr>
              <w:ind w:left="60"/>
              <w:spacing w:after="0"/>
              <w:rPr>
                <w:sz w:val="20"/>
                <w:szCs w:val="20"/>
                <w:color w:val="auto"/>
              </w:rPr>
            </w:pPr>
            <w:r>
              <w:rPr>
                <w:rFonts w:ascii="Arial" w:cs="Arial" w:eastAsia="Arial" w:hAnsi="Arial"/>
                <w:sz w:val="18"/>
                <w:szCs w:val="18"/>
                <w:color w:val="auto"/>
              </w:rPr>
              <w:t>Compliance with Ground Leases.</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8.5</w:t>
            </w:r>
          </w:p>
        </w:tc>
        <w:tc>
          <w:tcPr>
            <w:tcW w:w="8060" w:type="dxa"/>
            <w:vAlign w:val="bottom"/>
          </w:tcPr>
          <w:p>
            <w:pPr>
              <w:ind w:left="60"/>
              <w:spacing w:after="0"/>
              <w:rPr>
                <w:sz w:val="20"/>
                <w:szCs w:val="20"/>
                <w:color w:val="auto"/>
              </w:rPr>
            </w:pPr>
            <w:r>
              <w:rPr>
                <w:rFonts w:ascii="Arial" w:cs="Arial" w:eastAsia="Arial" w:hAnsi="Arial"/>
                <w:sz w:val="18"/>
                <w:szCs w:val="18"/>
                <w:color w:val="auto"/>
              </w:rPr>
              <w:t>Third-Party Reports.</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360" w:type="dxa"/>
            <w:vAlign w:val="bottom"/>
          </w:tcPr>
          <w:p>
            <w:pPr>
              <w:spacing w:after="0"/>
              <w:rPr>
                <w:sz w:val="24"/>
                <w:szCs w:val="24"/>
                <w:color w:val="auto"/>
              </w:rPr>
            </w:pPr>
          </w:p>
        </w:tc>
        <w:tc>
          <w:tcPr>
            <w:tcW w:w="8060" w:type="dxa"/>
            <w:vAlign w:val="bottom"/>
          </w:tcPr>
          <w:p>
            <w:pPr>
              <w:jc w:val="center"/>
              <w:ind w:left="2070"/>
              <w:spacing w:after="0"/>
              <w:rPr>
                <w:sz w:val="20"/>
                <w:szCs w:val="20"/>
                <w:color w:val="auto"/>
              </w:rPr>
            </w:pPr>
            <w:r>
              <w:rPr>
                <w:rFonts w:ascii="Arial" w:cs="Arial" w:eastAsia="Arial" w:hAnsi="Arial"/>
                <w:sz w:val="18"/>
                <w:szCs w:val="18"/>
                <w:b w:val="1"/>
                <w:bCs w:val="1"/>
                <w:color w:val="auto"/>
              </w:rPr>
              <w:t>ARTICLE IX</w:t>
            </w:r>
          </w:p>
        </w:tc>
        <w:tc>
          <w:tcPr>
            <w:tcW w:w="254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9.1</w:t>
            </w:r>
          </w:p>
        </w:tc>
        <w:tc>
          <w:tcPr>
            <w:tcW w:w="8060" w:type="dxa"/>
            <w:vAlign w:val="bottom"/>
          </w:tcPr>
          <w:p>
            <w:pPr>
              <w:ind w:left="60"/>
              <w:spacing w:after="0"/>
              <w:rPr>
                <w:sz w:val="20"/>
                <w:szCs w:val="20"/>
                <w:color w:val="auto"/>
              </w:rPr>
            </w:pPr>
            <w:r>
              <w:rPr>
                <w:rFonts w:ascii="Arial" w:cs="Arial" w:eastAsia="Arial" w:hAnsi="Arial"/>
                <w:sz w:val="18"/>
                <w:szCs w:val="18"/>
                <w:color w:val="auto"/>
              </w:rPr>
              <w:t>Maintenance and Repair.</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9.2</w:t>
            </w:r>
          </w:p>
        </w:tc>
        <w:tc>
          <w:tcPr>
            <w:tcW w:w="8060" w:type="dxa"/>
            <w:vAlign w:val="bottom"/>
          </w:tcPr>
          <w:p>
            <w:pPr>
              <w:ind w:left="60"/>
              <w:spacing w:after="0"/>
              <w:rPr>
                <w:sz w:val="20"/>
                <w:szCs w:val="20"/>
                <w:color w:val="auto"/>
              </w:rPr>
            </w:pPr>
            <w:r>
              <w:rPr>
                <w:rFonts w:ascii="Arial" w:cs="Arial" w:eastAsia="Arial" w:hAnsi="Arial"/>
                <w:sz w:val="18"/>
                <w:szCs w:val="18"/>
                <w:color w:val="auto"/>
              </w:rPr>
              <w:t>FF&amp;E Reserve.</w:t>
            </w:r>
          </w:p>
        </w:tc>
        <w:tc>
          <w:tcPr>
            <w:tcW w:w="2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9.3</w:t>
            </w:r>
          </w:p>
        </w:tc>
        <w:tc>
          <w:tcPr>
            <w:tcW w:w="8060" w:type="dxa"/>
            <w:vAlign w:val="bottom"/>
          </w:tcPr>
          <w:p>
            <w:pPr>
              <w:ind w:left="60"/>
              <w:spacing w:after="0"/>
              <w:rPr>
                <w:sz w:val="20"/>
                <w:szCs w:val="20"/>
                <w:color w:val="auto"/>
              </w:rPr>
            </w:pPr>
            <w:r>
              <w:rPr>
                <w:rFonts w:ascii="Arial" w:cs="Arial" w:eastAsia="Arial" w:hAnsi="Arial"/>
                <w:sz w:val="18"/>
                <w:szCs w:val="18"/>
                <w:color w:val="auto"/>
              </w:rPr>
              <w:t>Encroachments, Restrictions, Mineral Leases, etc.</w:t>
            </w:r>
          </w:p>
        </w:tc>
        <w:tc>
          <w:tcPr>
            <w:tcW w:w="2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360" w:type="dxa"/>
            <w:vAlign w:val="bottom"/>
          </w:tcPr>
          <w:p>
            <w:pPr>
              <w:spacing w:after="0"/>
              <w:rPr>
                <w:sz w:val="24"/>
                <w:szCs w:val="24"/>
                <w:color w:val="auto"/>
              </w:rPr>
            </w:pPr>
          </w:p>
        </w:tc>
        <w:tc>
          <w:tcPr>
            <w:tcW w:w="8060" w:type="dxa"/>
            <w:vAlign w:val="bottom"/>
          </w:tcPr>
          <w:p>
            <w:pPr>
              <w:jc w:val="center"/>
              <w:ind w:left="2090"/>
              <w:spacing w:after="0"/>
              <w:rPr>
                <w:sz w:val="20"/>
                <w:szCs w:val="20"/>
                <w:color w:val="auto"/>
              </w:rPr>
            </w:pPr>
            <w:r>
              <w:rPr>
                <w:rFonts w:ascii="Arial" w:cs="Arial" w:eastAsia="Arial" w:hAnsi="Arial"/>
                <w:sz w:val="18"/>
                <w:szCs w:val="18"/>
                <w:b w:val="1"/>
                <w:bCs w:val="1"/>
                <w:color w:val="auto"/>
              </w:rPr>
              <w:t>ARTICLE X</w:t>
            </w:r>
          </w:p>
        </w:tc>
        <w:tc>
          <w:tcPr>
            <w:tcW w:w="254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8060" w:type="dxa"/>
            <w:vAlign w:val="bottom"/>
          </w:tcPr>
          <w:p>
            <w:pPr>
              <w:ind w:left="60"/>
              <w:spacing w:after="0"/>
              <w:rPr>
                <w:sz w:val="20"/>
                <w:szCs w:val="20"/>
                <w:color w:val="auto"/>
              </w:rPr>
            </w:pPr>
            <w:r>
              <w:rPr>
                <w:rFonts w:ascii="Arial" w:cs="Arial" w:eastAsia="Arial" w:hAnsi="Arial"/>
                <w:sz w:val="18"/>
                <w:szCs w:val="18"/>
                <w:color w:val="auto"/>
              </w:rPr>
              <w:t>Construction of Capital Improvements to the Leased Property.</w:t>
            </w:r>
          </w:p>
        </w:tc>
        <w:tc>
          <w:tcPr>
            <w:tcW w:w="2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10.2</w:t>
            </w:r>
          </w:p>
        </w:tc>
        <w:tc>
          <w:tcPr>
            <w:tcW w:w="8060" w:type="dxa"/>
            <w:vAlign w:val="bottom"/>
          </w:tcPr>
          <w:p>
            <w:pPr>
              <w:ind w:left="60"/>
              <w:spacing w:after="0"/>
              <w:rPr>
                <w:sz w:val="20"/>
                <w:szCs w:val="20"/>
                <w:color w:val="auto"/>
              </w:rPr>
            </w:pPr>
            <w:r>
              <w:rPr>
                <w:rFonts w:ascii="Arial" w:cs="Arial" w:eastAsia="Arial" w:hAnsi="Arial"/>
                <w:sz w:val="18"/>
                <w:szCs w:val="18"/>
                <w:color w:val="auto"/>
              </w:rPr>
              <w:t>Construction Requirements for All Capital Improvements.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10.3</w:t>
            </w:r>
          </w:p>
        </w:tc>
        <w:tc>
          <w:tcPr>
            <w:tcW w:w="8060" w:type="dxa"/>
            <w:vAlign w:val="bottom"/>
          </w:tcPr>
          <w:p>
            <w:pPr>
              <w:ind w:left="60"/>
              <w:spacing w:after="0"/>
              <w:rPr>
                <w:sz w:val="20"/>
                <w:szCs w:val="20"/>
                <w:color w:val="auto"/>
              </w:rPr>
            </w:pPr>
            <w:r>
              <w:rPr>
                <w:rFonts w:ascii="Arial" w:cs="Arial" w:eastAsia="Arial" w:hAnsi="Arial"/>
                <w:sz w:val="18"/>
                <w:szCs w:val="18"/>
                <w:color w:val="auto"/>
              </w:rPr>
              <w:t>Landlord’s Right of First Offer to Fund.</w:t>
            </w:r>
          </w:p>
        </w:tc>
        <w:tc>
          <w:tcPr>
            <w:tcW w:w="2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360" w:type="dxa"/>
            <w:vAlign w:val="bottom"/>
          </w:tcPr>
          <w:p>
            <w:pPr>
              <w:spacing w:after="0"/>
              <w:rPr>
                <w:sz w:val="24"/>
                <w:szCs w:val="24"/>
                <w:color w:val="auto"/>
              </w:rPr>
            </w:pPr>
          </w:p>
        </w:tc>
        <w:tc>
          <w:tcPr>
            <w:tcW w:w="8060" w:type="dxa"/>
            <w:vAlign w:val="bottom"/>
          </w:tcPr>
          <w:p>
            <w:pPr>
              <w:jc w:val="center"/>
              <w:ind w:left="2070"/>
              <w:spacing w:after="0"/>
              <w:rPr>
                <w:sz w:val="20"/>
                <w:szCs w:val="20"/>
                <w:color w:val="auto"/>
              </w:rPr>
            </w:pPr>
            <w:r>
              <w:rPr>
                <w:rFonts w:ascii="Arial" w:cs="Arial" w:eastAsia="Arial" w:hAnsi="Arial"/>
                <w:sz w:val="18"/>
                <w:szCs w:val="18"/>
                <w:b w:val="1"/>
                <w:bCs w:val="1"/>
                <w:color w:val="auto"/>
              </w:rPr>
              <w:t>ARTICLE XI</w:t>
            </w:r>
          </w:p>
        </w:tc>
        <w:tc>
          <w:tcPr>
            <w:tcW w:w="2540" w:type="dxa"/>
            <w:vAlign w:val="bottom"/>
          </w:tcPr>
          <w:p>
            <w:pPr>
              <w:spacing w:after="0"/>
              <w:rPr>
                <w:sz w:val="24"/>
                <w:szCs w:val="24"/>
                <w:color w:val="auto"/>
              </w:rPr>
            </w:pP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w w:val="96"/>
              </w:rPr>
              <w:t>11.1</w:t>
            </w:r>
          </w:p>
        </w:tc>
        <w:tc>
          <w:tcPr>
            <w:tcW w:w="8060" w:type="dxa"/>
            <w:vAlign w:val="bottom"/>
          </w:tcPr>
          <w:p>
            <w:pPr>
              <w:ind w:left="60"/>
              <w:spacing w:after="0"/>
              <w:rPr>
                <w:sz w:val="20"/>
                <w:szCs w:val="20"/>
                <w:color w:val="auto"/>
              </w:rPr>
            </w:pPr>
            <w:r>
              <w:rPr>
                <w:rFonts w:ascii="Arial" w:cs="Arial" w:eastAsia="Arial" w:hAnsi="Arial"/>
                <w:sz w:val="18"/>
                <w:szCs w:val="18"/>
                <w:color w:val="auto"/>
              </w:rPr>
              <w:t>Liens.</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360" w:type="dxa"/>
            <w:vAlign w:val="bottom"/>
          </w:tcPr>
          <w:p>
            <w:pPr>
              <w:spacing w:after="0"/>
              <w:rPr>
                <w:sz w:val="24"/>
                <w:szCs w:val="24"/>
                <w:color w:val="auto"/>
              </w:rPr>
            </w:pPr>
          </w:p>
        </w:tc>
        <w:tc>
          <w:tcPr>
            <w:tcW w:w="8060" w:type="dxa"/>
            <w:vAlign w:val="bottom"/>
          </w:tcPr>
          <w:p>
            <w:pPr>
              <w:jc w:val="center"/>
              <w:ind w:left="2090"/>
              <w:spacing w:after="0"/>
              <w:rPr>
                <w:sz w:val="20"/>
                <w:szCs w:val="20"/>
                <w:color w:val="auto"/>
              </w:rPr>
            </w:pPr>
            <w:r>
              <w:rPr>
                <w:rFonts w:ascii="Arial" w:cs="Arial" w:eastAsia="Arial" w:hAnsi="Arial"/>
                <w:sz w:val="18"/>
                <w:szCs w:val="18"/>
                <w:b w:val="1"/>
                <w:bCs w:val="1"/>
                <w:color w:val="auto"/>
              </w:rPr>
              <w:t>ARTICLE XII</w:t>
            </w:r>
          </w:p>
        </w:tc>
        <w:tc>
          <w:tcPr>
            <w:tcW w:w="2540" w:type="dxa"/>
            <w:vAlign w:val="bottom"/>
          </w:tcPr>
          <w:p>
            <w:pPr>
              <w:spacing w:after="0"/>
              <w:rPr>
                <w:sz w:val="24"/>
                <w:szCs w:val="24"/>
                <w:color w:val="auto"/>
              </w:rPr>
            </w:pP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w w:val="96"/>
              </w:rPr>
              <w:t>12.1</w:t>
            </w:r>
          </w:p>
        </w:tc>
        <w:tc>
          <w:tcPr>
            <w:tcW w:w="8060" w:type="dxa"/>
            <w:vAlign w:val="bottom"/>
          </w:tcPr>
          <w:p>
            <w:pPr>
              <w:ind w:left="60"/>
              <w:spacing w:after="0"/>
              <w:rPr>
                <w:sz w:val="20"/>
                <w:szCs w:val="20"/>
                <w:color w:val="auto"/>
              </w:rPr>
            </w:pPr>
            <w:r>
              <w:rPr>
                <w:rFonts w:ascii="Arial" w:cs="Arial" w:eastAsia="Arial" w:hAnsi="Arial"/>
                <w:sz w:val="18"/>
                <w:szCs w:val="18"/>
                <w:color w:val="auto"/>
              </w:rPr>
              <w:t>Permitted Contests.</w:t>
            </w:r>
          </w:p>
        </w:tc>
        <w:tc>
          <w:tcPr>
            <w:tcW w:w="2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360" w:type="dxa"/>
            <w:vAlign w:val="bottom"/>
          </w:tcPr>
          <w:p>
            <w:pPr>
              <w:spacing w:after="0"/>
              <w:rPr>
                <w:sz w:val="24"/>
                <w:szCs w:val="24"/>
                <w:color w:val="auto"/>
              </w:rPr>
            </w:pPr>
          </w:p>
        </w:tc>
        <w:tc>
          <w:tcPr>
            <w:tcW w:w="8060" w:type="dxa"/>
            <w:vAlign w:val="bottom"/>
          </w:tcPr>
          <w:p>
            <w:pPr>
              <w:jc w:val="center"/>
              <w:ind w:left="2090"/>
              <w:spacing w:after="0"/>
              <w:rPr>
                <w:sz w:val="20"/>
                <w:szCs w:val="20"/>
                <w:color w:val="auto"/>
              </w:rPr>
            </w:pPr>
            <w:r>
              <w:rPr>
                <w:rFonts w:ascii="Arial" w:cs="Arial" w:eastAsia="Arial" w:hAnsi="Arial"/>
                <w:sz w:val="18"/>
                <w:szCs w:val="18"/>
                <w:b w:val="1"/>
                <w:bCs w:val="1"/>
                <w:color w:val="auto"/>
              </w:rPr>
              <w:t>ARTICLE XIII</w:t>
            </w:r>
          </w:p>
        </w:tc>
        <w:tc>
          <w:tcPr>
            <w:tcW w:w="254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13.1</w:t>
            </w:r>
          </w:p>
        </w:tc>
        <w:tc>
          <w:tcPr>
            <w:tcW w:w="8060" w:type="dxa"/>
            <w:vAlign w:val="bottom"/>
          </w:tcPr>
          <w:p>
            <w:pPr>
              <w:ind w:left="60"/>
              <w:spacing w:after="0"/>
              <w:rPr>
                <w:sz w:val="20"/>
                <w:szCs w:val="20"/>
                <w:color w:val="auto"/>
              </w:rPr>
            </w:pPr>
            <w:r>
              <w:rPr>
                <w:rFonts w:ascii="Arial" w:cs="Arial" w:eastAsia="Arial" w:hAnsi="Arial"/>
                <w:sz w:val="18"/>
                <w:szCs w:val="18"/>
                <w:color w:val="auto"/>
              </w:rPr>
              <w:t>General Insurance Requirements.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13.2</w:t>
            </w:r>
          </w:p>
        </w:tc>
        <w:tc>
          <w:tcPr>
            <w:tcW w:w="8060" w:type="dxa"/>
            <w:vAlign w:val="bottom"/>
          </w:tcPr>
          <w:p>
            <w:pPr>
              <w:ind w:left="60"/>
              <w:spacing w:after="0"/>
              <w:rPr>
                <w:sz w:val="20"/>
                <w:szCs w:val="20"/>
                <w:color w:val="auto"/>
              </w:rPr>
            </w:pPr>
            <w:r>
              <w:rPr>
                <w:rFonts w:ascii="Arial" w:cs="Arial" w:eastAsia="Arial" w:hAnsi="Arial"/>
                <w:sz w:val="18"/>
                <w:szCs w:val="18"/>
                <w:color w:val="auto"/>
              </w:rPr>
              <w:t>Maximum Foreseeable Loss.</w:t>
            </w:r>
          </w:p>
        </w:tc>
        <w:tc>
          <w:tcPr>
            <w:tcW w:w="2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13.3</w:t>
            </w:r>
          </w:p>
        </w:tc>
        <w:tc>
          <w:tcPr>
            <w:tcW w:w="8060" w:type="dxa"/>
            <w:vAlign w:val="bottom"/>
          </w:tcPr>
          <w:p>
            <w:pPr>
              <w:ind w:left="60"/>
              <w:spacing w:after="0"/>
              <w:rPr>
                <w:sz w:val="20"/>
                <w:szCs w:val="20"/>
                <w:color w:val="auto"/>
              </w:rPr>
            </w:pPr>
            <w:r>
              <w:rPr>
                <w:rFonts w:ascii="Arial" w:cs="Arial" w:eastAsia="Arial" w:hAnsi="Arial"/>
                <w:sz w:val="18"/>
                <w:szCs w:val="18"/>
                <w:color w:val="auto"/>
              </w:rPr>
              <w:t>Additional 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13.4</w:t>
            </w:r>
          </w:p>
        </w:tc>
        <w:tc>
          <w:tcPr>
            <w:tcW w:w="8060" w:type="dxa"/>
            <w:vAlign w:val="bottom"/>
          </w:tcPr>
          <w:p>
            <w:pPr>
              <w:ind w:left="60"/>
              <w:spacing w:after="0"/>
              <w:rPr>
                <w:sz w:val="20"/>
                <w:szCs w:val="20"/>
                <w:color w:val="auto"/>
              </w:rPr>
            </w:pPr>
            <w:r>
              <w:rPr>
                <w:rFonts w:ascii="Arial" w:cs="Arial" w:eastAsia="Arial" w:hAnsi="Arial"/>
                <w:sz w:val="18"/>
                <w:szCs w:val="18"/>
                <w:color w:val="auto"/>
              </w:rPr>
              <w:t>Waiver of Subrogation.</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13.5</w:t>
            </w:r>
          </w:p>
        </w:tc>
        <w:tc>
          <w:tcPr>
            <w:tcW w:w="8060" w:type="dxa"/>
            <w:vAlign w:val="bottom"/>
          </w:tcPr>
          <w:p>
            <w:pPr>
              <w:ind w:left="60"/>
              <w:spacing w:after="0"/>
              <w:rPr>
                <w:sz w:val="20"/>
                <w:szCs w:val="20"/>
                <w:color w:val="auto"/>
              </w:rPr>
            </w:pPr>
            <w:r>
              <w:rPr>
                <w:rFonts w:ascii="Arial" w:cs="Arial" w:eastAsia="Arial" w:hAnsi="Arial"/>
                <w:sz w:val="18"/>
                <w:szCs w:val="18"/>
                <w:color w:val="auto"/>
              </w:rPr>
              <w:t>Policy Requirements.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13.6</w:t>
            </w:r>
          </w:p>
        </w:tc>
        <w:tc>
          <w:tcPr>
            <w:tcW w:w="8060" w:type="dxa"/>
            <w:vAlign w:val="bottom"/>
          </w:tcPr>
          <w:p>
            <w:pPr>
              <w:ind w:left="60"/>
              <w:spacing w:after="0"/>
              <w:rPr>
                <w:sz w:val="20"/>
                <w:szCs w:val="20"/>
                <w:color w:val="auto"/>
              </w:rPr>
            </w:pPr>
            <w:r>
              <w:rPr>
                <w:rFonts w:ascii="Arial" w:cs="Arial" w:eastAsia="Arial" w:hAnsi="Arial"/>
                <w:sz w:val="18"/>
                <w:szCs w:val="18"/>
                <w:color w:val="auto"/>
              </w:rPr>
              <w:t>Increase in Limits.</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13.7</w:t>
            </w:r>
          </w:p>
        </w:tc>
        <w:tc>
          <w:tcPr>
            <w:tcW w:w="8060" w:type="dxa"/>
            <w:vAlign w:val="bottom"/>
          </w:tcPr>
          <w:p>
            <w:pPr>
              <w:ind w:left="60"/>
              <w:spacing w:after="0"/>
              <w:rPr>
                <w:sz w:val="20"/>
                <w:szCs w:val="20"/>
                <w:color w:val="auto"/>
              </w:rPr>
            </w:pPr>
            <w:r>
              <w:rPr>
                <w:rFonts w:ascii="Arial" w:cs="Arial" w:eastAsia="Arial" w:hAnsi="Arial"/>
                <w:sz w:val="18"/>
                <w:szCs w:val="18"/>
                <w:color w:val="auto"/>
              </w:rPr>
              <w:t>Blanket Policy.</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13.8</w:t>
            </w:r>
          </w:p>
        </w:tc>
        <w:tc>
          <w:tcPr>
            <w:tcW w:w="8060" w:type="dxa"/>
            <w:vAlign w:val="bottom"/>
          </w:tcPr>
          <w:p>
            <w:pPr>
              <w:ind w:left="60"/>
              <w:spacing w:after="0"/>
              <w:rPr>
                <w:sz w:val="20"/>
                <w:szCs w:val="20"/>
                <w:color w:val="auto"/>
              </w:rPr>
            </w:pPr>
            <w:r>
              <w:rPr>
                <w:rFonts w:ascii="Arial" w:cs="Arial" w:eastAsia="Arial" w:hAnsi="Arial"/>
                <w:sz w:val="18"/>
                <w:szCs w:val="18"/>
                <w:color w:val="auto"/>
              </w:rPr>
              <w:t>No Separate 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13.9</w:t>
            </w:r>
          </w:p>
        </w:tc>
        <w:tc>
          <w:tcPr>
            <w:tcW w:w="8060" w:type="dxa"/>
            <w:vAlign w:val="bottom"/>
          </w:tcPr>
          <w:p>
            <w:pPr>
              <w:ind w:left="60"/>
              <w:spacing w:after="0"/>
              <w:rPr>
                <w:sz w:val="20"/>
                <w:szCs w:val="20"/>
                <w:color w:val="auto"/>
              </w:rPr>
            </w:pPr>
            <w:r>
              <w:rPr>
                <w:rFonts w:ascii="Arial" w:cs="Arial" w:eastAsia="Arial" w:hAnsi="Arial"/>
                <w:sz w:val="18"/>
                <w:szCs w:val="18"/>
                <w:color w:val="auto"/>
              </w:rPr>
              <w:t>Captive Insurance Company Requirements.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360" w:type="dxa"/>
            <w:vAlign w:val="bottom"/>
          </w:tcPr>
          <w:p>
            <w:pPr>
              <w:spacing w:after="0"/>
              <w:rPr>
                <w:sz w:val="24"/>
                <w:szCs w:val="24"/>
                <w:color w:val="auto"/>
              </w:rPr>
            </w:pPr>
          </w:p>
        </w:tc>
        <w:tc>
          <w:tcPr>
            <w:tcW w:w="8060" w:type="dxa"/>
            <w:vAlign w:val="bottom"/>
          </w:tcPr>
          <w:p>
            <w:pPr>
              <w:jc w:val="center"/>
              <w:ind w:left="2090"/>
              <w:spacing w:after="0"/>
              <w:rPr>
                <w:sz w:val="20"/>
                <w:szCs w:val="20"/>
                <w:color w:val="auto"/>
              </w:rPr>
            </w:pPr>
            <w:r>
              <w:rPr>
                <w:rFonts w:ascii="Arial" w:cs="Arial" w:eastAsia="Arial" w:hAnsi="Arial"/>
                <w:sz w:val="18"/>
                <w:szCs w:val="18"/>
                <w:b w:val="1"/>
                <w:bCs w:val="1"/>
                <w:color w:val="auto"/>
              </w:rPr>
              <w:t>ARTICLE XIV</w:t>
            </w:r>
          </w:p>
        </w:tc>
        <w:tc>
          <w:tcPr>
            <w:tcW w:w="254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14.1</w:t>
            </w:r>
          </w:p>
        </w:tc>
        <w:tc>
          <w:tcPr>
            <w:tcW w:w="8060" w:type="dxa"/>
            <w:vAlign w:val="bottom"/>
          </w:tcPr>
          <w:p>
            <w:pPr>
              <w:ind w:left="60"/>
              <w:spacing w:after="0"/>
              <w:rPr>
                <w:sz w:val="20"/>
                <w:szCs w:val="20"/>
                <w:color w:val="auto"/>
              </w:rPr>
            </w:pPr>
            <w:r>
              <w:rPr>
                <w:rFonts w:ascii="Arial" w:cs="Arial" w:eastAsia="Arial" w:hAnsi="Arial"/>
                <w:sz w:val="18"/>
                <w:szCs w:val="18"/>
                <w:color w:val="auto"/>
              </w:rPr>
              <w:t>Property Insurance Proceeds.</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14.2</w:t>
            </w:r>
          </w:p>
        </w:tc>
        <w:tc>
          <w:tcPr>
            <w:tcW w:w="8060" w:type="dxa"/>
            <w:vAlign w:val="bottom"/>
          </w:tcPr>
          <w:p>
            <w:pPr>
              <w:ind w:left="60"/>
              <w:spacing w:after="0"/>
              <w:rPr>
                <w:sz w:val="20"/>
                <w:szCs w:val="20"/>
                <w:color w:val="auto"/>
              </w:rPr>
            </w:pPr>
            <w:r>
              <w:rPr>
                <w:rFonts w:ascii="Arial" w:cs="Arial" w:eastAsia="Arial" w:hAnsi="Arial"/>
                <w:sz w:val="18"/>
                <w:szCs w:val="18"/>
                <w:color w:val="auto"/>
              </w:rPr>
              <w:t>Tenant’s Obligations Following Casualty.</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14.3</w:t>
            </w:r>
          </w:p>
        </w:tc>
        <w:tc>
          <w:tcPr>
            <w:tcW w:w="8060" w:type="dxa"/>
            <w:vAlign w:val="bottom"/>
          </w:tcPr>
          <w:p>
            <w:pPr>
              <w:ind w:left="60"/>
              <w:spacing w:after="0"/>
              <w:rPr>
                <w:sz w:val="20"/>
                <w:szCs w:val="20"/>
                <w:color w:val="auto"/>
              </w:rPr>
            </w:pPr>
            <w:r>
              <w:rPr>
                <w:rFonts w:ascii="Arial" w:cs="Arial" w:eastAsia="Arial" w:hAnsi="Arial"/>
                <w:sz w:val="18"/>
                <w:szCs w:val="18"/>
                <w:color w:val="auto"/>
              </w:rPr>
              <w:t>No Abatement of Rent.</w:t>
            </w:r>
          </w:p>
        </w:tc>
        <w:tc>
          <w:tcPr>
            <w:tcW w:w="2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14.4</w:t>
            </w:r>
          </w:p>
        </w:tc>
        <w:tc>
          <w:tcPr>
            <w:tcW w:w="8060" w:type="dxa"/>
            <w:vAlign w:val="bottom"/>
          </w:tcPr>
          <w:p>
            <w:pPr>
              <w:ind w:left="60"/>
              <w:spacing w:after="0"/>
              <w:rPr>
                <w:sz w:val="20"/>
                <w:szCs w:val="20"/>
                <w:color w:val="auto"/>
              </w:rPr>
            </w:pPr>
            <w:r>
              <w:rPr>
                <w:rFonts w:ascii="Arial" w:cs="Arial" w:eastAsia="Arial" w:hAnsi="Arial"/>
                <w:sz w:val="18"/>
                <w:szCs w:val="18"/>
                <w:color w:val="auto"/>
              </w:rPr>
              <w:t>Waiver.</w:t>
            </w:r>
          </w:p>
        </w:tc>
        <w:tc>
          <w:tcPr>
            <w:tcW w:w="2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14.5</w:t>
            </w:r>
          </w:p>
        </w:tc>
        <w:tc>
          <w:tcPr>
            <w:tcW w:w="8060" w:type="dxa"/>
            <w:vAlign w:val="bottom"/>
          </w:tcPr>
          <w:p>
            <w:pPr>
              <w:ind w:left="60"/>
              <w:spacing w:after="0"/>
              <w:rPr>
                <w:sz w:val="20"/>
                <w:szCs w:val="20"/>
                <w:color w:val="auto"/>
              </w:rPr>
            </w:pPr>
            <w:r>
              <w:rPr>
                <w:rFonts w:ascii="Arial" w:cs="Arial" w:eastAsia="Arial" w:hAnsi="Arial"/>
                <w:sz w:val="18"/>
                <w:szCs w:val="18"/>
                <w:color w:val="auto"/>
              </w:rPr>
              <w:t>Insurance Proceeds Paid to Facility Mortgagee.</w:t>
            </w:r>
          </w:p>
        </w:tc>
        <w:tc>
          <w:tcPr>
            <w:tcW w:w="2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360" w:type="dxa"/>
            <w:vAlign w:val="bottom"/>
          </w:tcPr>
          <w:p>
            <w:pPr>
              <w:spacing w:after="0"/>
              <w:rPr>
                <w:sz w:val="24"/>
                <w:szCs w:val="24"/>
                <w:color w:val="auto"/>
              </w:rPr>
            </w:pPr>
          </w:p>
        </w:tc>
        <w:tc>
          <w:tcPr>
            <w:tcW w:w="8060" w:type="dxa"/>
            <w:vAlign w:val="bottom"/>
          </w:tcPr>
          <w:p>
            <w:pPr>
              <w:jc w:val="center"/>
              <w:ind w:left="2090"/>
              <w:spacing w:after="0"/>
              <w:rPr>
                <w:sz w:val="20"/>
                <w:szCs w:val="20"/>
                <w:color w:val="auto"/>
              </w:rPr>
            </w:pPr>
            <w:r>
              <w:rPr>
                <w:rFonts w:ascii="Arial" w:cs="Arial" w:eastAsia="Arial" w:hAnsi="Arial"/>
                <w:sz w:val="18"/>
                <w:szCs w:val="18"/>
                <w:b w:val="1"/>
                <w:bCs w:val="1"/>
                <w:color w:val="auto"/>
              </w:rPr>
              <w:t>ARTICLE XV</w:t>
            </w:r>
          </w:p>
        </w:tc>
        <w:tc>
          <w:tcPr>
            <w:tcW w:w="254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15.1</w:t>
            </w:r>
          </w:p>
        </w:tc>
        <w:tc>
          <w:tcPr>
            <w:tcW w:w="8060" w:type="dxa"/>
            <w:vAlign w:val="bottom"/>
          </w:tcPr>
          <w:p>
            <w:pPr>
              <w:ind w:left="60"/>
              <w:spacing w:after="0"/>
              <w:rPr>
                <w:sz w:val="20"/>
                <w:szCs w:val="20"/>
                <w:color w:val="auto"/>
              </w:rPr>
            </w:pPr>
            <w:r>
              <w:rPr>
                <w:rFonts w:ascii="Arial" w:cs="Arial" w:eastAsia="Arial" w:hAnsi="Arial"/>
                <w:sz w:val="18"/>
                <w:szCs w:val="18"/>
                <w:color w:val="auto"/>
              </w:rPr>
              <w:t>Condemnation.</w:t>
            </w:r>
          </w:p>
        </w:tc>
        <w:tc>
          <w:tcPr>
            <w:tcW w:w="2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15.2</w:t>
            </w:r>
          </w:p>
        </w:tc>
        <w:tc>
          <w:tcPr>
            <w:tcW w:w="8060" w:type="dxa"/>
            <w:vAlign w:val="bottom"/>
          </w:tcPr>
          <w:p>
            <w:pPr>
              <w:ind w:left="60"/>
              <w:spacing w:after="0"/>
              <w:rPr>
                <w:sz w:val="20"/>
                <w:szCs w:val="20"/>
                <w:color w:val="auto"/>
              </w:rPr>
            </w:pPr>
            <w:r>
              <w:rPr>
                <w:rFonts w:ascii="Arial" w:cs="Arial" w:eastAsia="Arial" w:hAnsi="Arial"/>
                <w:sz w:val="18"/>
                <w:szCs w:val="18"/>
                <w:color w:val="auto"/>
              </w:rPr>
              <w:t>Award Distribution.</w:t>
            </w:r>
          </w:p>
        </w:tc>
        <w:tc>
          <w:tcPr>
            <w:tcW w:w="25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15.3</w:t>
            </w:r>
          </w:p>
        </w:tc>
        <w:tc>
          <w:tcPr>
            <w:tcW w:w="4080" w:type="dxa"/>
            <w:vAlign w:val="bottom"/>
          </w:tcPr>
          <w:p>
            <w:pPr>
              <w:ind w:left="60"/>
              <w:spacing w:after="0"/>
              <w:rPr>
                <w:sz w:val="20"/>
                <w:szCs w:val="20"/>
                <w:color w:val="auto"/>
              </w:rPr>
            </w:pPr>
            <w:r>
              <w:rPr>
                <w:rFonts w:ascii="Arial" w:cs="Arial" w:eastAsia="Arial" w:hAnsi="Arial"/>
                <w:sz w:val="18"/>
                <w:szCs w:val="18"/>
                <w:color w:val="auto"/>
              </w:rPr>
              <w:t>Temporary Taking.</w:t>
            </w:r>
          </w:p>
        </w:tc>
        <w:tc>
          <w:tcPr>
            <w:tcW w:w="6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15.4</w:t>
            </w:r>
          </w:p>
        </w:tc>
        <w:tc>
          <w:tcPr>
            <w:tcW w:w="4080" w:type="dxa"/>
            <w:vAlign w:val="bottom"/>
          </w:tcPr>
          <w:p>
            <w:pPr>
              <w:ind w:left="60"/>
              <w:spacing w:after="0"/>
              <w:rPr>
                <w:sz w:val="20"/>
                <w:szCs w:val="20"/>
                <w:color w:val="auto"/>
              </w:rPr>
            </w:pPr>
            <w:r>
              <w:rPr>
                <w:rFonts w:ascii="Arial" w:cs="Arial" w:eastAsia="Arial" w:hAnsi="Arial"/>
                <w:sz w:val="18"/>
                <w:szCs w:val="18"/>
                <w:color w:val="auto"/>
              </w:rPr>
              <w:t>No Abatement of Rent.</w:t>
            </w:r>
          </w:p>
        </w:tc>
        <w:tc>
          <w:tcPr>
            <w:tcW w:w="6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15.5</w:t>
            </w:r>
          </w:p>
        </w:tc>
        <w:tc>
          <w:tcPr>
            <w:tcW w:w="4080" w:type="dxa"/>
            <w:vAlign w:val="bottom"/>
          </w:tcPr>
          <w:p>
            <w:pPr>
              <w:ind w:left="60"/>
              <w:spacing w:after="0"/>
              <w:rPr>
                <w:sz w:val="20"/>
                <w:szCs w:val="20"/>
                <w:color w:val="auto"/>
              </w:rPr>
            </w:pPr>
            <w:r>
              <w:rPr>
                <w:rFonts w:ascii="Arial" w:cs="Arial" w:eastAsia="Arial" w:hAnsi="Arial"/>
                <w:sz w:val="18"/>
                <w:szCs w:val="18"/>
                <w:color w:val="auto"/>
              </w:rPr>
              <w:t>Waiver.</w:t>
            </w:r>
          </w:p>
        </w:tc>
        <w:tc>
          <w:tcPr>
            <w:tcW w:w="6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color w:val="auto"/>
                <w:w w:val="85"/>
              </w:rPr>
              <w:t>15.6</w:t>
            </w:r>
          </w:p>
        </w:tc>
        <w:tc>
          <w:tcPr>
            <w:tcW w:w="4080" w:type="dxa"/>
            <w:vAlign w:val="bottom"/>
          </w:tcPr>
          <w:p>
            <w:pPr>
              <w:ind w:left="60"/>
              <w:spacing w:after="0"/>
              <w:rPr>
                <w:sz w:val="20"/>
                <w:szCs w:val="20"/>
                <w:color w:val="auto"/>
              </w:rPr>
            </w:pPr>
            <w:r>
              <w:rPr>
                <w:rFonts w:ascii="Arial" w:cs="Arial" w:eastAsia="Arial" w:hAnsi="Arial"/>
                <w:sz w:val="18"/>
                <w:szCs w:val="18"/>
                <w:color w:val="auto"/>
                <w:w w:val="99"/>
              </w:rPr>
              <w:t>Condemnation Awards Paid to Facility Mortgagee.</w:t>
            </w:r>
          </w:p>
        </w:tc>
        <w:tc>
          <w:tcPr>
            <w:tcW w:w="6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520" w:type="dxa"/>
            <w:vAlign w:val="bottom"/>
          </w:tcPr>
          <w:p>
            <w:pPr>
              <w:jc w:val="center"/>
              <w:ind w:right="4350"/>
              <w:spacing w:after="0"/>
              <w:rPr>
                <w:sz w:val="20"/>
                <w:szCs w:val="20"/>
                <w:color w:val="auto"/>
              </w:rPr>
            </w:pPr>
            <w:r>
              <w:rPr>
                <w:rFonts w:ascii="Arial" w:cs="Arial" w:eastAsia="Arial" w:hAnsi="Arial"/>
                <w:sz w:val="18"/>
                <w:szCs w:val="18"/>
                <w:b w:val="1"/>
                <w:bCs w:val="1"/>
                <w:color w:val="auto"/>
              </w:rPr>
              <w:t>ARTICLE XVI</w:t>
            </w:r>
          </w:p>
        </w:tc>
      </w:tr>
      <w:tr>
        <w:trPr>
          <w:trHeight w:val="418"/>
        </w:trPr>
        <w:tc>
          <w:tcPr>
            <w:tcW w:w="360" w:type="dxa"/>
            <w:vAlign w:val="bottom"/>
          </w:tcPr>
          <w:p>
            <w:pPr>
              <w:jc w:val="right"/>
              <w:spacing w:after="0"/>
              <w:rPr>
                <w:sz w:val="20"/>
                <w:szCs w:val="20"/>
                <w:color w:val="auto"/>
              </w:rPr>
            </w:pPr>
            <w:r>
              <w:rPr>
                <w:rFonts w:ascii="Arial" w:cs="Arial" w:eastAsia="Arial" w:hAnsi="Arial"/>
                <w:sz w:val="18"/>
                <w:szCs w:val="18"/>
                <w:color w:val="auto"/>
                <w:w w:val="85"/>
              </w:rPr>
              <w:t>16.1</w:t>
            </w:r>
          </w:p>
        </w:tc>
        <w:tc>
          <w:tcPr>
            <w:tcW w:w="408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6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16.2</w:t>
            </w:r>
          </w:p>
        </w:tc>
        <w:tc>
          <w:tcPr>
            <w:tcW w:w="4080" w:type="dxa"/>
            <w:vAlign w:val="bottom"/>
          </w:tcPr>
          <w:p>
            <w:pPr>
              <w:ind w:left="60"/>
              <w:spacing w:after="0"/>
              <w:rPr>
                <w:sz w:val="20"/>
                <w:szCs w:val="20"/>
                <w:color w:val="auto"/>
              </w:rPr>
            </w:pPr>
            <w:r>
              <w:rPr>
                <w:rFonts w:ascii="Arial" w:cs="Arial" w:eastAsia="Arial" w:hAnsi="Arial"/>
                <w:sz w:val="18"/>
                <w:szCs w:val="18"/>
                <w:color w:val="auto"/>
              </w:rPr>
              <w:t>Certain Remedies.</w:t>
            </w:r>
          </w:p>
        </w:tc>
        <w:tc>
          <w:tcPr>
            <w:tcW w:w="6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16.3</w:t>
            </w:r>
          </w:p>
        </w:tc>
        <w:tc>
          <w:tcPr>
            <w:tcW w:w="4080" w:type="dxa"/>
            <w:vAlign w:val="bottom"/>
          </w:tcPr>
          <w:p>
            <w:pPr>
              <w:ind w:left="60"/>
              <w:spacing w:after="0"/>
              <w:rPr>
                <w:sz w:val="20"/>
                <w:szCs w:val="20"/>
                <w:color w:val="auto"/>
              </w:rPr>
            </w:pPr>
            <w:r>
              <w:rPr>
                <w:rFonts w:ascii="Arial" w:cs="Arial" w:eastAsia="Arial" w:hAnsi="Arial"/>
                <w:sz w:val="18"/>
                <w:szCs w:val="18"/>
                <w:color w:val="auto"/>
              </w:rPr>
              <w:t>Damages.</w:t>
            </w:r>
          </w:p>
        </w:tc>
        <w:tc>
          <w:tcPr>
            <w:tcW w:w="6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16.4</w:t>
            </w:r>
          </w:p>
        </w:tc>
        <w:tc>
          <w:tcPr>
            <w:tcW w:w="4080" w:type="dxa"/>
            <w:vAlign w:val="bottom"/>
          </w:tcPr>
          <w:p>
            <w:pPr>
              <w:ind w:left="60"/>
              <w:spacing w:after="0"/>
              <w:rPr>
                <w:sz w:val="20"/>
                <w:szCs w:val="20"/>
                <w:color w:val="auto"/>
              </w:rPr>
            </w:pPr>
            <w:r>
              <w:rPr>
                <w:rFonts w:ascii="Arial" w:cs="Arial" w:eastAsia="Arial" w:hAnsi="Arial"/>
                <w:sz w:val="18"/>
                <w:szCs w:val="18"/>
                <w:color w:val="auto"/>
              </w:rPr>
              <w:t>Receiver.</w:t>
            </w:r>
          </w:p>
        </w:tc>
        <w:tc>
          <w:tcPr>
            <w:tcW w:w="6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16.5</w:t>
            </w:r>
          </w:p>
        </w:tc>
        <w:tc>
          <w:tcPr>
            <w:tcW w:w="4080" w:type="dxa"/>
            <w:vAlign w:val="bottom"/>
          </w:tcPr>
          <w:p>
            <w:pPr>
              <w:ind w:left="60"/>
              <w:spacing w:after="0"/>
              <w:rPr>
                <w:sz w:val="20"/>
                <w:szCs w:val="20"/>
                <w:color w:val="auto"/>
              </w:rPr>
            </w:pPr>
            <w:r>
              <w:rPr>
                <w:rFonts w:ascii="Arial" w:cs="Arial" w:eastAsia="Arial" w:hAnsi="Arial"/>
                <w:sz w:val="18"/>
                <w:szCs w:val="18"/>
                <w:color w:val="auto"/>
              </w:rPr>
              <w:t>Waiver.</w:t>
            </w:r>
          </w:p>
        </w:tc>
        <w:tc>
          <w:tcPr>
            <w:tcW w:w="6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16.6</w:t>
            </w:r>
          </w:p>
        </w:tc>
        <w:tc>
          <w:tcPr>
            <w:tcW w:w="4080" w:type="dxa"/>
            <w:vAlign w:val="bottom"/>
          </w:tcPr>
          <w:p>
            <w:pPr>
              <w:ind w:left="60"/>
              <w:spacing w:after="0"/>
              <w:rPr>
                <w:sz w:val="20"/>
                <w:szCs w:val="20"/>
                <w:color w:val="auto"/>
              </w:rPr>
            </w:pPr>
            <w:r>
              <w:rPr>
                <w:rFonts w:ascii="Arial" w:cs="Arial" w:eastAsia="Arial" w:hAnsi="Arial"/>
                <w:sz w:val="18"/>
                <w:szCs w:val="18"/>
                <w:color w:val="auto"/>
              </w:rPr>
              <w:t>Application of Funds.</w:t>
            </w:r>
          </w:p>
        </w:tc>
        <w:tc>
          <w:tcPr>
            <w:tcW w:w="6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color w:val="auto"/>
                <w:w w:val="85"/>
              </w:rPr>
              <w:t>16.7</w:t>
            </w:r>
          </w:p>
        </w:tc>
        <w:tc>
          <w:tcPr>
            <w:tcW w:w="4080" w:type="dxa"/>
            <w:vAlign w:val="bottom"/>
          </w:tcPr>
          <w:p>
            <w:pPr>
              <w:ind w:left="60"/>
              <w:spacing w:after="0"/>
              <w:rPr>
                <w:sz w:val="20"/>
                <w:szCs w:val="20"/>
                <w:color w:val="auto"/>
              </w:rPr>
            </w:pPr>
            <w:r>
              <w:rPr>
                <w:rFonts w:ascii="Arial" w:cs="Arial" w:eastAsia="Arial" w:hAnsi="Arial"/>
                <w:sz w:val="18"/>
                <w:szCs w:val="18"/>
                <w:color w:val="auto"/>
              </w:rPr>
              <w:t>Landlord’s Right to Cure Tenant’s Defaults.</w:t>
            </w:r>
          </w:p>
        </w:tc>
        <w:tc>
          <w:tcPr>
            <w:tcW w:w="6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520" w:type="dxa"/>
            <w:vAlign w:val="bottom"/>
          </w:tcPr>
          <w:p>
            <w:pPr>
              <w:jc w:val="center"/>
              <w:ind w:right="4370"/>
              <w:spacing w:after="0"/>
              <w:rPr>
                <w:sz w:val="20"/>
                <w:szCs w:val="20"/>
                <w:color w:val="auto"/>
              </w:rPr>
            </w:pPr>
            <w:r>
              <w:rPr>
                <w:rFonts w:ascii="Arial" w:cs="Arial" w:eastAsia="Arial" w:hAnsi="Arial"/>
                <w:sz w:val="18"/>
                <w:szCs w:val="18"/>
                <w:b w:val="1"/>
                <w:bCs w:val="1"/>
                <w:color w:val="auto"/>
              </w:rPr>
              <w:t>ARTICLE XVII</w:t>
            </w:r>
          </w:p>
        </w:tc>
      </w:tr>
      <w:tr>
        <w:trPr>
          <w:trHeight w:val="418"/>
        </w:trPr>
        <w:tc>
          <w:tcPr>
            <w:tcW w:w="360" w:type="dxa"/>
            <w:vAlign w:val="bottom"/>
          </w:tcPr>
          <w:p>
            <w:pPr>
              <w:jc w:val="right"/>
              <w:spacing w:after="0"/>
              <w:rPr>
                <w:sz w:val="20"/>
                <w:szCs w:val="20"/>
                <w:color w:val="auto"/>
              </w:rPr>
            </w:pPr>
            <w:r>
              <w:rPr>
                <w:rFonts w:ascii="Arial" w:cs="Arial" w:eastAsia="Arial" w:hAnsi="Arial"/>
                <w:sz w:val="18"/>
                <w:szCs w:val="18"/>
                <w:color w:val="auto"/>
                <w:w w:val="85"/>
              </w:rPr>
              <w:t>17.1</w:t>
            </w:r>
          </w:p>
        </w:tc>
        <w:tc>
          <w:tcPr>
            <w:tcW w:w="4080" w:type="dxa"/>
            <w:vAlign w:val="bottom"/>
          </w:tcPr>
          <w:p>
            <w:pPr>
              <w:ind w:left="60"/>
              <w:spacing w:after="0"/>
              <w:rPr>
                <w:sz w:val="20"/>
                <w:szCs w:val="20"/>
                <w:color w:val="auto"/>
              </w:rPr>
            </w:pPr>
            <w:r>
              <w:rPr>
                <w:rFonts w:ascii="Arial" w:cs="Arial" w:eastAsia="Arial" w:hAnsi="Arial"/>
                <w:sz w:val="18"/>
                <w:szCs w:val="18"/>
                <w:color w:val="auto"/>
              </w:rPr>
              <w:t>Permitted Leasehold Mortgagees.</w:t>
            </w:r>
          </w:p>
        </w:tc>
        <w:tc>
          <w:tcPr>
            <w:tcW w:w="6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17.2</w:t>
            </w:r>
          </w:p>
        </w:tc>
        <w:tc>
          <w:tcPr>
            <w:tcW w:w="4080" w:type="dxa"/>
            <w:vAlign w:val="bottom"/>
          </w:tcPr>
          <w:p>
            <w:pPr>
              <w:ind w:left="60"/>
              <w:spacing w:after="0"/>
              <w:rPr>
                <w:sz w:val="20"/>
                <w:szCs w:val="20"/>
                <w:color w:val="auto"/>
              </w:rPr>
            </w:pPr>
            <w:r>
              <w:rPr>
                <w:rFonts w:ascii="Arial" w:cs="Arial" w:eastAsia="Arial" w:hAnsi="Arial"/>
                <w:sz w:val="18"/>
                <w:szCs w:val="18"/>
                <w:color w:val="auto"/>
              </w:rPr>
              <w:t>Landlord’s Right to Cure Tenant’s Default.</w:t>
            </w:r>
          </w:p>
        </w:tc>
        <w:tc>
          <w:tcPr>
            <w:tcW w:w="6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color w:val="auto"/>
                <w:w w:val="85"/>
              </w:rPr>
              <w:t>17.3</w:t>
            </w:r>
          </w:p>
        </w:tc>
        <w:tc>
          <w:tcPr>
            <w:tcW w:w="4080" w:type="dxa"/>
            <w:vAlign w:val="bottom"/>
          </w:tcPr>
          <w:p>
            <w:pPr>
              <w:ind w:left="60"/>
              <w:spacing w:after="0"/>
              <w:rPr>
                <w:sz w:val="20"/>
                <w:szCs w:val="20"/>
                <w:color w:val="auto"/>
              </w:rPr>
            </w:pPr>
            <w:r>
              <w:rPr>
                <w:rFonts w:ascii="Arial" w:cs="Arial" w:eastAsia="Arial" w:hAnsi="Arial"/>
                <w:sz w:val="18"/>
                <w:szCs w:val="18"/>
                <w:color w:val="auto"/>
              </w:rPr>
              <w:t>Landlord’s Right to Cure Debt Agreement.</w:t>
            </w:r>
          </w:p>
        </w:tc>
        <w:tc>
          <w:tcPr>
            <w:tcW w:w="6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520" w:type="dxa"/>
            <w:vAlign w:val="bottom"/>
          </w:tcPr>
          <w:p>
            <w:pPr>
              <w:jc w:val="center"/>
              <w:ind w:right="4350"/>
              <w:spacing w:after="0"/>
              <w:rPr>
                <w:sz w:val="20"/>
                <w:szCs w:val="20"/>
                <w:color w:val="auto"/>
              </w:rPr>
            </w:pPr>
            <w:r>
              <w:rPr>
                <w:rFonts w:ascii="Arial" w:cs="Arial" w:eastAsia="Arial" w:hAnsi="Arial"/>
                <w:sz w:val="18"/>
                <w:szCs w:val="18"/>
                <w:b w:val="1"/>
                <w:bCs w:val="1"/>
                <w:color w:val="auto"/>
              </w:rPr>
              <w:t>ARTICLE XVIII</w:t>
            </w:r>
          </w:p>
        </w:tc>
      </w:tr>
      <w:tr>
        <w:trPr>
          <w:trHeight w:val="418"/>
        </w:trPr>
        <w:tc>
          <w:tcPr>
            <w:tcW w:w="360" w:type="dxa"/>
            <w:vAlign w:val="bottom"/>
          </w:tcPr>
          <w:p>
            <w:pPr>
              <w:jc w:val="right"/>
              <w:spacing w:after="0"/>
              <w:rPr>
                <w:sz w:val="20"/>
                <w:szCs w:val="20"/>
                <w:color w:val="auto"/>
              </w:rPr>
            </w:pPr>
            <w:r>
              <w:rPr>
                <w:rFonts w:ascii="Arial" w:cs="Arial" w:eastAsia="Arial" w:hAnsi="Arial"/>
                <w:sz w:val="18"/>
                <w:szCs w:val="18"/>
                <w:color w:val="auto"/>
                <w:w w:val="85"/>
              </w:rPr>
              <w:t>18.1</w:t>
            </w:r>
          </w:p>
        </w:tc>
        <w:tc>
          <w:tcPr>
            <w:tcW w:w="4080" w:type="dxa"/>
            <w:vAlign w:val="bottom"/>
          </w:tcPr>
          <w:p>
            <w:pPr>
              <w:ind w:left="60"/>
              <w:spacing w:after="0"/>
              <w:rPr>
                <w:sz w:val="20"/>
                <w:szCs w:val="20"/>
                <w:color w:val="auto"/>
              </w:rPr>
            </w:pPr>
            <w:r>
              <w:rPr>
                <w:rFonts w:ascii="Arial" w:cs="Arial" w:eastAsia="Arial" w:hAnsi="Arial"/>
                <w:sz w:val="18"/>
                <w:szCs w:val="18"/>
                <w:color w:val="auto"/>
              </w:rPr>
              <w:t>Sale of the Leased Property.</w:t>
            </w:r>
          </w:p>
        </w:tc>
        <w:tc>
          <w:tcPr>
            <w:tcW w:w="6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color w:val="auto"/>
                <w:w w:val="85"/>
              </w:rPr>
              <w:t>18.2</w:t>
            </w:r>
          </w:p>
        </w:tc>
        <w:tc>
          <w:tcPr>
            <w:tcW w:w="4080" w:type="dxa"/>
            <w:vAlign w:val="bottom"/>
          </w:tcPr>
          <w:p>
            <w:pPr>
              <w:ind w:left="60"/>
              <w:spacing w:after="0"/>
              <w:rPr>
                <w:sz w:val="20"/>
                <w:szCs w:val="20"/>
                <w:color w:val="auto"/>
              </w:rPr>
            </w:pPr>
            <w:r>
              <w:rPr>
                <w:rFonts w:ascii="Arial" w:cs="Arial" w:eastAsia="Arial" w:hAnsi="Arial"/>
                <w:sz w:val="18"/>
                <w:szCs w:val="18"/>
                <w:color w:val="auto"/>
              </w:rPr>
              <w:t>Tenant ROFO.</w:t>
            </w:r>
          </w:p>
        </w:tc>
        <w:tc>
          <w:tcPr>
            <w:tcW w:w="6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520" w:type="dxa"/>
            <w:vAlign w:val="bottom"/>
          </w:tcPr>
          <w:p>
            <w:pPr>
              <w:jc w:val="center"/>
              <w:ind w:right="4350"/>
              <w:spacing w:after="0"/>
              <w:rPr>
                <w:sz w:val="20"/>
                <w:szCs w:val="20"/>
                <w:color w:val="auto"/>
              </w:rPr>
            </w:pPr>
            <w:r>
              <w:rPr>
                <w:rFonts w:ascii="Arial" w:cs="Arial" w:eastAsia="Arial" w:hAnsi="Arial"/>
                <w:sz w:val="18"/>
                <w:szCs w:val="18"/>
                <w:b w:val="1"/>
                <w:bCs w:val="1"/>
                <w:color w:val="auto"/>
              </w:rPr>
              <w:t>ARTICLE XIX</w:t>
            </w:r>
          </w:p>
        </w:tc>
      </w:tr>
      <w:tr>
        <w:trPr>
          <w:trHeight w:val="432"/>
        </w:trPr>
        <w:tc>
          <w:tcPr>
            <w:tcW w:w="360" w:type="dxa"/>
            <w:vAlign w:val="bottom"/>
          </w:tcPr>
          <w:p>
            <w:pPr>
              <w:jc w:val="right"/>
              <w:spacing w:after="0"/>
              <w:rPr>
                <w:sz w:val="20"/>
                <w:szCs w:val="20"/>
                <w:color w:val="auto"/>
              </w:rPr>
            </w:pPr>
            <w:r>
              <w:rPr>
                <w:rFonts w:ascii="Arial" w:cs="Arial" w:eastAsia="Arial" w:hAnsi="Arial"/>
                <w:sz w:val="18"/>
                <w:szCs w:val="18"/>
                <w:color w:val="auto"/>
                <w:w w:val="85"/>
              </w:rPr>
              <w:t>19.1</w:t>
            </w:r>
          </w:p>
        </w:tc>
        <w:tc>
          <w:tcPr>
            <w:tcW w:w="4080" w:type="dxa"/>
            <w:vAlign w:val="bottom"/>
          </w:tcPr>
          <w:p>
            <w:pPr>
              <w:ind w:left="60"/>
              <w:spacing w:after="0"/>
              <w:rPr>
                <w:sz w:val="20"/>
                <w:szCs w:val="20"/>
                <w:color w:val="auto"/>
              </w:rPr>
            </w:pPr>
            <w:r>
              <w:rPr>
                <w:rFonts w:ascii="Arial" w:cs="Arial" w:eastAsia="Arial" w:hAnsi="Arial"/>
                <w:sz w:val="18"/>
                <w:szCs w:val="18"/>
                <w:color w:val="auto"/>
              </w:rPr>
              <w:t>Holding Over.</w:t>
            </w:r>
          </w:p>
        </w:tc>
        <w:tc>
          <w:tcPr>
            <w:tcW w:w="6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520" w:type="dxa"/>
            <w:vAlign w:val="bottom"/>
          </w:tcPr>
          <w:p>
            <w:pPr>
              <w:jc w:val="center"/>
              <w:ind w:right="4350"/>
              <w:spacing w:after="0"/>
              <w:rPr>
                <w:sz w:val="20"/>
                <w:szCs w:val="20"/>
                <w:color w:val="auto"/>
              </w:rPr>
            </w:pPr>
            <w:r>
              <w:rPr>
                <w:rFonts w:ascii="Arial" w:cs="Arial" w:eastAsia="Arial" w:hAnsi="Arial"/>
                <w:sz w:val="18"/>
                <w:szCs w:val="18"/>
                <w:b w:val="1"/>
                <w:bCs w:val="1"/>
                <w:color w:val="auto"/>
              </w:rPr>
              <w:t>ARTICLE XX</w:t>
            </w:r>
          </w:p>
        </w:tc>
      </w:tr>
      <w:tr>
        <w:trPr>
          <w:trHeight w:val="432"/>
        </w:trPr>
        <w:tc>
          <w:tcPr>
            <w:tcW w:w="360" w:type="dxa"/>
            <w:vAlign w:val="bottom"/>
          </w:tcPr>
          <w:p>
            <w:pPr>
              <w:jc w:val="right"/>
              <w:spacing w:after="0"/>
              <w:rPr>
                <w:sz w:val="20"/>
                <w:szCs w:val="20"/>
                <w:color w:val="auto"/>
              </w:rPr>
            </w:pPr>
            <w:r>
              <w:rPr>
                <w:rFonts w:ascii="Arial" w:cs="Arial" w:eastAsia="Arial" w:hAnsi="Arial"/>
                <w:sz w:val="18"/>
                <w:szCs w:val="18"/>
                <w:color w:val="auto"/>
                <w:w w:val="85"/>
              </w:rPr>
              <w:t>20.1</w:t>
            </w:r>
          </w:p>
        </w:tc>
        <w:tc>
          <w:tcPr>
            <w:tcW w:w="4080" w:type="dxa"/>
            <w:vAlign w:val="bottom"/>
          </w:tcPr>
          <w:p>
            <w:pPr>
              <w:ind w:left="60"/>
              <w:spacing w:after="0"/>
              <w:rPr>
                <w:sz w:val="20"/>
                <w:szCs w:val="20"/>
                <w:color w:val="auto"/>
              </w:rPr>
            </w:pPr>
            <w:r>
              <w:rPr>
                <w:rFonts w:ascii="Arial" w:cs="Arial" w:eastAsia="Arial" w:hAnsi="Arial"/>
                <w:sz w:val="18"/>
                <w:szCs w:val="18"/>
                <w:color w:val="auto"/>
              </w:rPr>
              <w:t>Risk of Loss.</w:t>
            </w:r>
          </w:p>
        </w:tc>
        <w:tc>
          <w:tcPr>
            <w:tcW w:w="6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520" w:type="dxa"/>
            <w:vAlign w:val="bottom"/>
          </w:tcPr>
          <w:p>
            <w:pPr>
              <w:jc w:val="center"/>
              <w:ind w:right="4350"/>
              <w:spacing w:after="0"/>
              <w:rPr>
                <w:sz w:val="20"/>
                <w:szCs w:val="20"/>
                <w:color w:val="auto"/>
              </w:rPr>
            </w:pPr>
            <w:r>
              <w:rPr>
                <w:rFonts w:ascii="Arial" w:cs="Arial" w:eastAsia="Arial" w:hAnsi="Arial"/>
                <w:sz w:val="18"/>
                <w:szCs w:val="18"/>
                <w:b w:val="1"/>
                <w:bCs w:val="1"/>
                <w:color w:val="auto"/>
              </w:rPr>
              <w:t>ARTICLE XXI</w:t>
            </w:r>
          </w:p>
        </w:tc>
      </w:tr>
      <w:tr>
        <w:trPr>
          <w:trHeight w:val="432"/>
        </w:trPr>
        <w:tc>
          <w:tcPr>
            <w:tcW w:w="360" w:type="dxa"/>
            <w:vAlign w:val="bottom"/>
          </w:tcPr>
          <w:p>
            <w:pPr>
              <w:jc w:val="right"/>
              <w:spacing w:after="0"/>
              <w:rPr>
                <w:sz w:val="20"/>
                <w:szCs w:val="20"/>
                <w:color w:val="auto"/>
              </w:rPr>
            </w:pPr>
            <w:r>
              <w:rPr>
                <w:rFonts w:ascii="Arial" w:cs="Arial" w:eastAsia="Arial" w:hAnsi="Arial"/>
                <w:sz w:val="18"/>
                <w:szCs w:val="18"/>
                <w:color w:val="auto"/>
                <w:w w:val="85"/>
              </w:rPr>
              <w:t>21.1</w:t>
            </w:r>
          </w:p>
        </w:tc>
        <w:tc>
          <w:tcPr>
            <w:tcW w:w="4080" w:type="dxa"/>
            <w:vAlign w:val="bottom"/>
          </w:tcPr>
          <w:p>
            <w:pPr>
              <w:ind w:left="60"/>
              <w:spacing w:after="0"/>
              <w:rPr>
                <w:sz w:val="20"/>
                <w:szCs w:val="20"/>
                <w:color w:val="auto"/>
              </w:rPr>
            </w:pPr>
            <w:r>
              <w:rPr>
                <w:rFonts w:ascii="Arial" w:cs="Arial" w:eastAsia="Arial" w:hAnsi="Arial"/>
                <w:sz w:val="18"/>
                <w:szCs w:val="18"/>
                <w:color w:val="auto"/>
              </w:rPr>
              <w:t>General Indemnification.</w:t>
            </w:r>
          </w:p>
        </w:tc>
        <w:tc>
          <w:tcPr>
            <w:tcW w:w="6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520" w:type="dxa"/>
            <w:vAlign w:val="bottom"/>
          </w:tcPr>
          <w:p>
            <w:pPr>
              <w:jc w:val="center"/>
              <w:ind w:right="4370"/>
              <w:spacing w:after="0"/>
              <w:rPr>
                <w:sz w:val="20"/>
                <w:szCs w:val="20"/>
                <w:color w:val="auto"/>
              </w:rPr>
            </w:pPr>
            <w:r>
              <w:rPr>
                <w:rFonts w:ascii="Arial" w:cs="Arial" w:eastAsia="Arial" w:hAnsi="Arial"/>
                <w:sz w:val="18"/>
                <w:szCs w:val="18"/>
                <w:b w:val="1"/>
                <w:bCs w:val="1"/>
                <w:color w:val="auto"/>
              </w:rPr>
              <w:t>ARTICLE XXII</w:t>
            </w:r>
          </w:p>
        </w:tc>
      </w:tr>
      <w:tr>
        <w:trPr>
          <w:trHeight w:val="418"/>
        </w:trPr>
        <w:tc>
          <w:tcPr>
            <w:tcW w:w="360" w:type="dxa"/>
            <w:vAlign w:val="bottom"/>
          </w:tcPr>
          <w:p>
            <w:pPr>
              <w:jc w:val="right"/>
              <w:spacing w:after="0"/>
              <w:rPr>
                <w:sz w:val="20"/>
                <w:szCs w:val="20"/>
                <w:color w:val="auto"/>
              </w:rPr>
            </w:pPr>
            <w:r>
              <w:rPr>
                <w:rFonts w:ascii="Arial" w:cs="Arial" w:eastAsia="Arial" w:hAnsi="Arial"/>
                <w:sz w:val="18"/>
                <w:szCs w:val="18"/>
                <w:color w:val="auto"/>
                <w:w w:val="85"/>
              </w:rPr>
              <w:t>22.1</w:t>
            </w:r>
          </w:p>
        </w:tc>
        <w:tc>
          <w:tcPr>
            <w:tcW w:w="4080" w:type="dxa"/>
            <w:vAlign w:val="bottom"/>
          </w:tcPr>
          <w:p>
            <w:pPr>
              <w:ind w:left="60"/>
              <w:spacing w:after="0"/>
              <w:rPr>
                <w:sz w:val="20"/>
                <w:szCs w:val="20"/>
                <w:color w:val="auto"/>
              </w:rPr>
            </w:pPr>
            <w:r>
              <w:rPr>
                <w:rFonts w:ascii="Arial" w:cs="Arial" w:eastAsia="Arial" w:hAnsi="Arial"/>
                <w:sz w:val="18"/>
                <w:szCs w:val="18"/>
                <w:color w:val="auto"/>
              </w:rPr>
              <w:t>Subletting and Assignment.</w:t>
            </w:r>
          </w:p>
        </w:tc>
        <w:tc>
          <w:tcPr>
            <w:tcW w:w="6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22.2</w:t>
            </w:r>
          </w:p>
        </w:tc>
        <w:tc>
          <w:tcPr>
            <w:tcW w:w="4080" w:type="dxa"/>
            <w:vAlign w:val="bottom"/>
          </w:tcPr>
          <w:p>
            <w:pPr>
              <w:ind w:left="60"/>
              <w:spacing w:after="0"/>
              <w:rPr>
                <w:sz w:val="20"/>
                <w:szCs w:val="20"/>
                <w:color w:val="auto"/>
              </w:rPr>
            </w:pPr>
            <w:r>
              <w:rPr>
                <w:rFonts w:ascii="Arial" w:cs="Arial" w:eastAsia="Arial" w:hAnsi="Arial"/>
                <w:sz w:val="18"/>
                <w:szCs w:val="18"/>
                <w:color w:val="auto"/>
              </w:rPr>
              <w:t>Permitted Assignments.</w:t>
            </w:r>
          </w:p>
        </w:tc>
        <w:tc>
          <w:tcPr>
            <w:tcW w:w="6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22.3</w:t>
            </w:r>
          </w:p>
        </w:tc>
        <w:tc>
          <w:tcPr>
            <w:tcW w:w="4080" w:type="dxa"/>
            <w:vAlign w:val="bottom"/>
          </w:tcPr>
          <w:p>
            <w:pPr>
              <w:ind w:left="60"/>
              <w:spacing w:after="0"/>
              <w:rPr>
                <w:sz w:val="20"/>
                <w:szCs w:val="20"/>
                <w:color w:val="auto"/>
              </w:rPr>
            </w:pPr>
            <w:r>
              <w:rPr>
                <w:rFonts w:ascii="Arial" w:cs="Arial" w:eastAsia="Arial" w:hAnsi="Arial"/>
                <w:sz w:val="18"/>
                <w:szCs w:val="18"/>
                <w:color w:val="auto"/>
              </w:rPr>
              <w:t>Permitted Sublease Agreements.</w:t>
            </w:r>
          </w:p>
        </w:tc>
        <w:tc>
          <w:tcPr>
            <w:tcW w:w="65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22.4</w:t>
            </w:r>
          </w:p>
        </w:tc>
        <w:tc>
          <w:tcPr>
            <w:tcW w:w="4080" w:type="dxa"/>
            <w:vAlign w:val="bottom"/>
          </w:tcPr>
          <w:p>
            <w:pPr>
              <w:ind w:left="60"/>
              <w:spacing w:after="0"/>
              <w:rPr>
                <w:sz w:val="20"/>
                <w:szCs w:val="20"/>
                <w:color w:val="auto"/>
              </w:rPr>
            </w:pPr>
            <w:r>
              <w:rPr>
                <w:rFonts w:ascii="Arial" w:cs="Arial" w:eastAsia="Arial" w:hAnsi="Arial"/>
                <w:sz w:val="18"/>
                <w:szCs w:val="18"/>
                <w:color w:val="auto"/>
              </w:rPr>
              <w:t>Required Assignment and Subletting Provisions.</w:t>
            </w:r>
          </w:p>
        </w:tc>
        <w:tc>
          <w:tcPr>
            <w:tcW w:w="65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5"/>
              </w:rPr>
              <w:t>22.5</w:t>
            </w:r>
          </w:p>
        </w:tc>
        <w:tc>
          <w:tcPr>
            <w:tcW w:w="4080" w:type="dxa"/>
            <w:vAlign w:val="bottom"/>
          </w:tcPr>
          <w:p>
            <w:pPr>
              <w:ind w:left="60"/>
              <w:spacing w:after="0"/>
              <w:rPr>
                <w:sz w:val="20"/>
                <w:szCs w:val="20"/>
                <w:color w:val="auto"/>
              </w:rPr>
            </w:pPr>
            <w:r>
              <w:rPr>
                <w:rFonts w:ascii="Arial" w:cs="Arial" w:eastAsia="Arial" w:hAnsi="Arial"/>
                <w:sz w:val="18"/>
                <w:szCs w:val="18"/>
                <w:color w:val="auto"/>
              </w:rPr>
              <w:t>Costs.</w:t>
            </w:r>
          </w:p>
        </w:tc>
        <w:tc>
          <w:tcPr>
            <w:tcW w:w="6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color w:val="auto"/>
                <w:w w:val="85"/>
              </w:rPr>
              <w:t>22.6</w:t>
            </w:r>
          </w:p>
        </w:tc>
        <w:tc>
          <w:tcPr>
            <w:tcW w:w="4080" w:type="dxa"/>
            <w:vAlign w:val="bottom"/>
          </w:tcPr>
          <w:p>
            <w:pPr>
              <w:ind w:left="60"/>
              <w:spacing w:after="0"/>
              <w:rPr>
                <w:sz w:val="20"/>
                <w:szCs w:val="20"/>
                <w:color w:val="auto"/>
              </w:rPr>
            </w:pPr>
            <w:r>
              <w:rPr>
                <w:rFonts w:ascii="Arial" w:cs="Arial" w:eastAsia="Arial" w:hAnsi="Arial"/>
                <w:sz w:val="18"/>
                <w:szCs w:val="18"/>
                <w:color w:val="auto"/>
              </w:rPr>
              <w:t>No Release of Tenant’s Obligations; Exception.</w:t>
            </w:r>
          </w:p>
        </w:tc>
        <w:tc>
          <w:tcPr>
            <w:tcW w:w="652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560" w:type="dxa"/>
            <w:vAlign w:val="bottom"/>
          </w:tcPr>
          <w:p>
            <w:pPr>
              <w:jc w:val="center"/>
              <w:ind w:right="4290"/>
              <w:spacing w:after="0"/>
              <w:rPr>
                <w:sz w:val="20"/>
                <w:szCs w:val="20"/>
                <w:color w:val="auto"/>
              </w:rPr>
            </w:pPr>
            <w:r>
              <w:rPr>
                <w:rFonts w:ascii="Arial" w:cs="Arial" w:eastAsia="Arial" w:hAnsi="Arial"/>
                <w:sz w:val="18"/>
                <w:szCs w:val="18"/>
                <w:b w:val="1"/>
                <w:bCs w:val="1"/>
                <w:color w:val="auto"/>
              </w:rPr>
              <w:t>ARTICLE XXIII</w:t>
            </w:r>
          </w:p>
        </w:tc>
      </w:tr>
      <w:tr>
        <w:trPr>
          <w:trHeight w:val="418"/>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23.1</w:t>
            </w:r>
          </w:p>
        </w:tc>
        <w:tc>
          <w:tcPr>
            <w:tcW w:w="3960" w:type="dxa"/>
            <w:vAlign w:val="bottom"/>
          </w:tcPr>
          <w:p>
            <w:pPr>
              <w:ind w:left="120"/>
              <w:spacing w:after="0"/>
              <w:rPr>
                <w:sz w:val="20"/>
                <w:szCs w:val="20"/>
                <w:color w:val="auto"/>
              </w:rPr>
            </w:pPr>
            <w:r>
              <w:rPr>
                <w:rFonts w:ascii="Arial" w:cs="Arial" w:eastAsia="Arial" w:hAnsi="Arial"/>
                <w:sz w:val="18"/>
                <w:szCs w:val="18"/>
                <w:color w:val="auto"/>
              </w:rPr>
              <w:t>Officer’s Certificates and Financial Statements.</w:t>
            </w:r>
          </w:p>
        </w:tc>
        <w:tc>
          <w:tcPr>
            <w:tcW w:w="6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23.2</w:t>
            </w:r>
          </w:p>
        </w:tc>
        <w:tc>
          <w:tcPr>
            <w:tcW w:w="3960" w:type="dxa"/>
            <w:vAlign w:val="bottom"/>
          </w:tcPr>
          <w:p>
            <w:pPr>
              <w:ind w:left="120"/>
              <w:spacing w:after="0"/>
              <w:rPr>
                <w:sz w:val="20"/>
                <w:szCs w:val="20"/>
                <w:color w:val="auto"/>
              </w:rPr>
            </w:pPr>
            <w:r>
              <w:rPr>
                <w:rFonts w:ascii="Arial" w:cs="Arial" w:eastAsia="Arial" w:hAnsi="Arial"/>
                <w:sz w:val="18"/>
                <w:szCs w:val="18"/>
                <w:color w:val="auto"/>
              </w:rPr>
              <w:t>Confidentiality; Public Offering Information.</w:t>
            </w:r>
          </w:p>
        </w:tc>
        <w:tc>
          <w:tcPr>
            <w:tcW w:w="6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23.3</w:t>
            </w:r>
          </w:p>
        </w:tc>
        <w:tc>
          <w:tcPr>
            <w:tcW w:w="3960" w:type="dxa"/>
            <w:vAlign w:val="bottom"/>
          </w:tcPr>
          <w:p>
            <w:pPr>
              <w:ind w:left="120"/>
              <w:spacing w:after="0"/>
              <w:rPr>
                <w:sz w:val="20"/>
                <w:szCs w:val="20"/>
                <w:color w:val="auto"/>
              </w:rPr>
            </w:pPr>
            <w:r>
              <w:rPr>
                <w:rFonts w:ascii="Arial" w:cs="Arial" w:eastAsia="Arial" w:hAnsi="Arial"/>
                <w:sz w:val="18"/>
                <w:szCs w:val="18"/>
                <w:color w:val="auto"/>
              </w:rPr>
              <w:t>Financial Covenant.</w:t>
            </w:r>
          </w:p>
        </w:tc>
        <w:tc>
          <w:tcPr>
            <w:tcW w:w="6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23.4</w:t>
            </w:r>
          </w:p>
        </w:tc>
        <w:tc>
          <w:tcPr>
            <w:tcW w:w="3960" w:type="dxa"/>
            <w:vAlign w:val="bottom"/>
          </w:tcPr>
          <w:p>
            <w:pPr>
              <w:ind w:left="120"/>
              <w:spacing w:after="0"/>
              <w:rPr>
                <w:sz w:val="20"/>
                <w:szCs w:val="20"/>
                <w:color w:val="auto"/>
              </w:rPr>
            </w:pPr>
            <w:r>
              <w:rPr>
                <w:rFonts w:ascii="Arial" w:cs="Arial" w:eastAsia="Arial" w:hAnsi="Arial"/>
                <w:sz w:val="18"/>
                <w:szCs w:val="18"/>
                <w:color w:val="auto"/>
              </w:rPr>
              <w:t>Landlord Obligations.</w:t>
            </w:r>
          </w:p>
        </w:tc>
        <w:tc>
          <w:tcPr>
            <w:tcW w:w="6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32"/>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tcPr>
          <w:p>
            <w:pPr>
              <w:jc w:val="center"/>
              <w:ind w:right="4290"/>
              <w:spacing w:after="0"/>
              <w:rPr>
                <w:sz w:val="20"/>
                <w:szCs w:val="20"/>
                <w:color w:val="auto"/>
              </w:rPr>
            </w:pPr>
            <w:r>
              <w:rPr>
                <w:rFonts w:ascii="Arial" w:cs="Arial" w:eastAsia="Arial" w:hAnsi="Arial"/>
                <w:sz w:val="18"/>
                <w:szCs w:val="18"/>
                <w:b w:val="1"/>
                <w:bCs w:val="1"/>
                <w:color w:val="auto"/>
              </w:rPr>
              <w:t>ARTICLE XXIV</w:t>
            </w:r>
          </w:p>
        </w:tc>
      </w:tr>
      <w:tr>
        <w:trPr>
          <w:trHeight w:val="432"/>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24.1</w:t>
            </w:r>
          </w:p>
        </w:tc>
        <w:tc>
          <w:tcPr>
            <w:tcW w:w="3960" w:type="dxa"/>
            <w:vAlign w:val="bottom"/>
          </w:tcPr>
          <w:p>
            <w:pPr>
              <w:ind w:left="120"/>
              <w:spacing w:after="0"/>
              <w:rPr>
                <w:sz w:val="20"/>
                <w:szCs w:val="20"/>
                <w:color w:val="auto"/>
              </w:rPr>
            </w:pPr>
            <w:r>
              <w:rPr>
                <w:rFonts w:ascii="Arial" w:cs="Arial" w:eastAsia="Arial" w:hAnsi="Arial"/>
                <w:sz w:val="18"/>
                <w:szCs w:val="18"/>
                <w:color w:val="auto"/>
              </w:rPr>
              <w:t>Landlord’s Right to Inspect.</w:t>
            </w:r>
          </w:p>
        </w:tc>
        <w:tc>
          <w:tcPr>
            <w:tcW w:w="6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tcPr>
          <w:p>
            <w:pPr>
              <w:jc w:val="center"/>
              <w:ind w:right="4290"/>
              <w:spacing w:after="0"/>
              <w:rPr>
                <w:sz w:val="20"/>
                <w:szCs w:val="20"/>
                <w:color w:val="auto"/>
              </w:rPr>
            </w:pPr>
            <w:r>
              <w:rPr>
                <w:rFonts w:ascii="Arial" w:cs="Arial" w:eastAsia="Arial" w:hAnsi="Arial"/>
                <w:sz w:val="18"/>
                <w:szCs w:val="18"/>
                <w:b w:val="1"/>
                <w:bCs w:val="1"/>
                <w:color w:val="auto"/>
              </w:rPr>
              <w:t>ARTICLE XXV</w:t>
            </w:r>
          </w:p>
        </w:tc>
      </w:tr>
      <w:tr>
        <w:trPr>
          <w:trHeight w:val="432"/>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25.1</w:t>
            </w:r>
          </w:p>
        </w:tc>
        <w:tc>
          <w:tcPr>
            <w:tcW w:w="3960" w:type="dxa"/>
            <w:vAlign w:val="bottom"/>
          </w:tcPr>
          <w:p>
            <w:pPr>
              <w:ind w:left="120"/>
              <w:spacing w:after="0"/>
              <w:rPr>
                <w:sz w:val="20"/>
                <w:szCs w:val="20"/>
                <w:color w:val="auto"/>
              </w:rPr>
            </w:pPr>
            <w:r>
              <w:rPr>
                <w:rFonts w:ascii="Arial" w:cs="Arial" w:eastAsia="Arial" w:hAnsi="Arial"/>
                <w:sz w:val="18"/>
                <w:szCs w:val="18"/>
                <w:color w:val="auto"/>
              </w:rPr>
              <w:t>No Waiver.</w:t>
            </w:r>
          </w:p>
        </w:tc>
        <w:tc>
          <w:tcPr>
            <w:tcW w:w="6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tcPr>
          <w:p>
            <w:pPr>
              <w:jc w:val="center"/>
              <w:ind w:right="4290"/>
              <w:spacing w:after="0"/>
              <w:rPr>
                <w:sz w:val="20"/>
                <w:szCs w:val="20"/>
                <w:color w:val="auto"/>
              </w:rPr>
            </w:pPr>
            <w:r>
              <w:rPr>
                <w:rFonts w:ascii="Arial" w:cs="Arial" w:eastAsia="Arial" w:hAnsi="Arial"/>
                <w:sz w:val="18"/>
                <w:szCs w:val="18"/>
                <w:b w:val="1"/>
                <w:bCs w:val="1"/>
                <w:color w:val="auto"/>
              </w:rPr>
              <w:t>ARTICLE XXVI</w:t>
            </w:r>
          </w:p>
        </w:tc>
      </w:tr>
      <w:tr>
        <w:trPr>
          <w:trHeight w:val="432"/>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26.1</w:t>
            </w:r>
          </w:p>
        </w:tc>
        <w:tc>
          <w:tcPr>
            <w:tcW w:w="3960" w:type="dxa"/>
            <w:vAlign w:val="bottom"/>
          </w:tcPr>
          <w:p>
            <w:pPr>
              <w:ind w:left="120"/>
              <w:spacing w:after="0"/>
              <w:rPr>
                <w:sz w:val="20"/>
                <w:szCs w:val="20"/>
                <w:color w:val="auto"/>
              </w:rPr>
            </w:pPr>
            <w:r>
              <w:rPr>
                <w:rFonts w:ascii="Arial" w:cs="Arial" w:eastAsia="Arial" w:hAnsi="Arial"/>
                <w:sz w:val="18"/>
                <w:szCs w:val="18"/>
                <w:color w:val="auto"/>
              </w:rPr>
              <w:t>Remedies Cumulative.</w:t>
            </w:r>
          </w:p>
        </w:tc>
        <w:tc>
          <w:tcPr>
            <w:tcW w:w="6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tcPr>
          <w:p>
            <w:pPr>
              <w:jc w:val="center"/>
              <w:ind w:right="4290"/>
              <w:spacing w:after="0"/>
              <w:rPr>
                <w:sz w:val="20"/>
                <w:szCs w:val="20"/>
                <w:color w:val="auto"/>
              </w:rPr>
            </w:pPr>
            <w:r>
              <w:rPr>
                <w:rFonts w:ascii="Arial" w:cs="Arial" w:eastAsia="Arial" w:hAnsi="Arial"/>
                <w:sz w:val="18"/>
                <w:szCs w:val="18"/>
                <w:b w:val="1"/>
                <w:bCs w:val="1"/>
                <w:color w:val="auto"/>
              </w:rPr>
              <w:t>ARTICLE XXVII</w:t>
            </w:r>
          </w:p>
        </w:tc>
      </w:tr>
      <w:tr>
        <w:trPr>
          <w:trHeight w:val="432"/>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27.1</w:t>
            </w:r>
          </w:p>
        </w:tc>
        <w:tc>
          <w:tcPr>
            <w:tcW w:w="3960" w:type="dxa"/>
            <w:vAlign w:val="bottom"/>
          </w:tcPr>
          <w:p>
            <w:pPr>
              <w:ind w:left="120"/>
              <w:spacing w:after="0"/>
              <w:rPr>
                <w:sz w:val="20"/>
                <w:szCs w:val="20"/>
                <w:color w:val="auto"/>
              </w:rPr>
            </w:pPr>
            <w:r>
              <w:rPr>
                <w:rFonts w:ascii="Arial" w:cs="Arial" w:eastAsia="Arial" w:hAnsi="Arial"/>
                <w:sz w:val="18"/>
                <w:szCs w:val="18"/>
                <w:color w:val="auto"/>
              </w:rPr>
              <w:t>Acceptance of Surrender.</w:t>
            </w:r>
          </w:p>
        </w:tc>
        <w:tc>
          <w:tcPr>
            <w:tcW w:w="6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tcPr>
          <w:p>
            <w:pPr>
              <w:jc w:val="center"/>
              <w:ind w:right="4290"/>
              <w:spacing w:after="0"/>
              <w:rPr>
                <w:sz w:val="20"/>
                <w:szCs w:val="20"/>
                <w:color w:val="auto"/>
              </w:rPr>
            </w:pPr>
            <w:r>
              <w:rPr>
                <w:rFonts w:ascii="Arial" w:cs="Arial" w:eastAsia="Arial" w:hAnsi="Arial"/>
                <w:sz w:val="18"/>
                <w:szCs w:val="18"/>
                <w:b w:val="1"/>
                <w:bCs w:val="1"/>
                <w:color w:val="auto"/>
              </w:rPr>
              <w:t>ARTICLE XXVIII</w:t>
            </w:r>
          </w:p>
        </w:tc>
      </w:tr>
      <w:tr>
        <w:trPr>
          <w:trHeight w:val="432"/>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28.1</w:t>
            </w:r>
          </w:p>
        </w:tc>
        <w:tc>
          <w:tcPr>
            <w:tcW w:w="3960" w:type="dxa"/>
            <w:vAlign w:val="bottom"/>
          </w:tcPr>
          <w:p>
            <w:pPr>
              <w:ind w:left="120"/>
              <w:spacing w:after="0"/>
              <w:rPr>
                <w:sz w:val="20"/>
                <w:szCs w:val="20"/>
                <w:color w:val="auto"/>
              </w:rPr>
            </w:pPr>
            <w:r>
              <w:rPr>
                <w:rFonts w:ascii="Arial" w:cs="Arial" w:eastAsia="Arial" w:hAnsi="Arial"/>
                <w:sz w:val="18"/>
                <w:szCs w:val="18"/>
                <w:color w:val="auto"/>
              </w:rPr>
              <w:t>No Merger.</w:t>
            </w:r>
          </w:p>
        </w:tc>
        <w:tc>
          <w:tcPr>
            <w:tcW w:w="6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tcPr>
          <w:p>
            <w:pPr>
              <w:jc w:val="center"/>
              <w:ind w:right="4290"/>
              <w:spacing w:after="0"/>
              <w:rPr>
                <w:sz w:val="20"/>
                <w:szCs w:val="20"/>
                <w:color w:val="auto"/>
              </w:rPr>
            </w:pPr>
            <w:r>
              <w:rPr>
                <w:rFonts w:ascii="Arial" w:cs="Arial" w:eastAsia="Arial" w:hAnsi="Arial"/>
                <w:sz w:val="18"/>
                <w:szCs w:val="18"/>
                <w:b w:val="1"/>
                <w:bCs w:val="1"/>
                <w:color w:val="auto"/>
              </w:rPr>
              <w:t>ARTICLE XXIX</w:t>
            </w:r>
          </w:p>
        </w:tc>
      </w:tr>
      <w:tr>
        <w:trPr>
          <w:trHeight w:val="432"/>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29.1</w:t>
            </w:r>
          </w:p>
        </w:tc>
        <w:tc>
          <w:tcPr>
            <w:tcW w:w="3960" w:type="dxa"/>
            <w:vAlign w:val="bottom"/>
          </w:tcPr>
          <w:p>
            <w:pPr>
              <w:ind w:left="120"/>
              <w:spacing w:after="0"/>
              <w:rPr>
                <w:sz w:val="20"/>
                <w:szCs w:val="20"/>
                <w:color w:val="auto"/>
              </w:rPr>
            </w:pPr>
            <w:r>
              <w:rPr>
                <w:rFonts w:ascii="Arial" w:cs="Arial" w:eastAsia="Arial" w:hAnsi="Arial"/>
                <w:sz w:val="18"/>
                <w:szCs w:val="18"/>
                <w:color w:val="auto"/>
              </w:rPr>
              <w:t>Conveyance by Landlord.</w:t>
            </w:r>
          </w:p>
        </w:tc>
        <w:tc>
          <w:tcPr>
            <w:tcW w:w="6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tcPr>
          <w:p>
            <w:pPr>
              <w:jc w:val="center"/>
              <w:ind w:right="4290"/>
              <w:spacing w:after="0"/>
              <w:rPr>
                <w:sz w:val="20"/>
                <w:szCs w:val="20"/>
                <w:color w:val="auto"/>
              </w:rPr>
            </w:pPr>
            <w:r>
              <w:rPr>
                <w:rFonts w:ascii="Arial" w:cs="Arial" w:eastAsia="Arial" w:hAnsi="Arial"/>
                <w:sz w:val="18"/>
                <w:szCs w:val="18"/>
                <w:b w:val="1"/>
                <w:bCs w:val="1"/>
                <w:color w:val="auto"/>
              </w:rPr>
              <w:t>ARTICLE XXX</w:t>
            </w:r>
          </w:p>
        </w:tc>
      </w:tr>
      <w:tr>
        <w:trPr>
          <w:trHeight w:val="432"/>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30.1</w:t>
            </w:r>
          </w:p>
        </w:tc>
        <w:tc>
          <w:tcPr>
            <w:tcW w:w="3960" w:type="dxa"/>
            <w:vAlign w:val="bottom"/>
          </w:tcPr>
          <w:p>
            <w:pPr>
              <w:ind w:left="120"/>
              <w:spacing w:after="0"/>
              <w:rPr>
                <w:sz w:val="20"/>
                <w:szCs w:val="20"/>
                <w:color w:val="auto"/>
              </w:rPr>
            </w:pPr>
            <w:r>
              <w:rPr>
                <w:rFonts w:ascii="Arial" w:cs="Arial" w:eastAsia="Arial" w:hAnsi="Arial"/>
                <w:sz w:val="18"/>
                <w:szCs w:val="18"/>
                <w:color w:val="auto"/>
              </w:rPr>
              <w:t>Quiet Enjoyment.</w:t>
            </w:r>
          </w:p>
        </w:tc>
        <w:tc>
          <w:tcPr>
            <w:tcW w:w="6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tcPr>
          <w:p>
            <w:pPr>
              <w:jc w:val="center"/>
              <w:ind w:right="4290"/>
              <w:spacing w:after="0"/>
              <w:rPr>
                <w:sz w:val="20"/>
                <w:szCs w:val="20"/>
                <w:color w:val="auto"/>
              </w:rPr>
            </w:pPr>
            <w:r>
              <w:rPr>
                <w:rFonts w:ascii="Arial" w:cs="Arial" w:eastAsia="Arial" w:hAnsi="Arial"/>
                <w:sz w:val="18"/>
                <w:szCs w:val="18"/>
                <w:b w:val="1"/>
                <w:bCs w:val="1"/>
                <w:color w:val="auto"/>
              </w:rPr>
              <w:t>ARTICLE XXXI</w:t>
            </w:r>
          </w:p>
        </w:tc>
      </w:tr>
      <w:tr>
        <w:trPr>
          <w:trHeight w:val="418"/>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31.1</w:t>
            </w:r>
          </w:p>
        </w:tc>
        <w:tc>
          <w:tcPr>
            <w:tcW w:w="3960" w:type="dxa"/>
            <w:vAlign w:val="bottom"/>
          </w:tcPr>
          <w:p>
            <w:pPr>
              <w:ind w:left="120"/>
              <w:spacing w:after="0"/>
              <w:rPr>
                <w:sz w:val="20"/>
                <w:szCs w:val="20"/>
                <w:color w:val="auto"/>
              </w:rPr>
            </w:pPr>
            <w:r>
              <w:rPr>
                <w:rFonts w:ascii="Arial" w:cs="Arial" w:eastAsia="Arial" w:hAnsi="Arial"/>
                <w:sz w:val="18"/>
                <w:szCs w:val="18"/>
                <w:color w:val="auto"/>
              </w:rPr>
              <w:t>Landlord’s Financing.</w:t>
            </w:r>
          </w:p>
        </w:tc>
        <w:tc>
          <w:tcPr>
            <w:tcW w:w="65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31.2</w:t>
            </w:r>
          </w:p>
        </w:tc>
        <w:tc>
          <w:tcPr>
            <w:tcW w:w="3960" w:type="dxa"/>
            <w:vAlign w:val="bottom"/>
          </w:tcPr>
          <w:p>
            <w:pPr>
              <w:ind w:left="120"/>
              <w:spacing w:after="0"/>
              <w:rPr>
                <w:sz w:val="20"/>
                <w:szCs w:val="20"/>
                <w:color w:val="auto"/>
              </w:rPr>
            </w:pPr>
            <w:r>
              <w:rPr>
                <w:rFonts w:ascii="Arial" w:cs="Arial" w:eastAsia="Arial" w:hAnsi="Arial"/>
                <w:sz w:val="18"/>
                <w:szCs w:val="18"/>
                <w:color w:val="auto"/>
              </w:rPr>
              <w:t>Attornment.</w:t>
            </w:r>
          </w:p>
        </w:tc>
        <w:tc>
          <w:tcPr>
            <w:tcW w:w="6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31.3</w:t>
            </w:r>
          </w:p>
        </w:tc>
        <w:tc>
          <w:tcPr>
            <w:tcW w:w="3960" w:type="dxa"/>
            <w:vAlign w:val="bottom"/>
          </w:tcPr>
          <w:p>
            <w:pPr>
              <w:ind w:left="120"/>
              <w:spacing w:after="0"/>
              <w:rPr>
                <w:sz w:val="20"/>
                <w:szCs w:val="20"/>
                <w:color w:val="auto"/>
              </w:rPr>
            </w:pPr>
            <w:r>
              <w:rPr>
                <w:rFonts w:ascii="Arial" w:cs="Arial" w:eastAsia="Arial" w:hAnsi="Arial"/>
                <w:sz w:val="18"/>
                <w:szCs w:val="18"/>
                <w:color w:val="auto"/>
              </w:rPr>
              <w:t>Compliance with Facility Mortgage Documents.</w:t>
            </w:r>
          </w:p>
        </w:tc>
        <w:tc>
          <w:tcPr>
            <w:tcW w:w="6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32"/>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tcPr>
          <w:p>
            <w:pPr>
              <w:jc w:val="center"/>
              <w:ind w:right="4290"/>
              <w:spacing w:after="0"/>
              <w:rPr>
                <w:sz w:val="20"/>
                <w:szCs w:val="20"/>
                <w:color w:val="auto"/>
              </w:rPr>
            </w:pPr>
            <w:r>
              <w:rPr>
                <w:rFonts w:ascii="Arial" w:cs="Arial" w:eastAsia="Arial" w:hAnsi="Arial"/>
                <w:sz w:val="18"/>
                <w:szCs w:val="18"/>
                <w:b w:val="1"/>
                <w:bCs w:val="1"/>
                <w:color w:val="auto"/>
              </w:rPr>
              <w:t>ARTICLE XXXII</w:t>
            </w:r>
          </w:p>
        </w:tc>
      </w:tr>
      <w:tr>
        <w:trPr>
          <w:trHeight w:val="418"/>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32.1</w:t>
            </w:r>
          </w:p>
        </w:tc>
        <w:tc>
          <w:tcPr>
            <w:tcW w:w="3960" w:type="dxa"/>
            <w:vAlign w:val="bottom"/>
          </w:tcPr>
          <w:p>
            <w:pPr>
              <w:ind w:left="120"/>
              <w:spacing w:after="0"/>
              <w:rPr>
                <w:sz w:val="20"/>
                <w:szCs w:val="20"/>
                <w:color w:val="auto"/>
              </w:rPr>
            </w:pPr>
            <w:r>
              <w:rPr>
                <w:rFonts w:ascii="Arial" w:cs="Arial" w:eastAsia="Arial" w:hAnsi="Arial"/>
                <w:sz w:val="18"/>
                <w:szCs w:val="18"/>
                <w:color w:val="auto"/>
              </w:rPr>
              <w:t>Hazardous Substances.</w:t>
            </w:r>
          </w:p>
        </w:tc>
        <w:tc>
          <w:tcPr>
            <w:tcW w:w="6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32.2</w:t>
            </w:r>
          </w:p>
        </w:tc>
        <w:tc>
          <w:tcPr>
            <w:tcW w:w="3960" w:type="dxa"/>
            <w:vAlign w:val="bottom"/>
          </w:tcPr>
          <w:p>
            <w:pPr>
              <w:ind w:left="120"/>
              <w:spacing w:after="0"/>
              <w:rPr>
                <w:sz w:val="20"/>
                <w:szCs w:val="20"/>
                <w:color w:val="auto"/>
              </w:rPr>
            </w:pPr>
            <w:r>
              <w:rPr>
                <w:rFonts w:ascii="Arial" w:cs="Arial" w:eastAsia="Arial" w:hAnsi="Arial"/>
                <w:sz w:val="18"/>
                <w:szCs w:val="18"/>
                <w:color w:val="auto"/>
              </w:rPr>
              <w:t>Notices.</w:t>
            </w:r>
          </w:p>
        </w:tc>
        <w:tc>
          <w:tcPr>
            <w:tcW w:w="6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32.3</w:t>
            </w:r>
          </w:p>
        </w:tc>
        <w:tc>
          <w:tcPr>
            <w:tcW w:w="3960" w:type="dxa"/>
            <w:vAlign w:val="bottom"/>
          </w:tcPr>
          <w:p>
            <w:pPr>
              <w:ind w:left="120"/>
              <w:spacing w:after="0"/>
              <w:rPr>
                <w:sz w:val="20"/>
                <w:szCs w:val="20"/>
                <w:color w:val="auto"/>
              </w:rPr>
            </w:pPr>
            <w:r>
              <w:rPr>
                <w:rFonts w:ascii="Arial" w:cs="Arial" w:eastAsia="Arial" w:hAnsi="Arial"/>
                <w:sz w:val="18"/>
                <w:szCs w:val="18"/>
                <w:color w:val="auto"/>
              </w:rPr>
              <w:t>Remediation.</w:t>
            </w:r>
          </w:p>
        </w:tc>
        <w:tc>
          <w:tcPr>
            <w:tcW w:w="65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32.4</w:t>
            </w:r>
          </w:p>
        </w:tc>
        <w:tc>
          <w:tcPr>
            <w:tcW w:w="3960" w:type="dxa"/>
            <w:vAlign w:val="bottom"/>
          </w:tcPr>
          <w:p>
            <w:pPr>
              <w:ind w:left="120"/>
              <w:spacing w:after="0"/>
              <w:rPr>
                <w:sz w:val="20"/>
                <w:szCs w:val="20"/>
                <w:color w:val="auto"/>
              </w:rPr>
            </w:pPr>
            <w:r>
              <w:rPr>
                <w:rFonts w:ascii="Arial" w:cs="Arial" w:eastAsia="Arial" w:hAnsi="Arial"/>
                <w:sz w:val="18"/>
                <w:szCs w:val="18"/>
                <w:color w:val="auto"/>
              </w:rPr>
              <w:t>Indemnity by Tenant.</w:t>
            </w:r>
          </w:p>
        </w:tc>
        <w:tc>
          <w:tcPr>
            <w:tcW w:w="65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32.5</w:t>
            </w:r>
          </w:p>
        </w:tc>
        <w:tc>
          <w:tcPr>
            <w:tcW w:w="3960" w:type="dxa"/>
            <w:vAlign w:val="bottom"/>
          </w:tcPr>
          <w:p>
            <w:pPr>
              <w:ind w:left="120"/>
              <w:spacing w:after="0"/>
              <w:rPr>
                <w:sz w:val="20"/>
                <w:szCs w:val="20"/>
                <w:color w:val="auto"/>
              </w:rPr>
            </w:pPr>
            <w:r>
              <w:rPr>
                <w:rFonts w:ascii="Arial" w:cs="Arial" w:eastAsia="Arial" w:hAnsi="Arial"/>
                <w:sz w:val="18"/>
                <w:szCs w:val="18"/>
                <w:color w:val="auto"/>
              </w:rPr>
              <w:t>Environmental Inspections.</w:t>
            </w:r>
          </w:p>
        </w:tc>
        <w:tc>
          <w:tcPr>
            <w:tcW w:w="6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32.6</w:t>
            </w:r>
          </w:p>
        </w:tc>
        <w:tc>
          <w:tcPr>
            <w:tcW w:w="3960" w:type="dxa"/>
            <w:vAlign w:val="bottom"/>
          </w:tcPr>
          <w:p>
            <w:pPr>
              <w:ind w:left="120"/>
              <w:spacing w:after="0"/>
              <w:rPr>
                <w:sz w:val="20"/>
                <w:szCs w:val="20"/>
                <w:color w:val="auto"/>
              </w:rPr>
            </w:pPr>
            <w:r>
              <w:rPr>
                <w:rFonts w:ascii="Arial" w:cs="Arial" w:eastAsia="Arial" w:hAnsi="Arial"/>
                <w:sz w:val="18"/>
                <w:szCs w:val="18"/>
                <w:color w:val="auto"/>
              </w:rPr>
              <w:t>Survival.</w:t>
            </w:r>
          </w:p>
        </w:tc>
        <w:tc>
          <w:tcPr>
            <w:tcW w:w="656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40"/>
          </w:cols>
          <w:pgMar w:left="440" w:top="270" w:right="5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20" w:type="dxa"/>
            <w:vAlign w:val="bottom"/>
          </w:tcPr>
          <w:p>
            <w:pPr>
              <w:jc w:val="center"/>
              <w:ind w:left="1910"/>
              <w:spacing w:after="0"/>
              <w:rPr>
                <w:sz w:val="20"/>
                <w:szCs w:val="20"/>
                <w:color w:val="auto"/>
              </w:rPr>
            </w:pPr>
            <w:r>
              <w:rPr>
                <w:rFonts w:ascii="Arial" w:cs="Arial" w:eastAsia="Arial" w:hAnsi="Arial"/>
                <w:sz w:val="18"/>
                <w:szCs w:val="18"/>
                <w:b w:val="1"/>
                <w:bCs w:val="1"/>
                <w:color w:val="auto"/>
              </w:rPr>
              <w:t>ARTICLE XXXIII</w:t>
            </w:r>
          </w:p>
        </w:tc>
        <w:tc>
          <w:tcPr>
            <w:tcW w:w="2480" w:type="dxa"/>
            <w:vAlign w:val="bottom"/>
          </w:tcPr>
          <w:p>
            <w:pPr>
              <w:spacing w:after="0"/>
              <w:rPr>
                <w:sz w:val="20"/>
                <w:szCs w:val="20"/>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33.1</w:t>
            </w:r>
          </w:p>
        </w:tc>
        <w:tc>
          <w:tcPr>
            <w:tcW w:w="8020" w:type="dxa"/>
            <w:vAlign w:val="bottom"/>
          </w:tcPr>
          <w:p>
            <w:pPr>
              <w:ind w:left="60"/>
              <w:spacing w:after="0"/>
              <w:rPr>
                <w:sz w:val="20"/>
                <w:szCs w:val="20"/>
                <w:color w:val="auto"/>
              </w:rPr>
            </w:pPr>
            <w:r>
              <w:rPr>
                <w:rFonts w:ascii="Arial" w:cs="Arial" w:eastAsia="Arial" w:hAnsi="Arial"/>
                <w:sz w:val="18"/>
                <w:szCs w:val="18"/>
                <w:color w:val="auto"/>
              </w:rPr>
              <w:t>Notice of Lease.</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33.2</w:t>
            </w:r>
          </w:p>
        </w:tc>
        <w:tc>
          <w:tcPr>
            <w:tcW w:w="8020" w:type="dxa"/>
            <w:vAlign w:val="bottom"/>
          </w:tcPr>
          <w:p>
            <w:pPr>
              <w:ind w:left="60"/>
              <w:spacing w:after="0"/>
              <w:rPr>
                <w:sz w:val="20"/>
                <w:szCs w:val="20"/>
                <w:color w:val="auto"/>
              </w:rPr>
            </w:pPr>
            <w:r>
              <w:rPr>
                <w:rFonts w:ascii="Arial" w:cs="Arial" w:eastAsia="Arial" w:hAnsi="Arial"/>
                <w:sz w:val="18"/>
                <w:szCs w:val="18"/>
                <w:color w:val="auto"/>
              </w:rPr>
              <w:t>Tenant Financing.</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32"/>
        </w:trPr>
        <w:tc>
          <w:tcPr>
            <w:tcW w:w="460" w:type="dxa"/>
            <w:vAlign w:val="bottom"/>
          </w:tcPr>
          <w:p>
            <w:pPr>
              <w:spacing w:after="0"/>
              <w:rPr>
                <w:sz w:val="24"/>
                <w:szCs w:val="24"/>
                <w:color w:val="auto"/>
              </w:rPr>
            </w:pPr>
          </w:p>
        </w:tc>
        <w:tc>
          <w:tcPr>
            <w:tcW w:w="8020" w:type="dxa"/>
            <w:vAlign w:val="bottom"/>
          </w:tcPr>
          <w:p>
            <w:pPr>
              <w:jc w:val="center"/>
              <w:ind w:left="1930"/>
              <w:spacing w:after="0"/>
              <w:rPr>
                <w:sz w:val="20"/>
                <w:szCs w:val="20"/>
                <w:color w:val="auto"/>
              </w:rPr>
            </w:pPr>
            <w:r>
              <w:rPr>
                <w:rFonts w:ascii="Arial" w:cs="Arial" w:eastAsia="Arial" w:hAnsi="Arial"/>
                <w:sz w:val="18"/>
                <w:szCs w:val="18"/>
                <w:b w:val="1"/>
                <w:bCs w:val="1"/>
                <w:color w:val="auto"/>
              </w:rPr>
              <w:t>ARTICLE XXXIV</w:t>
            </w:r>
          </w:p>
        </w:tc>
        <w:tc>
          <w:tcPr>
            <w:tcW w:w="248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34.1</w:t>
            </w:r>
          </w:p>
        </w:tc>
        <w:tc>
          <w:tcPr>
            <w:tcW w:w="8020" w:type="dxa"/>
            <w:vAlign w:val="bottom"/>
          </w:tcPr>
          <w:p>
            <w:pPr>
              <w:ind w:left="60"/>
              <w:spacing w:after="0"/>
              <w:rPr>
                <w:sz w:val="20"/>
                <w:szCs w:val="20"/>
                <w:color w:val="auto"/>
              </w:rPr>
            </w:pPr>
            <w:r>
              <w:rPr>
                <w:rFonts w:ascii="Arial" w:cs="Arial" w:eastAsia="Arial" w:hAnsi="Arial"/>
                <w:sz w:val="18"/>
                <w:szCs w:val="18"/>
                <w:color w:val="auto"/>
              </w:rPr>
              <w:t>Expert Valuation Process.</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32"/>
        </w:trPr>
        <w:tc>
          <w:tcPr>
            <w:tcW w:w="460" w:type="dxa"/>
            <w:vAlign w:val="bottom"/>
          </w:tcPr>
          <w:p>
            <w:pPr>
              <w:spacing w:after="0"/>
              <w:rPr>
                <w:sz w:val="24"/>
                <w:szCs w:val="24"/>
                <w:color w:val="auto"/>
              </w:rPr>
            </w:pPr>
          </w:p>
        </w:tc>
        <w:tc>
          <w:tcPr>
            <w:tcW w:w="8020" w:type="dxa"/>
            <w:vAlign w:val="bottom"/>
          </w:tcPr>
          <w:p>
            <w:pPr>
              <w:jc w:val="center"/>
              <w:ind w:left="1910"/>
              <w:spacing w:after="0"/>
              <w:rPr>
                <w:sz w:val="20"/>
                <w:szCs w:val="20"/>
                <w:color w:val="auto"/>
              </w:rPr>
            </w:pPr>
            <w:r>
              <w:rPr>
                <w:rFonts w:ascii="Arial" w:cs="Arial" w:eastAsia="Arial" w:hAnsi="Arial"/>
                <w:sz w:val="18"/>
                <w:szCs w:val="18"/>
                <w:b w:val="1"/>
                <w:bCs w:val="1"/>
                <w:color w:val="auto"/>
              </w:rPr>
              <w:t>ARTICLE XXXV</w:t>
            </w:r>
          </w:p>
        </w:tc>
        <w:tc>
          <w:tcPr>
            <w:tcW w:w="248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35.1</w:t>
            </w:r>
          </w:p>
        </w:tc>
        <w:tc>
          <w:tcPr>
            <w:tcW w:w="8020" w:type="dxa"/>
            <w:vAlign w:val="bottom"/>
          </w:tcPr>
          <w:p>
            <w:pPr>
              <w:ind w:left="60"/>
              <w:spacing w:after="0"/>
              <w:rPr>
                <w:sz w:val="20"/>
                <w:szCs w:val="20"/>
                <w:color w:val="auto"/>
              </w:rPr>
            </w:pPr>
            <w:r>
              <w:rPr>
                <w:rFonts w:ascii="Arial" w:cs="Arial" w:eastAsia="Arial" w:hAnsi="Arial"/>
                <w:sz w:val="18"/>
                <w:szCs w:val="18"/>
                <w:color w:val="auto"/>
              </w:rPr>
              <w:t>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32"/>
        </w:trPr>
        <w:tc>
          <w:tcPr>
            <w:tcW w:w="460" w:type="dxa"/>
            <w:vAlign w:val="bottom"/>
          </w:tcPr>
          <w:p>
            <w:pPr>
              <w:spacing w:after="0"/>
              <w:rPr>
                <w:sz w:val="24"/>
                <w:szCs w:val="24"/>
                <w:color w:val="auto"/>
              </w:rPr>
            </w:pPr>
          </w:p>
        </w:tc>
        <w:tc>
          <w:tcPr>
            <w:tcW w:w="8020" w:type="dxa"/>
            <w:vAlign w:val="bottom"/>
          </w:tcPr>
          <w:p>
            <w:pPr>
              <w:jc w:val="center"/>
              <w:ind w:left="1930"/>
              <w:spacing w:after="0"/>
              <w:rPr>
                <w:sz w:val="20"/>
                <w:szCs w:val="20"/>
                <w:color w:val="auto"/>
              </w:rPr>
            </w:pPr>
            <w:r>
              <w:rPr>
                <w:rFonts w:ascii="Arial" w:cs="Arial" w:eastAsia="Arial" w:hAnsi="Arial"/>
                <w:sz w:val="18"/>
                <w:szCs w:val="18"/>
                <w:b w:val="1"/>
                <w:bCs w:val="1"/>
                <w:color w:val="auto"/>
              </w:rPr>
              <w:t>ARTICLE XXXVI</w:t>
            </w:r>
          </w:p>
        </w:tc>
        <w:tc>
          <w:tcPr>
            <w:tcW w:w="2480" w:type="dxa"/>
            <w:vAlign w:val="bottom"/>
          </w:tcPr>
          <w:p>
            <w:pPr>
              <w:spacing w:after="0"/>
              <w:rPr>
                <w:sz w:val="24"/>
                <w:szCs w:val="24"/>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36.1</w:t>
            </w:r>
          </w:p>
        </w:tc>
        <w:tc>
          <w:tcPr>
            <w:tcW w:w="8020" w:type="dxa"/>
            <w:vAlign w:val="bottom"/>
          </w:tcPr>
          <w:p>
            <w:pPr>
              <w:ind w:left="60"/>
              <w:spacing w:after="0"/>
              <w:rPr>
                <w:sz w:val="20"/>
                <w:szCs w:val="20"/>
                <w:color w:val="auto"/>
              </w:rPr>
            </w:pPr>
            <w:r>
              <w:rPr>
                <w:rFonts w:ascii="Arial" w:cs="Arial" w:eastAsia="Arial" w:hAnsi="Arial"/>
                <w:sz w:val="18"/>
                <w:szCs w:val="18"/>
                <w:color w:val="auto"/>
              </w:rPr>
              <w:t>Transfer of Tenant’s Property and Operational Control of the Facility.</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36.2</w:t>
            </w:r>
          </w:p>
        </w:tc>
        <w:tc>
          <w:tcPr>
            <w:tcW w:w="8020" w:type="dxa"/>
            <w:vAlign w:val="bottom"/>
          </w:tcPr>
          <w:p>
            <w:pPr>
              <w:ind w:left="60"/>
              <w:spacing w:after="0"/>
              <w:rPr>
                <w:sz w:val="20"/>
                <w:szCs w:val="20"/>
                <w:color w:val="auto"/>
              </w:rPr>
            </w:pPr>
            <w:r>
              <w:rPr>
                <w:rFonts w:ascii="Arial" w:cs="Arial" w:eastAsia="Arial" w:hAnsi="Arial"/>
                <w:sz w:val="18"/>
                <w:szCs w:val="18"/>
                <w:color w:val="auto"/>
              </w:rPr>
              <w:t>Determination of Successor Tenant and Gaming Assets FMV.</w:t>
            </w:r>
          </w:p>
        </w:tc>
        <w:tc>
          <w:tcPr>
            <w:tcW w:w="2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36.3</w:t>
            </w:r>
          </w:p>
        </w:tc>
        <w:tc>
          <w:tcPr>
            <w:tcW w:w="8020" w:type="dxa"/>
            <w:vAlign w:val="bottom"/>
          </w:tcPr>
          <w:p>
            <w:pPr>
              <w:ind w:left="60"/>
              <w:spacing w:after="0"/>
              <w:rPr>
                <w:sz w:val="20"/>
                <w:szCs w:val="20"/>
                <w:color w:val="auto"/>
              </w:rPr>
            </w:pPr>
            <w:r>
              <w:rPr>
                <w:rFonts w:ascii="Arial" w:cs="Arial" w:eastAsia="Arial" w:hAnsi="Arial"/>
                <w:sz w:val="18"/>
                <w:szCs w:val="18"/>
                <w:color w:val="auto"/>
              </w:rPr>
              <w:t>Operation Transfer.</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36.4</w:t>
            </w:r>
          </w:p>
        </w:tc>
        <w:tc>
          <w:tcPr>
            <w:tcW w:w="8020" w:type="dxa"/>
            <w:vAlign w:val="bottom"/>
          </w:tcPr>
          <w:p>
            <w:pPr>
              <w:ind w:left="60"/>
              <w:spacing w:after="0"/>
              <w:rPr>
                <w:sz w:val="20"/>
                <w:szCs w:val="20"/>
                <w:color w:val="auto"/>
              </w:rPr>
            </w:pPr>
            <w:r>
              <w:rPr>
                <w:rFonts w:ascii="Arial" w:cs="Arial" w:eastAsia="Arial" w:hAnsi="Arial"/>
                <w:sz w:val="18"/>
                <w:szCs w:val="18"/>
                <w:color w:val="auto"/>
              </w:rPr>
              <w:t>Tenant FF&amp;E Transfer.</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460" w:type="dxa"/>
            <w:vAlign w:val="bottom"/>
          </w:tcPr>
          <w:p>
            <w:pPr>
              <w:spacing w:after="0"/>
              <w:rPr>
                <w:sz w:val="24"/>
                <w:szCs w:val="24"/>
                <w:color w:val="auto"/>
              </w:rPr>
            </w:pPr>
          </w:p>
        </w:tc>
        <w:tc>
          <w:tcPr>
            <w:tcW w:w="8020" w:type="dxa"/>
            <w:vAlign w:val="bottom"/>
          </w:tcPr>
          <w:p>
            <w:pPr>
              <w:jc w:val="center"/>
              <w:ind w:left="1930"/>
              <w:spacing w:after="0"/>
              <w:rPr>
                <w:sz w:val="20"/>
                <w:szCs w:val="20"/>
                <w:color w:val="auto"/>
              </w:rPr>
            </w:pPr>
            <w:r>
              <w:rPr>
                <w:rFonts w:ascii="Arial" w:cs="Arial" w:eastAsia="Arial" w:hAnsi="Arial"/>
                <w:sz w:val="18"/>
                <w:szCs w:val="18"/>
                <w:b w:val="1"/>
                <w:bCs w:val="1"/>
                <w:color w:val="auto"/>
              </w:rPr>
              <w:t>ARTICLE XXXVII</w:t>
            </w:r>
          </w:p>
        </w:tc>
        <w:tc>
          <w:tcPr>
            <w:tcW w:w="248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37.1</w:t>
            </w:r>
          </w:p>
        </w:tc>
        <w:tc>
          <w:tcPr>
            <w:tcW w:w="8020" w:type="dxa"/>
            <w:vAlign w:val="bottom"/>
          </w:tcPr>
          <w:p>
            <w:pPr>
              <w:ind w:left="60"/>
              <w:spacing w:after="0"/>
              <w:rPr>
                <w:sz w:val="20"/>
                <w:szCs w:val="20"/>
                <w:color w:val="auto"/>
              </w:rPr>
            </w:pPr>
            <w:r>
              <w:rPr>
                <w:rFonts w:ascii="Arial" w:cs="Arial" w:eastAsia="Arial" w:hAnsi="Arial"/>
                <w:sz w:val="18"/>
                <w:szCs w:val="18"/>
                <w:color w:val="auto"/>
              </w:rPr>
              <w:t>Attorneys’ Fees.</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460" w:type="dxa"/>
            <w:vAlign w:val="bottom"/>
          </w:tcPr>
          <w:p>
            <w:pPr>
              <w:spacing w:after="0"/>
              <w:rPr>
                <w:sz w:val="24"/>
                <w:szCs w:val="24"/>
                <w:color w:val="auto"/>
              </w:rPr>
            </w:pPr>
          </w:p>
        </w:tc>
        <w:tc>
          <w:tcPr>
            <w:tcW w:w="8020" w:type="dxa"/>
            <w:vAlign w:val="bottom"/>
          </w:tcPr>
          <w:p>
            <w:pPr>
              <w:jc w:val="center"/>
              <w:ind w:left="1930"/>
              <w:spacing w:after="0"/>
              <w:rPr>
                <w:sz w:val="20"/>
                <w:szCs w:val="20"/>
                <w:color w:val="auto"/>
              </w:rPr>
            </w:pPr>
            <w:r>
              <w:rPr>
                <w:rFonts w:ascii="Arial" w:cs="Arial" w:eastAsia="Arial" w:hAnsi="Arial"/>
                <w:sz w:val="18"/>
                <w:szCs w:val="18"/>
                <w:b w:val="1"/>
                <w:bCs w:val="1"/>
                <w:color w:val="auto"/>
              </w:rPr>
              <w:t>ARTICLE XXXVIII</w:t>
            </w:r>
          </w:p>
        </w:tc>
        <w:tc>
          <w:tcPr>
            <w:tcW w:w="248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38.1</w:t>
            </w:r>
          </w:p>
        </w:tc>
        <w:tc>
          <w:tcPr>
            <w:tcW w:w="8020" w:type="dxa"/>
            <w:vAlign w:val="bottom"/>
          </w:tcPr>
          <w:p>
            <w:pPr>
              <w:ind w:left="60"/>
              <w:spacing w:after="0"/>
              <w:rPr>
                <w:sz w:val="20"/>
                <w:szCs w:val="20"/>
                <w:color w:val="auto"/>
              </w:rPr>
            </w:pPr>
            <w:r>
              <w:rPr>
                <w:rFonts w:ascii="Arial" w:cs="Arial" w:eastAsia="Arial" w:hAnsi="Arial"/>
                <w:sz w:val="18"/>
                <w:szCs w:val="18"/>
                <w:color w:val="auto"/>
              </w:rPr>
              <w:t>Brokers.</w:t>
            </w:r>
          </w:p>
        </w:tc>
        <w:tc>
          <w:tcPr>
            <w:tcW w:w="24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460" w:type="dxa"/>
            <w:vAlign w:val="bottom"/>
          </w:tcPr>
          <w:p>
            <w:pPr>
              <w:spacing w:after="0"/>
              <w:rPr>
                <w:sz w:val="24"/>
                <w:szCs w:val="24"/>
                <w:color w:val="auto"/>
              </w:rPr>
            </w:pPr>
          </w:p>
        </w:tc>
        <w:tc>
          <w:tcPr>
            <w:tcW w:w="8020" w:type="dxa"/>
            <w:vAlign w:val="bottom"/>
          </w:tcPr>
          <w:p>
            <w:pPr>
              <w:jc w:val="center"/>
              <w:ind w:left="1930"/>
              <w:spacing w:after="0"/>
              <w:rPr>
                <w:sz w:val="20"/>
                <w:szCs w:val="20"/>
                <w:color w:val="auto"/>
              </w:rPr>
            </w:pPr>
            <w:r>
              <w:rPr>
                <w:rFonts w:ascii="Arial" w:cs="Arial" w:eastAsia="Arial" w:hAnsi="Arial"/>
                <w:sz w:val="18"/>
                <w:szCs w:val="18"/>
                <w:b w:val="1"/>
                <w:bCs w:val="1"/>
                <w:color w:val="auto"/>
              </w:rPr>
              <w:t>ARTICLE XXXIX</w:t>
            </w:r>
          </w:p>
        </w:tc>
        <w:tc>
          <w:tcPr>
            <w:tcW w:w="248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39.1</w:t>
            </w:r>
          </w:p>
        </w:tc>
        <w:tc>
          <w:tcPr>
            <w:tcW w:w="8020" w:type="dxa"/>
            <w:vAlign w:val="bottom"/>
          </w:tcPr>
          <w:p>
            <w:pPr>
              <w:ind w:left="60"/>
              <w:spacing w:after="0"/>
              <w:rPr>
                <w:sz w:val="20"/>
                <w:szCs w:val="20"/>
                <w:color w:val="auto"/>
              </w:rPr>
            </w:pPr>
            <w:r>
              <w:rPr>
                <w:rFonts w:ascii="Arial" w:cs="Arial" w:eastAsia="Arial" w:hAnsi="Arial"/>
                <w:sz w:val="18"/>
                <w:szCs w:val="18"/>
                <w:color w:val="auto"/>
              </w:rPr>
              <w:t>Anti-Terrorism Representations.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460" w:type="dxa"/>
            <w:vAlign w:val="bottom"/>
          </w:tcPr>
          <w:p>
            <w:pPr>
              <w:spacing w:after="0"/>
              <w:rPr>
                <w:sz w:val="24"/>
                <w:szCs w:val="24"/>
                <w:color w:val="auto"/>
              </w:rPr>
            </w:pPr>
          </w:p>
        </w:tc>
        <w:tc>
          <w:tcPr>
            <w:tcW w:w="8020" w:type="dxa"/>
            <w:vAlign w:val="bottom"/>
          </w:tcPr>
          <w:p>
            <w:pPr>
              <w:jc w:val="center"/>
              <w:ind w:left="1930"/>
              <w:spacing w:after="0"/>
              <w:rPr>
                <w:sz w:val="20"/>
                <w:szCs w:val="20"/>
                <w:color w:val="auto"/>
              </w:rPr>
            </w:pPr>
            <w:r>
              <w:rPr>
                <w:rFonts w:ascii="Arial" w:cs="Arial" w:eastAsia="Arial" w:hAnsi="Arial"/>
                <w:sz w:val="18"/>
                <w:szCs w:val="18"/>
                <w:b w:val="1"/>
                <w:bCs w:val="1"/>
                <w:color w:val="auto"/>
              </w:rPr>
              <w:t>ARTICLE XL</w:t>
            </w:r>
          </w:p>
        </w:tc>
        <w:tc>
          <w:tcPr>
            <w:tcW w:w="248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40.1</w:t>
            </w:r>
          </w:p>
        </w:tc>
        <w:tc>
          <w:tcPr>
            <w:tcW w:w="8020" w:type="dxa"/>
            <w:vAlign w:val="bottom"/>
          </w:tcPr>
          <w:p>
            <w:pPr>
              <w:ind w:left="60"/>
              <w:spacing w:after="0"/>
              <w:rPr>
                <w:sz w:val="20"/>
                <w:szCs w:val="20"/>
                <w:color w:val="auto"/>
              </w:rPr>
            </w:pPr>
            <w:r>
              <w:rPr>
                <w:rFonts w:ascii="Arial" w:cs="Arial" w:eastAsia="Arial" w:hAnsi="Arial"/>
                <w:sz w:val="18"/>
                <w:szCs w:val="18"/>
                <w:color w:val="auto"/>
              </w:rPr>
              <w:t>REIT Protection.</w:t>
            </w:r>
          </w:p>
        </w:tc>
        <w:tc>
          <w:tcPr>
            <w:tcW w:w="24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32"/>
        </w:trPr>
        <w:tc>
          <w:tcPr>
            <w:tcW w:w="460" w:type="dxa"/>
            <w:vAlign w:val="bottom"/>
          </w:tcPr>
          <w:p>
            <w:pPr>
              <w:spacing w:after="0"/>
              <w:rPr>
                <w:sz w:val="24"/>
                <w:szCs w:val="24"/>
                <w:color w:val="auto"/>
              </w:rPr>
            </w:pPr>
          </w:p>
        </w:tc>
        <w:tc>
          <w:tcPr>
            <w:tcW w:w="8020" w:type="dxa"/>
            <w:vAlign w:val="bottom"/>
          </w:tcPr>
          <w:p>
            <w:pPr>
              <w:jc w:val="center"/>
              <w:ind w:left="1910"/>
              <w:spacing w:after="0"/>
              <w:rPr>
                <w:sz w:val="20"/>
                <w:szCs w:val="20"/>
                <w:color w:val="auto"/>
              </w:rPr>
            </w:pPr>
            <w:r>
              <w:rPr>
                <w:rFonts w:ascii="Arial" w:cs="Arial" w:eastAsia="Arial" w:hAnsi="Arial"/>
                <w:sz w:val="18"/>
                <w:szCs w:val="18"/>
                <w:b w:val="1"/>
                <w:bCs w:val="1"/>
                <w:color w:val="auto"/>
              </w:rPr>
              <w:t>ARTICLE XLI</w:t>
            </w:r>
          </w:p>
        </w:tc>
        <w:tc>
          <w:tcPr>
            <w:tcW w:w="2480" w:type="dxa"/>
            <w:vAlign w:val="bottom"/>
          </w:tcPr>
          <w:p>
            <w:pPr>
              <w:spacing w:after="0"/>
              <w:rPr>
                <w:sz w:val="24"/>
                <w:szCs w:val="24"/>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41.1</w:t>
            </w:r>
          </w:p>
        </w:tc>
        <w:tc>
          <w:tcPr>
            <w:tcW w:w="8020" w:type="dxa"/>
            <w:vAlign w:val="bottom"/>
          </w:tcPr>
          <w:p>
            <w:pPr>
              <w:ind w:left="60"/>
              <w:spacing w:after="0"/>
              <w:rPr>
                <w:sz w:val="20"/>
                <w:szCs w:val="20"/>
                <w:color w:val="auto"/>
              </w:rPr>
            </w:pPr>
            <w:r>
              <w:rPr>
                <w:rFonts w:ascii="Arial" w:cs="Arial" w:eastAsia="Arial" w:hAnsi="Arial"/>
                <w:sz w:val="18"/>
                <w:szCs w:val="18"/>
                <w:color w:val="auto"/>
              </w:rPr>
              <w:t>Survival.</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41.2</w:t>
            </w:r>
          </w:p>
        </w:tc>
        <w:tc>
          <w:tcPr>
            <w:tcW w:w="80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41.3</w:t>
            </w:r>
          </w:p>
        </w:tc>
        <w:tc>
          <w:tcPr>
            <w:tcW w:w="8020" w:type="dxa"/>
            <w:vAlign w:val="bottom"/>
          </w:tcPr>
          <w:p>
            <w:pPr>
              <w:ind w:left="60"/>
              <w:spacing w:after="0"/>
              <w:rPr>
                <w:sz w:val="20"/>
                <w:szCs w:val="20"/>
                <w:color w:val="auto"/>
              </w:rPr>
            </w:pPr>
            <w:r>
              <w:rPr>
                <w:rFonts w:ascii="Arial" w:cs="Arial" w:eastAsia="Arial" w:hAnsi="Arial"/>
                <w:sz w:val="18"/>
                <w:szCs w:val="18"/>
                <w:color w:val="auto"/>
              </w:rPr>
              <w:t>Non-Recourse; Consequential Damages.</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41.4</w:t>
            </w:r>
          </w:p>
        </w:tc>
        <w:tc>
          <w:tcPr>
            <w:tcW w:w="802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41.5</w:t>
            </w:r>
          </w:p>
        </w:tc>
        <w:tc>
          <w:tcPr>
            <w:tcW w:w="80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41.6</w:t>
            </w:r>
          </w:p>
        </w:tc>
        <w:tc>
          <w:tcPr>
            <w:tcW w:w="8020" w:type="dxa"/>
            <w:vAlign w:val="bottom"/>
          </w:tcPr>
          <w:p>
            <w:pPr>
              <w:ind w:left="60"/>
              <w:spacing w:after="0"/>
              <w:rPr>
                <w:sz w:val="20"/>
                <w:szCs w:val="20"/>
                <w:color w:val="auto"/>
              </w:rPr>
            </w:pPr>
            <w:r>
              <w:rPr>
                <w:rFonts w:ascii="Arial" w:cs="Arial" w:eastAsia="Arial" w:hAnsi="Arial"/>
                <w:sz w:val="18"/>
                <w:szCs w:val="18"/>
                <w:color w:val="auto"/>
              </w:rPr>
              <w:t>Waiver of Trial by Jury.</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41.7</w:t>
            </w:r>
          </w:p>
        </w:tc>
        <w:tc>
          <w:tcPr>
            <w:tcW w:w="802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41.8</w:t>
            </w:r>
          </w:p>
        </w:tc>
        <w:tc>
          <w:tcPr>
            <w:tcW w:w="8020" w:type="dxa"/>
            <w:vAlign w:val="bottom"/>
          </w:tcPr>
          <w:p>
            <w:pPr>
              <w:ind w:left="60"/>
              <w:spacing w:after="0"/>
              <w:rPr>
                <w:sz w:val="20"/>
                <w:szCs w:val="20"/>
                <w:color w:val="auto"/>
              </w:rPr>
            </w:pPr>
            <w:r>
              <w:rPr>
                <w:rFonts w:ascii="Arial" w:cs="Arial" w:eastAsia="Arial" w:hAnsi="Arial"/>
                <w:sz w:val="18"/>
                <w:szCs w:val="18"/>
                <w:color w:val="auto"/>
              </w:rPr>
              <w:t>Headings.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41.9</w:t>
            </w:r>
          </w:p>
        </w:tc>
        <w:tc>
          <w:tcPr>
            <w:tcW w:w="80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41.10</w:t>
            </w:r>
          </w:p>
        </w:tc>
        <w:tc>
          <w:tcPr>
            <w:tcW w:w="802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97"/>
              </w:rPr>
              <w:t>41.11</w:t>
            </w:r>
          </w:p>
        </w:tc>
        <w:tc>
          <w:tcPr>
            <w:tcW w:w="8020" w:type="dxa"/>
            <w:vAlign w:val="bottom"/>
          </w:tcPr>
          <w:p>
            <w:pPr>
              <w:ind w:left="60"/>
              <w:spacing w:after="0"/>
              <w:rPr>
                <w:sz w:val="20"/>
                <w:szCs w:val="20"/>
                <w:color w:val="auto"/>
              </w:rPr>
            </w:pPr>
            <w:r>
              <w:rPr>
                <w:rFonts w:ascii="Arial" w:cs="Arial" w:eastAsia="Arial" w:hAnsi="Arial"/>
                <w:sz w:val="18"/>
                <w:szCs w:val="18"/>
                <w:color w:val="auto"/>
              </w:rPr>
              <w:t>Time of Essence.</w:t>
            </w:r>
          </w:p>
        </w:tc>
        <w:tc>
          <w:tcPr>
            <w:tcW w:w="248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70" w:right="4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41.12</w:t>
            </w:r>
          </w:p>
        </w:tc>
        <w:tc>
          <w:tcPr>
            <w:tcW w:w="666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38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41.13</w:t>
            </w:r>
          </w:p>
        </w:tc>
        <w:tc>
          <w:tcPr>
            <w:tcW w:w="6660" w:type="dxa"/>
            <w:vAlign w:val="bottom"/>
          </w:tcPr>
          <w:p>
            <w:pPr>
              <w:ind w:left="60"/>
              <w:spacing w:after="0"/>
              <w:rPr>
                <w:sz w:val="20"/>
                <w:szCs w:val="20"/>
                <w:color w:val="auto"/>
              </w:rPr>
            </w:pPr>
            <w:r>
              <w:rPr>
                <w:rFonts w:ascii="Arial" w:cs="Arial" w:eastAsia="Arial" w:hAnsi="Arial"/>
                <w:sz w:val="18"/>
                <w:szCs w:val="18"/>
                <w:color w:val="auto"/>
              </w:rPr>
              <w:t>Gaming Regulations.</w:t>
            </w:r>
          </w:p>
        </w:tc>
        <w:tc>
          <w:tcPr>
            <w:tcW w:w="38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4"/>
              </w:rPr>
              <w:t>41.14</w:t>
            </w:r>
          </w:p>
        </w:tc>
        <w:tc>
          <w:tcPr>
            <w:tcW w:w="6660" w:type="dxa"/>
            <w:vAlign w:val="bottom"/>
          </w:tcPr>
          <w:p>
            <w:pPr>
              <w:ind w:left="60"/>
              <w:spacing w:after="0"/>
              <w:rPr>
                <w:sz w:val="20"/>
                <w:szCs w:val="20"/>
                <w:color w:val="auto"/>
              </w:rPr>
            </w:pPr>
            <w:r>
              <w:rPr>
                <w:rFonts w:ascii="Arial" w:cs="Arial" w:eastAsia="Arial" w:hAnsi="Arial"/>
                <w:sz w:val="18"/>
                <w:szCs w:val="18"/>
                <w:color w:val="auto"/>
              </w:rPr>
              <w:t>Certain Provisions of Massachusetts Law.</w:t>
            </w:r>
          </w:p>
        </w:tc>
        <w:tc>
          <w:tcPr>
            <w:tcW w:w="384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960"/>
          </w:cols>
          <w:pgMar w:left="440" w:top="274" w:right="4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A –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B-1 – EVERETT PROPERTY LEGAL DESCRIPTIONS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B-2 – BOSTON PROPERTY LEGAL DESCRIPTIONS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 GAMING LICENSES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D – FORM OF GUARANTY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E – FORM OF NONDISTURBANCE AND ATTORNMENT AGREEMENT</w:t>
      </w:r>
    </w:p>
    <w:p>
      <w:pPr>
        <w:spacing w:after="0" w:line="225" w:lineRule="exact"/>
        <w:rPr>
          <w:sz w:val="20"/>
          <w:szCs w:val="20"/>
          <w:color w:val="auto"/>
        </w:rPr>
      </w:pPr>
    </w:p>
    <w:p>
      <w:pPr>
        <w:ind w:right="2099"/>
        <w:spacing w:after="0" w:line="500" w:lineRule="auto"/>
        <w:rPr>
          <w:sz w:val="20"/>
          <w:szCs w:val="20"/>
          <w:color w:val="auto"/>
        </w:rPr>
      </w:pPr>
      <w:r>
        <w:rPr>
          <w:rFonts w:ascii="Arial" w:cs="Arial" w:eastAsia="Arial" w:hAnsi="Arial"/>
          <w:sz w:val="18"/>
          <w:szCs w:val="18"/>
          <w:color w:val="auto"/>
        </w:rPr>
        <w:t>EXHIBIT F – FORM OF SUBORDINATION, NONDISTURBANCE AND ATTORNMENT AGREEMENT EXHIBIT G – FORM OF QUARTERLY OPERATING REPORT</w:t>
      </w:r>
    </w:p>
    <w:p>
      <w:pPr>
        <w:spacing w:after="0" w:line="2" w:lineRule="exact"/>
        <w:rPr>
          <w:sz w:val="20"/>
          <w:szCs w:val="20"/>
          <w:color w:val="auto"/>
        </w:rPr>
      </w:pPr>
    </w:p>
    <w:p>
      <w:pPr>
        <w:ind w:right="4759"/>
        <w:spacing w:after="0" w:line="500" w:lineRule="auto"/>
        <w:rPr>
          <w:sz w:val="20"/>
          <w:szCs w:val="20"/>
          <w:color w:val="auto"/>
        </w:rPr>
      </w:pPr>
      <w:r>
        <w:rPr>
          <w:rFonts w:ascii="Arial" w:cs="Arial" w:eastAsia="Arial" w:hAnsi="Arial"/>
          <w:sz w:val="18"/>
          <w:szCs w:val="18"/>
          <w:color w:val="auto"/>
        </w:rPr>
        <w:t>EXHIBIT H – CAPTIVE INSURANCE COMPANY REQUIREMENTS SCHEDULE A – DISCLOSURE ITEMS SCHEDULE B – PROPERTY AGREEMENTS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SCHEDULE C – TENANT’S 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D – EXPANSION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6.3 – GUARANTORS UNDER THE LEASE</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019"/>
          </w:cols>
          <w:pgMar w:left="440" w:top="270" w:right="1440" w:bottom="1440" w:gutter="0" w:footer="0" w:header="0"/>
        </w:sectPr>
      </w:pPr>
    </w:p>
    <w:bookmarkStart w:id="69" w:name="page70"/>
    <w:bookmarkEnd w:id="69"/>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w:t>
      </w:r>
    </w:p>
    <w:p>
      <w:pPr>
        <w:spacing w:after="0" w:line="117" w:lineRule="exact"/>
        <w:rPr>
          <w:sz w:val="20"/>
          <w:szCs w:val="20"/>
          <w:color w:val="auto"/>
        </w:rPr>
      </w:pPr>
    </w:p>
    <w:p>
      <w:pPr>
        <w:ind w:left="4" w:firstLine="1983"/>
        <w:spacing w:after="0" w:line="277"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LEASE</w:t>
      </w:r>
      <w:r>
        <w:rPr>
          <w:rFonts w:ascii="Arial" w:cs="Arial" w:eastAsia="Arial" w:hAnsi="Arial"/>
          <w:sz w:val="17"/>
          <w:szCs w:val="17"/>
          <w:color w:val="auto"/>
        </w:rPr>
        <w:t xml:space="preserve"> (the “</w:t>
      </w:r>
      <w:r>
        <w:rPr>
          <w:rFonts w:ascii="Arial" w:cs="Arial" w:eastAsia="Arial" w:hAnsi="Arial"/>
          <w:sz w:val="17"/>
          <w:szCs w:val="17"/>
          <w:b w:val="1"/>
          <w:bCs w:val="1"/>
          <w:color w:val="auto"/>
        </w:rPr>
        <w:t>Lease</w:t>
      </w:r>
      <w:r>
        <w:rPr>
          <w:rFonts w:ascii="Arial" w:cs="Arial" w:eastAsia="Arial" w:hAnsi="Arial"/>
          <w:sz w:val="17"/>
          <w:szCs w:val="17"/>
          <w:color w:val="auto"/>
        </w:rPr>
        <w:t>”) is entered into as of [●], 2022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EBH MA Property, LLC, a Massachusetts limited liability company (together with its permitted successors and assigns, “</w:t>
      </w:r>
      <w:r>
        <w:rPr>
          <w:rFonts w:ascii="Arial" w:cs="Arial" w:eastAsia="Arial" w:hAnsi="Arial"/>
          <w:sz w:val="17"/>
          <w:szCs w:val="17"/>
          <w:b w:val="1"/>
          <w:bCs w:val="1"/>
          <w:color w:val="auto"/>
        </w:rPr>
        <w:t>Everett Landlord</w:t>
      </w:r>
      <w:r>
        <w:rPr>
          <w:rFonts w:ascii="Arial" w:cs="Arial" w:eastAsia="Arial" w:hAnsi="Arial"/>
          <w:sz w:val="17"/>
          <w:szCs w:val="17"/>
          <w:color w:val="auto"/>
        </w:rPr>
        <w:t>”), MDC Encore Holdings, LLC, a Delaware limited liability company (together with its permitted successors and assigns, “</w:t>
      </w:r>
      <w:r>
        <w:rPr>
          <w:rFonts w:ascii="Arial" w:cs="Arial" w:eastAsia="Arial" w:hAnsi="Arial"/>
          <w:sz w:val="17"/>
          <w:szCs w:val="17"/>
          <w:b w:val="1"/>
          <w:bCs w:val="1"/>
          <w:color w:val="auto"/>
        </w:rPr>
        <w:t>Boston Landlord</w:t>
      </w:r>
      <w:r>
        <w:rPr>
          <w:rFonts w:ascii="Arial" w:cs="Arial" w:eastAsia="Arial" w:hAnsi="Arial"/>
          <w:sz w:val="17"/>
          <w:szCs w:val="17"/>
          <w:color w:val="auto"/>
        </w:rPr>
        <w:t>” and, collectively with Everett Landlord, “</w:t>
      </w:r>
      <w:r>
        <w:rPr>
          <w:rFonts w:ascii="Arial" w:cs="Arial" w:eastAsia="Arial" w:hAnsi="Arial"/>
          <w:sz w:val="17"/>
          <w:szCs w:val="17"/>
          <w:b w:val="1"/>
          <w:bCs w:val="1"/>
          <w:color w:val="auto"/>
        </w:rPr>
        <w:t>Landlord</w:t>
      </w:r>
      <w:r>
        <w:rPr>
          <w:rFonts w:ascii="Arial" w:cs="Arial" w:eastAsia="Arial" w:hAnsi="Arial"/>
          <w:sz w:val="17"/>
          <w:szCs w:val="17"/>
          <w:color w:val="auto"/>
        </w:rPr>
        <w:t>”), Wynn MA, LLC, a Nevada limited liability company (together with its permitted successors and assigns, “</w:t>
      </w:r>
      <w:r>
        <w:rPr>
          <w:rFonts w:ascii="Arial" w:cs="Arial" w:eastAsia="Arial" w:hAnsi="Arial"/>
          <w:sz w:val="17"/>
          <w:szCs w:val="17"/>
          <w:b w:val="1"/>
          <w:bCs w:val="1"/>
          <w:color w:val="auto"/>
        </w:rPr>
        <w:t>Everett Tenant</w:t>
      </w:r>
      <w:r>
        <w:rPr>
          <w:rFonts w:ascii="Arial" w:cs="Arial" w:eastAsia="Arial" w:hAnsi="Arial"/>
          <w:sz w:val="17"/>
          <w:szCs w:val="17"/>
          <w:color w:val="auto"/>
        </w:rPr>
        <w:t>”), and [●]</w:t>
      </w:r>
      <w:r>
        <w:rPr>
          <w:rFonts w:ascii="Arial" w:cs="Arial" w:eastAsia="Arial" w:hAnsi="Arial"/>
          <w:sz w:val="14"/>
          <w:szCs w:val="14"/>
          <w:color w:val="auto"/>
        </w:rPr>
        <w:t>1</w:t>
      </w:r>
      <w:r>
        <w:rPr>
          <w:rFonts w:ascii="Arial" w:cs="Arial" w:eastAsia="Arial" w:hAnsi="Arial"/>
          <w:sz w:val="17"/>
          <w:szCs w:val="17"/>
          <w:color w:val="auto"/>
        </w:rPr>
        <w:t>, a [●] (together with its permitted successors and assigns, “</w:t>
      </w:r>
      <w:r>
        <w:rPr>
          <w:rFonts w:ascii="Arial" w:cs="Arial" w:eastAsia="Arial" w:hAnsi="Arial"/>
          <w:sz w:val="17"/>
          <w:szCs w:val="17"/>
          <w:b w:val="1"/>
          <w:bCs w:val="1"/>
          <w:color w:val="auto"/>
        </w:rPr>
        <w:t>Boston Tenant</w:t>
      </w:r>
      <w:r>
        <w:rPr>
          <w:rFonts w:ascii="Arial" w:cs="Arial" w:eastAsia="Arial" w:hAnsi="Arial"/>
          <w:sz w:val="17"/>
          <w:szCs w:val="17"/>
          <w:color w:val="auto"/>
        </w:rPr>
        <w:t>” and, collectively with Everett Tenant,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384"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left="4" w:firstLine="1979"/>
        <w:spacing w:after="0" w:line="277" w:lineRule="auto"/>
        <w:tabs>
          <w:tab w:leader="none" w:pos="23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Immediately prior to the execution of this Lease, Everett Landlord, who at such time was an Affiliate of Tenant, owned all of the real estate comprising the facility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Facility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20" w:firstLine="1979"/>
        <w:spacing w:after="0" w:line="259" w:lineRule="auto"/>
        <w:tabs>
          <w:tab w:leader="none" w:pos="23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Concurrently with the execution of this Lease, MDC Encore Holdings, LLC, a Delaware limited liability company, and a wholly-owned subsidiary of Landlord’s Parent, acquired the ownership interests in Everett Landlord from an Affiliate of Tenant pursuant to that certain Equity Purchase Agreement dated as [●], 2022 (the “</w:t>
      </w:r>
      <w:r>
        <w:rPr>
          <w:rFonts w:ascii="Arial" w:cs="Arial" w:eastAsia="Arial" w:hAnsi="Arial"/>
          <w:sz w:val="18"/>
          <w:szCs w:val="18"/>
          <w:b w:val="1"/>
          <w:bCs w:val="1"/>
          <w:color w:val="auto"/>
        </w:rPr>
        <w:t>Purchase Agreement</w:t>
      </w:r>
      <w:r>
        <w:rPr>
          <w:rFonts w:ascii="Arial" w:cs="Arial" w:eastAsia="Arial" w:hAnsi="Arial"/>
          <w:sz w:val="18"/>
          <w:szCs w:val="18"/>
          <w:color w:val="auto"/>
        </w:rPr>
        <w:t>”), and Tenant will continue to own the business operations commonly known as Encore Boston Harbor.</w:t>
      </w:r>
    </w:p>
    <w:p>
      <w:pPr>
        <w:spacing w:after="0" w:line="186" w:lineRule="exact"/>
        <w:rPr>
          <w:rFonts w:ascii="Arial" w:cs="Arial" w:eastAsia="Arial" w:hAnsi="Arial"/>
          <w:sz w:val="18"/>
          <w:szCs w:val="18"/>
          <w:color w:val="auto"/>
        </w:rPr>
      </w:pPr>
    </w:p>
    <w:p>
      <w:pPr>
        <w:ind w:left="4" w:right="120" w:firstLine="1979"/>
        <w:spacing w:after="0" w:line="308" w:lineRule="auto"/>
        <w:tabs>
          <w:tab w:leader="none" w:pos="2332"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Concurrently with the closing of the transactions under the Purchase Agreement, Landlord desires to lease the Leased Property to Tenant and Tenant desires to lease the Leased Property from Landlord upon the terms set forth in this Lease.</w:t>
      </w:r>
    </w:p>
    <w:p>
      <w:pPr>
        <w:spacing w:after="0" w:line="146" w:lineRule="exact"/>
        <w:rPr>
          <w:sz w:val="20"/>
          <w:szCs w:val="20"/>
          <w:color w:val="auto"/>
        </w:rPr>
      </w:pPr>
    </w:p>
    <w:p>
      <w:pPr>
        <w:ind w:left="4" w:right="120" w:firstLine="1983"/>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agree as follows:</w:t>
      </w:r>
    </w:p>
    <w:p>
      <w:pPr>
        <w:spacing w:after="0" w:line="382"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ind w:left="4" w:right="60" w:firstLine="1432"/>
        <w:spacing w:after="0" w:line="26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Leased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and subject to the terms and conditions hereinafter set forth, Landlord leases to Tenant and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accepts and leases from Landlord all of Landlord’s rights and interest in and to the following, in each case, whether now owned or existing or hereafter acquired (collectively, the “</w:t>
      </w:r>
      <w:r>
        <w:rPr>
          <w:rFonts w:ascii="Arial" w:cs="Arial" w:eastAsia="Arial" w:hAnsi="Arial"/>
          <w:sz w:val="18"/>
          <w:szCs w:val="18"/>
          <w:b w:val="1"/>
          <w:bCs w:val="1"/>
          <w:color w:val="auto"/>
        </w:rPr>
        <w:t>Leased Property</w:t>
      </w:r>
      <w:r>
        <w:rPr>
          <w:rFonts w:ascii="Arial" w:cs="Arial" w:eastAsia="Arial" w:hAnsi="Arial"/>
          <w:sz w:val="18"/>
          <w:szCs w:val="18"/>
          <w:color w:val="auto"/>
        </w:rPr>
        <w:t>”):</w:t>
      </w:r>
    </w:p>
    <w:p>
      <w:pPr>
        <w:spacing w:after="0" w:line="68" w:lineRule="exact"/>
        <w:rPr>
          <w:sz w:val="20"/>
          <w:szCs w:val="20"/>
          <w:color w:val="auto"/>
        </w:rPr>
      </w:pPr>
    </w:p>
    <w:p>
      <w:pPr>
        <w:ind w:left="1244" w:hanging="381"/>
        <w:spacing w:after="0"/>
        <w:tabs>
          <w:tab w:leader="none" w:pos="12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real property or properties described in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 (collectively, the “</w:t>
      </w:r>
      <w:r>
        <w:rPr>
          <w:rFonts w:ascii="Arial" w:cs="Arial" w:eastAsia="Arial" w:hAnsi="Arial"/>
          <w:sz w:val="18"/>
          <w:szCs w:val="18"/>
          <w:b w:val="1"/>
          <w:bCs w:val="1"/>
          <w:color w:val="auto"/>
        </w:rPr>
        <w:t>Land</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80" w:firstLine="419"/>
        <w:spacing w:after="0" w:line="263" w:lineRule="auto"/>
        <w:tabs>
          <w:tab w:leader="none" w:pos="125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buildings, structures, Fixtures (as hereinafter defined) and other improvements of every kind now or hereafter located on the Land or connected thereto including, but not limited to, alleyways and connecting tunnels, sidewalks, utility pipes, conduits and lines (on-site and off-site to the extent Landlord has obtained any interest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5"/>
          <w:szCs w:val="15"/>
          <w:color w:val="auto"/>
        </w:rPr>
      </w:pPr>
      <w:r>
        <w:rPr>
          <w:rFonts w:ascii="Arial" w:cs="Arial" w:eastAsia="Arial" w:hAnsi="Arial"/>
          <w:sz w:val="18"/>
          <w:szCs w:val="18"/>
          <w:color w:val="auto"/>
        </w:rPr>
        <w:t>NTD: Boston Tenant to be determined before the Effective Date.</w:t>
      </w:r>
    </w:p>
    <w:p>
      <w:pPr>
        <w:sectPr>
          <w:pgSz w:w="11900" w:h="16838" w:orient="portrait"/>
          <w:cols w:equalWidth="0" w:num="1">
            <w:col w:w="10924"/>
          </w:cols>
          <w:pgMar w:left="436" w:top="270" w:right="53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same), parking areas and roadways appurtenant to such buildings and structures (collectively, the “</w:t>
      </w:r>
      <w:r>
        <w:rPr>
          <w:rFonts w:ascii="Arial" w:cs="Arial" w:eastAsia="Arial" w:hAnsi="Arial"/>
          <w:sz w:val="18"/>
          <w:szCs w:val="18"/>
          <w:b w:val="1"/>
          <w:bCs w:val="1"/>
          <w:color w:val="auto"/>
        </w:rPr>
        <w:t>Leased Improvements</w:t>
      </w:r>
      <w:r>
        <w:rPr>
          <w:rFonts w:ascii="Arial" w:cs="Arial" w:eastAsia="Arial" w:hAnsi="Arial"/>
          <w:sz w:val="18"/>
          <w:szCs w:val="18"/>
          <w:color w:val="auto"/>
        </w:rPr>
        <w:t>”);</w:t>
      </w:r>
    </w:p>
    <w:p>
      <w:pPr>
        <w:spacing w:after="0" w:line="121" w:lineRule="exact"/>
        <w:rPr>
          <w:sz w:val="20"/>
          <w:szCs w:val="20"/>
          <w:color w:val="auto"/>
        </w:rPr>
      </w:pPr>
    </w:p>
    <w:p>
      <w:pPr>
        <w:ind w:left="440" w:right="120" w:firstLine="419"/>
        <w:spacing w:after="0" w:line="263" w:lineRule="auto"/>
        <w:tabs>
          <w:tab w:leader="none" w:pos="124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easements, rights and appurtenances, covenants, development rights, mineral, gas and oil rights, water and other rights appurtenant to, or related to, the Land and the Leased Improvements (including, for the avoidance of doubt, any such rights and other rights under any Property Documents and the PILOT and Community Documents); and</w:t>
      </w:r>
    </w:p>
    <w:p>
      <w:pPr>
        <w:spacing w:after="0" w:line="75" w:lineRule="exact"/>
        <w:rPr>
          <w:rFonts w:ascii="Arial" w:cs="Arial" w:eastAsia="Arial" w:hAnsi="Arial"/>
          <w:sz w:val="18"/>
          <w:szCs w:val="18"/>
          <w:color w:val="auto"/>
        </w:rPr>
      </w:pPr>
    </w:p>
    <w:p>
      <w:pPr>
        <w:ind w:left="440" w:right="200" w:firstLine="419"/>
        <w:spacing w:after="0" w:line="311" w:lineRule="auto"/>
        <w:tabs>
          <w:tab w:leader="none" w:pos="1253" w:val="left"/>
        </w:tabs>
        <w:numPr>
          <w:ilvl w:val="0"/>
          <w:numId w:val="71"/>
        </w:numPr>
        <w:rPr>
          <w:rFonts w:ascii="Arial" w:cs="Arial" w:eastAsia="Arial" w:hAnsi="Arial"/>
          <w:sz w:val="16"/>
          <w:szCs w:val="16"/>
          <w:color w:val="auto"/>
        </w:rPr>
      </w:pPr>
      <w:r>
        <w:rPr>
          <w:rFonts w:ascii="Arial" w:cs="Arial" w:eastAsia="Arial" w:hAnsi="Arial"/>
          <w:sz w:val="16"/>
          <w:szCs w:val="16"/>
          <w:color w:val="auto"/>
        </w:rPr>
        <w:t>all equipment (including the Battery Farm Equipment), machinery, fixtures, and other items of property, including all components thereof, that are now or hereafter located in, on or used in connection with and permanently affixed to or otherwise incorporated into the Leased Improvements, together with all replacements, modifications, alterations, and additions thereto (collectively, the “</w:t>
      </w:r>
      <w:r>
        <w:rPr>
          <w:rFonts w:ascii="Arial" w:cs="Arial" w:eastAsia="Arial" w:hAnsi="Arial"/>
          <w:sz w:val="16"/>
          <w:szCs w:val="16"/>
          <w:b w:val="1"/>
          <w:bCs w:val="1"/>
          <w:color w:val="auto"/>
        </w:rPr>
        <w:t>Fixtures</w:t>
      </w:r>
      <w:r>
        <w:rPr>
          <w:rFonts w:ascii="Arial" w:cs="Arial" w:eastAsia="Arial" w:hAnsi="Arial"/>
          <w:sz w:val="16"/>
          <w:szCs w:val="16"/>
          <w:color w:val="auto"/>
        </w:rPr>
        <w:t>”).</w:t>
      </w:r>
    </w:p>
    <w:p>
      <w:pPr>
        <w:spacing w:after="0" w:line="14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Notwithstanding anything contained herein to the contrary, (a) Everett Tenant shall not acquire a leasehold interest through this Lease in any Leased Property other than the Everett Property and (b) Boston Tenant shall not acquire a leasehold interest through this Lease in any Leased Property other than the Boston Property.</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Leased Property is leased subject to all covenants, conditions, restrictions, easements, and other matters affecting the Leased Property as of the Commencement Date and such subsequent covenants, conditions, restrictions, easements and other matters as may be agreed to by Landlord or Tenant in accordance with the terms of this Lease, whether or not of record, including any matters which would be disclosed by an inspection or accurate survey of the Leased Property.</w:t>
      </w:r>
    </w:p>
    <w:p>
      <w:pPr>
        <w:spacing w:after="0" w:line="183" w:lineRule="exact"/>
        <w:rPr>
          <w:sz w:val="20"/>
          <w:szCs w:val="20"/>
          <w:color w:val="auto"/>
        </w:rPr>
      </w:pPr>
    </w:p>
    <w:p>
      <w:pPr>
        <w:ind w:firstLine="1983"/>
        <w:spacing w:after="0" w:line="287"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u w:val="single" w:color="auto"/>
          <w:color w:val="auto"/>
        </w:rPr>
        <w:t>Single Property Lease</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constitutes one indivisible lease of the Leased Property and not separate leases</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by similar terms. The Leased Property constitutes one economic unit, and the Rent and all other provisions have been negotiated and agreed upon based on a demise of all of the Leased Property to Tenant as a single, composite, inseparable transaction and would have been substantially different had separate leases or a divisible lease been intended. Except as expressly provided in this Lease for specific, isolated purposes (and then only to the extent expressly otherwise stated), all provisions of this Lease apply equally and uniformly to all components of the Leased Property collectively as one unit. Landlord and Tenant intend that the provisions of this Lease shall at all times be construed, interpreted and applied so as to carry out their mutual objective to create an indivisible lease of all of the Leased Property and, in particular but without limitation, that, for purposes of any assumption, rejection or assignment of this Lease under 11 U.S.C. Section 365, or any successor or replacement thereof or any analogous state law, this is one indivisible and non-severable lease and executory contract dealing with one legal and economic unit and that this Lease must be assumed, rejected or assigned as a whole with respect to all (and only as to all) of the Leased Property. Landlord and Tenant may elect to amend this Lease from time to time to modify the boundaries of the Land, to exclude one or more components or portions thereof, and/or to include one or more additional components as part of the Leased Property, and any such future addition to the Leased Property shall not in any way change the indivisible and nonseverable nature of this Lease and all of the foregoing provisions shall continue to apply in full force.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71" w:name="page72"/>
    <w:bookmarkEnd w:id="71"/>
    <w:p>
      <w:pPr>
        <w:ind w:left="4" w:firstLine="198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Term</w:t>
      </w:r>
      <w:r>
        <w:rPr>
          <w:rFonts w:ascii="Arial" w:cs="Arial" w:eastAsia="Arial" w:hAnsi="Arial"/>
          <w:sz w:val="18"/>
          <w:szCs w:val="18"/>
          <w:color w:val="auto"/>
        </w:rPr>
        <w:t>” of this Lease is the Initial Term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plus</w:t>
      </w:r>
      <w:r>
        <w:rPr>
          <w:rFonts w:ascii="Arial" w:cs="Arial" w:eastAsia="Arial" w:hAnsi="Arial"/>
          <w:sz w:val="18"/>
          <w:szCs w:val="18"/>
          <w:b w:val="1"/>
          <w:bCs w:val="1"/>
          <w:color w:val="auto"/>
        </w:rPr>
        <w:t xml:space="preserve"> </w:t>
      </w:r>
      <w:r>
        <w:rPr>
          <w:rFonts w:ascii="Arial" w:cs="Arial" w:eastAsia="Arial" w:hAnsi="Arial"/>
          <w:sz w:val="18"/>
          <w:szCs w:val="18"/>
          <w:color w:val="auto"/>
        </w:rPr>
        <w:t>the Renewal Term, to the extent exercised. The initial term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(the “</w:t>
      </w:r>
      <w:r>
        <w:rPr>
          <w:rFonts w:ascii="Arial" w:cs="Arial" w:eastAsia="Arial" w:hAnsi="Arial"/>
          <w:sz w:val="18"/>
          <w:szCs w:val="18"/>
          <w:b w:val="1"/>
          <w:bCs w:val="1"/>
          <w:color w:val="auto"/>
        </w:rPr>
        <w:t>Initial Term</w:t>
      </w:r>
      <w:r>
        <w:rPr>
          <w:rFonts w:ascii="Arial" w:cs="Arial" w:eastAsia="Arial" w:hAnsi="Arial"/>
          <w:sz w:val="18"/>
          <w:szCs w:val="18"/>
          <w:color w:val="auto"/>
        </w:rPr>
        <w:t>”) commenced on [●], 2022 (“</w:t>
      </w:r>
      <w:r>
        <w:rPr>
          <w:rFonts w:ascii="Arial" w:cs="Arial" w:eastAsia="Arial" w:hAnsi="Arial"/>
          <w:sz w:val="18"/>
          <w:szCs w:val="18"/>
          <w:b w:val="1"/>
          <w:bCs w:val="1"/>
          <w:color w:val="auto"/>
        </w:rPr>
        <w:t>Commencement Date</w:t>
      </w:r>
      <w:r>
        <w:rPr>
          <w:rFonts w:ascii="Arial" w:cs="Arial" w:eastAsia="Arial" w:hAnsi="Arial"/>
          <w:sz w:val="18"/>
          <w:szCs w:val="18"/>
          <w:color w:val="auto"/>
        </w:rPr>
        <w:t>”) and shall end on [●]</w:t>
      </w:r>
      <w:r>
        <w:rPr>
          <w:rFonts w:ascii="Arial" w:cs="Arial" w:eastAsia="Arial" w:hAnsi="Arial"/>
          <w:sz w:val="15"/>
          <w:szCs w:val="15"/>
          <w:color w:val="auto"/>
        </w:rPr>
        <w:t>2</w:t>
      </w:r>
      <w:r>
        <w:rPr>
          <w:rFonts w:ascii="Arial" w:cs="Arial" w:eastAsia="Arial" w:hAnsi="Arial"/>
          <w:sz w:val="18"/>
          <w:szCs w:val="18"/>
          <w:color w:val="auto"/>
        </w:rPr>
        <w:t>, 2052 (the “</w:t>
      </w:r>
      <w:r>
        <w:rPr>
          <w:rFonts w:ascii="Arial" w:cs="Arial" w:eastAsia="Arial" w:hAnsi="Arial"/>
          <w:sz w:val="18"/>
          <w:szCs w:val="18"/>
          <w:b w:val="1"/>
          <w:bCs w:val="1"/>
          <w:color w:val="auto"/>
        </w:rPr>
        <w:t>Initial Term End Date</w:t>
      </w:r>
      <w:r>
        <w:rPr>
          <w:rFonts w:ascii="Arial" w:cs="Arial" w:eastAsia="Arial" w:hAnsi="Arial"/>
          <w:sz w:val="18"/>
          <w:szCs w:val="18"/>
          <w:color w:val="auto"/>
        </w:rPr>
        <w:t>”), subject to renewal as set forth in Section 1.4 below.</w:t>
      </w:r>
    </w:p>
    <w:p>
      <w:pPr>
        <w:spacing w:after="0" w:line="176" w:lineRule="exact"/>
        <w:rPr>
          <w:sz w:val="20"/>
          <w:szCs w:val="20"/>
          <w:color w:val="auto"/>
        </w:rPr>
      </w:pPr>
    </w:p>
    <w:p>
      <w:pPr>
        <w:ind w:left="4" w:firstLine="1983"/>
        <w:spacing w:after="0" w:line="256"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Renewal 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Lease may be extended for one (1) “Renewal Term” of thirty (30) years if: (a)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twelve (12), but not more than eighteen (18) months prior to the end of the Initial Term, Tenant delivers to Landlord a Notice that it desires to exercise its right to extend this Lease for the Renewal Term (a “</w:t>
      </w:r>
      <w:r>
        <w:rPr>
          <w:rFonts w:ascii="Arial" w:cs="Arial" w:eastAsia="Arial" w:hAnsi="Arial"/>
          <w:sz w:val="18"/>
          <w:szCs w:val="18"/>
          <w:b w:val="1"/>
          <w:bCs w:val="1"/>
          <w:color w:val="auto"/>
        </w:rPr>
        <w:t>Renewal Notice</w:t>
      </w:r>
      <w:r>
        <w:rPr>
          <w:rFonts w:ascii="Arial" w:cs="Arial" w:eastAsia="Arial" w:hAnsi="Arial"/>
          <w:sz w:val="18"/>
          <w:szCs w:val="18"/>
          <w:color w:val="auto"/>
        </w:rPr>
        <w:t>”); and (b) no Event of Default shall have occurred and be continuing on the date Landlord receives the Renewal Notice or on the last day of the Initial Term. During the Renewal Term, except as otherwise specifically provided for herein, all of the terms and conditions of this Lease shall remain in full force and effect and Rent shall continue to be determined pursuant to the definition of such term in this Lease.</w:t>
      </w:r>
    </w:p>
    <w:p>
      <w:pPr>
        <w:spacing w:after="0" w:line="200" w:lineRule="exact"/>
        <w:rPr>
          <w:sz w:val="20"/>
          <w:szCs w:val="20"/>
          <w:color w:val="auto"/>
        </w:rPr>
      </w:pPr>
    </w:p>
    <w:p>
      <w:pPr>
        <w:spacing w:after="0" w:line="20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4" w:right="20" w:firstLine="1983"/>
        <w:spacing w:after="0" w:line="283"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purposes of this Lease, except as otherwise expressly provided or unless the context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(i) the terms defined in this Article II have the meanings assigned to them in this Article and include the plural as well as the singular; (ii) all accounting terms not otherwise defined herein have the meanings assigned to them in accordance with GAAP; (iii) all references in this Lease to designated “Articles,” “Sections” and other subdivisions are to the designated Articles, Sections and other subdivisions of this Lease; (iv) the word “including” shall have the same meaning as the phrase “including, without limitation,” and other similar phrases; (v) the words “herein,” “hereof” and “hereunder” and other words of similar import refer to this Lease as a whole and not to any particular Article, Section or other subdivision; (vi) all Exhibits, Schedules and other attachments annexed to the body of this Lease are hereby deemed to be incorporated into and made an integral part of this Lease; (vii) the word “or” is not exclusive unless used in conjunction with the word “either”; (viii) for the calculation of any financial ratios or tests referenced in this Lease (including the EBITDAR to Rent Ratio and the Indebtedness to EBITDA Ratio), this Lease, regardless of its treatment under GAAP, shall be deemed to be an operating lease and the Rent payable hereunder shall be treated as an operating expense and shall not constitute Indebtedness or interest expense; (ix) all uses of the term “EBITDA” herein shall have the meaning of the definition of “EBITDA” in this Lease; and</w:t>
      </w:r>
    </w:p>
    <w:p>
      <w:pPr>
        <w:spacing w:after="0" w:line="8" w:lineRule="exact"/>
        <w:rPr>
          <w:sz w:val="20"/>
          <w:szCs w:val="20"/>
          <w:color w:val="auto"/>
        </w:rPr>
      </w:pPr>
    </w:p>
    <w:p>
      <w:pPr>
        <w:ind w:left="4" w:right="40" w:hanging="4"/>
        <w:spacing w:after="0" w:line="260" w:lineRule="auto"/>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Exhibits, Schedules and other attachments annexed to the body of this Lease are hereby deemed to be incorporated into and made an integral part of this Lease.</w:t>
      </w:r>
    </w:p>
    <w:p>
      <w:pPr>
        <w:spacing w:after="0" w:line="185"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AAA</w:t>
      </w:r>
      <w:r>
        <w:rPr>
          <w:rFonts w:ascii="Arial" w:cs="Arial" w:eastAsia="Arial" w:hAnsi="Arial"/>
          <w:sz w:val="18"/>
          <w:szCs w:val="18"/>
          <w:color w:val="auto"/>
        </w:rPr>
        <w:t>”: As defined in Section 34.1(b).</w:t>
      </w:r>
    </w:p>
    <w:p>
      <w:pPr>
        <w:spacing w:after="0" w:line="225" w:lineRule="exact"/>
        <w:rPr>
          <w:sz w:val="20"/>
          <w:szCs w:val="20"/>
          <w:color w:val="auto"/>
        </w:rPr>
      </w:pPr>
    </w:p>
    <w:p>
      <w:pPr>
        <w:ind w:left="4" w:right="320" w:firstLine="198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Accounts</w:t>
      </w:r>
      <w:r>
        <w:rPr>
          <w:rFonts w:ascii="Arial" w:cs="Arial" w:eastAsia="Arial" w:hAnsi="Arial"/>
          <w:sz w:val="16"/>
          <w:szCs w:val="16"/>
          <w:color w:val="auto"/>
        </w:rPr>
        <w:t>”: All accounts, including deposit accounts, all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715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32" w:lineRule="exact"/>
        <w:rPr>
          <w:sz w:val="20"/>
          <w:szCs w:val="20"/>
          <w:color w:val="auto"/>
        </w:rPr>
      </w:pPr>
    </w:p>
    <w:p>
      <w:pPr>
        <w:ind w:left="5464" w:right="1680" w:hanging="5464"/>
        <w:spacing w:after="0" w:line="449" w:lineRule="auto"/>
        <w:tabs>
          <w:tab w:leader="none" w:pos="433" w:val="left"/>
        </w:tabs>
        <w:numPr>
          <w:ilvl w:val="0"/>
          <w:numId w:val="73"/>
        </w:numPr>
        <w:rPr>
          <w:rFonts w:ascii="Arial" w:cs="Arial" w:eastAsia="Arial" w:hAnsi="Arial"/>
          <w:sz w:val="15"/>
          <w:szCs w:val="15"/>
          <w:color w:val="auto"/>
        </w:rPr>
      </w:pPr>
      <w:r>
        <w:rPr>
          <w:rFonts w:ascii="Arial" w:cs="Arial" w:eastAsia="Arial" w:hAnsi="Arial"/>
          <w:sz w:val="18"/>
          <w:szCs w:val="18"/>
          <w:color w:val="auto"/>
        </w:rPr>
        <w:t>NTD: To be the last day of the calendar month in which the thirtieth (30</w:t>
      </w:r>
      <w:r>
        <w:rPr>
          <w:rFonts w:ascii="Arial" w:cs="Arial" w:eastAsia="Arial" w:hAnsi="Arial"/>
          <w:sz w:val="15"/>
          <w:szCs w:val="15"/>
          <w:color w:val="auto"/>
        </w:rPr>
        <w:t>th</w:t>
      </w:r>
      <w:r>
        <w:rPr>
          <w:rFonts w:ascii="Arial" w:cs="Arial" w:eastAsia="Arial" w:hAnsi="Arial"/>
          <w:sz w:val="18"/>
          <w:szCs w:val="18"/>
          <w:color w:val="auto"/>
        </w:rPr>
        <w:t>) anniversary of the Commencement Date occurs. 3</w:t>
      </w:r>
    </w:p>
    <w:p>
      <w:pPr>
        <w:sectPr>
          <w:pgSz w:w="11900" w:h="16838" w:orient="portrait"/>
          <w:cols w:equalWidth="0" w:num="1">
            <w:col w:w="10984"/>
          </w:cols>
          <w:pgMar w:left="436" w:top="270" w:right="47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without limitation, the right to payment of management fees and all proceeds of the foregoing.</w:t>
      </w:r>
    </w:p>
    <w:p>
      <w:pPr>
        <w:spacing w:after="0" w:line="225" w:lineRule="exact"/>
        <w:rPr>
          <w:sz w:val="20"/>
          <w:szCs w:val="20"/>
          <w:color w:val="auto"/>
        </w:rPr>
      </w:pPr>
    </w:p>
    <w:p>
      <w:pPr>
        <w:ind w:firstLine="198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Charges</w:t>
      </w:r>
      <w:r>
        <w:rPr>
          <w:rFonts w:ascii="Arial" w:cs="Arial" w:eastAsia="Arial" w:hAnsi="Arial"/>
          <w:sz w:val="18"/>
          <w:szCs w:val="18"/>
          <w:color w:val="auto"/>
        </w:rPr>
        <w:t>”: All Impositions and all other amounts, liabilities and obligations which Tenant assumes or agrees to pay under this Lease and, in the event of any failure on the part of Tenant to pay any of those items (except (i) where such failure is due to the acts or omissions of Landlord, and (ii) to the extent Tenant has become aware of such acts or omissions, Tenant shall have furnished Landlord with notice of such acts or omissions within ten (10) Business Days of becoming so aware), every fine, penalty, interest and cost which may be added for non-payment or late payment of such items.</w:t>
      </w:r>
    </w:p>
    <w:p>
      <w:pPr>
        <w:spacing w:after="0" w:line="188" w:lineRule="exact"/>
        <w:rPr>
          <w:sz w:val="20"/>
          <w:szCs w:val="20"/>
          <w:color w:val="auto"/>
        </w:rPr>
      </w:pPr>
    </w:p>
    <w:p>
      <w:pPr>
        <w:ind w:right="120" w:firstLine="198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When used with respect to any corporation, limited liability company, partnership or any other Person, the term “Affiliate” shall mean any person which, directly or indirectly, controls or is controlled by or is under common control with such corporation, limited liability company, partnership or Person. For the purposes of this definition, “control” (including the correlative meanings of the 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61" w:lineRule="exact"/>
        <w:rPr>
          <w:sz w:val="20"/>
          <w:szCs w:val="20"/>
          <w:color w:val="auto"/>
        </w:rPr>
      </w:pPr>
    </w:p>
    <w:p>
      <w:pPr>
        <w:ind w:right="10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Certificate</w:t>
      </w:r>
      <w:r>
        <w:rPr>
          <w:rFonts w:ascii="Arial" w:cs="Arial" w:eastAsia="Arial" w:hAnsi="Arial"/>
          <w:sz w:val="18"/>
          <w:szCs w:val="18"/>
          <w:color w:val="auto"/>
        </w:rPr>
        <w:t xml:space="preserve">”: A certificate of Tenant, signed by an authorized officer of Tenant, certifying to Tenant’s knowledge in all material respects as to the matters described in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to be included in such certificate.</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Appointing Authority</w:t>
      </w:r>
      <w:r>
        <w:rPr>
          <w:rFonts w:ascii="Arial" w:cs="Arial" w:eastAsia="Arial" w:hAnsi="Arial"/>
          <w:sz w:val="18"/>
          <w:szCs w:val="18"/>
          <w:color w:val="auto"/>
        </w:rPr>
        <w:t>”: As defined in Section 34.1(b).</w:t>
      </w:r>
    </w:p>
    <w:p>
      <w:pPr>
        <w:spacing w:after="0" w:line="225" w:lineRule="exact"/>
        <w:rPr>
          <w:sz w:val="20"/>
          <w:szCs w:val="20"/>
          <w:color w:val="auto"/>
        </w:rPr>
      </w:pPr>
    </w:p>
    <w:p>
      <w:pPr>
        <w:ind w:right="500" w:firstLine="198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Accounting Firm</w:t>
      </w:r>
      <w:r>
        <w:rPr>
          <w:rFonts w:ascii="Arial" w:cs="Arial" w:eastAsia="Arial" w:hAnsi="Arial"/>
          <w:sz w:val="16"/>
          <w:szCs w:val="16"/>
          <w:color w:val="auto"/>
        </w:rPr>
        <w:t>”: (1) Any “big four” accounting firm designated by Tenant or (2) one of the other largest independent public accounting firms in the United States selected by Tenant’s Parent or Tenant and reasonably approved by Landlord.</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average”</w:t>
      </w:r>
      <w:r>
        <w:rPr>
          <w:rFonts w:ascii="Arial" w:cs="Arial" w:eastAsia="Arial" w:hAnsi="Arial"/>
          <w:sz w:val="17"/>
          <w:szCs w:val="17"/>
          <w:color w:val="auto"/>
        </w:rPr>
        <w:t>: The quotient derived from taking the sum of a group of numbers and dividing that sum by the count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numbers in the group. By way of example, take the numbers 2 and 8: the sum is 10 and the “average” is 10 divided by 2, or 5.</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All compensation, sums or anything of value awarded, paid or received on a total or partial Taking.</w:t>
      </w:r>
    </w:p>
    <w:p>
      <w:pPr>
        <w:spacing w:after="0" w:line="225" w:lineRule="exact"/>
        <w:rPr>
          <w:sz w:val="20"/>
          <w:szCs w:val="20"/>
          <w:color w:val="auto"/>
        </w:rPr>
      </w:pPr>
    </w:p>
    <w:p>
      <w:pPr>
        <w:ind w:right="6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Battery Farm Equipment</w:t>
      </w:r>
      <w:r>
        <w:rPr>
          <w:rFonts w:ascii="Arial" w:cs="Arial" w:eastAsia="Arial" w:hAnsi="Arial"/>
          <w:sz w:val="18"/>
          <w:szCs w:val="18"/>
          <w:color w:val="auto"/>
        </w:rPr>
        <w:t>”: Two 15KV feeders, two 15KV disconnect switches, two 15KV/480V Dry – Type Transformers, two 480V Switchgear, 16 Battery &amp; Inverter Skids and 1,100 lithium-ion batteries.</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Boston Landlord</w:t>
      </w:r>
      <w:r>
        <w:rPr>
          <w:rFonts w:ascii="Arial" w:cs="Arial" w:eastAsia="Arial" w:hAnsi="Arial"/>
          <w:sz w:val="18"/>
          <w:szCs w:val="18"/>
          <w:color w:val="auto"/>
        </w:rPr>
        <w:t>”: As defined in the preamble.</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Boston Property</w:t>
      </w:r>
      <w:r>
        <w:rPr>
          <w:rFonts w:ascii="Arial" w:cs="Arial" w:eastAsia="Arial" w:hAnsi="Arial"/>
          <w:sz w:val="17"/>
          <w:szCs w:val="17"/>
          <w:color w:val="auto"/>
        </w:rPr>
        <w:t xml:space="preserve">”: The real property described in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attached hereto, together with all Leased Property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respect thereto.</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Boston Tenant</w:t>
      </w:r>
      <w:r>
        <w:rPr>
          <w:rFonts w:ascii="Arial" w:cs="Arial" w:eastAsia="Arial" w:hAnsi="Arial"/>
          <w:sz w:val="18"/>
          <w:szCs w:val="18"/>
          <w:color w:val="auto"/>
        </w:rPr>
        <w:t>”: As defined in the preamble.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73" w:name="page74"/>
    <w:bookmarkEnd w:id="73"/>
    <w:p>
      <w:pPr>
        <w:ind w:right="20" w:firstLine="198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Business Day</w:t>
      </w:r>
      <w:r>
        <w:rPr>
          <w:rFonts w:ascii="Arial" w:cs="Arial" w:eastAsia="Arial" w:hAnsi="Arial"/>
          <w:sz w:val="17"/>
          <w:szCs w:val="17"/>
          <w:color w:val="auto"/>
        </w:rPr>
        <w:t>”: Each Monday, Tuesday, Wednesday, Thursday and Friday which is not a day on which national banks in the City of New York, New York, Everett, Massachusetts or Las Vegas, Nevada are authorized, or obligated, by law or executive order, to close.</w:t>
      </w:r>
    </w:p>
    <w:p>
      <w:pPr>
        <w:spacing w:after="0" w:line="146" w:lineRule="exact"/>
        <w:rPr>
          <w:sz w:val="20"/>
          <w:szCs w:val="20"/>
          <w:color w:val="auto"/>
        </w:rPr>
      </w:pPr>
    </w:p>
    <w:p>
      <w:pPr>
        <w:ind w:firstLine="198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Improvements</w:t>
      </w:r>
      <w:r>
        <w:rPr>
          <w:rFonts w:ascii="Arial" w:cs="Arial" w:eastAsia="Arial" w:hAnsi="Arial"/>
          <w:sz w:val="18"/>
          <w:szCs w:val="18"/>
          <w:color w:val="auto"/>
        </w:rPr>
        <w:t>”: With respect to the Facility, any improvements or alterations or modifications of the Leased Improvements, including without limitation capital improvements and structural alterations, modifications or improvements, or one or more additional structures annexed to any portion of any of the Leased Improvements of the Facility, or the expansion of existing improvements, which are constructed on any parcel or portion of the Land of the Facility, during the Term, including construction of a new wing or new story, all of which shall constitute a portion of the Leased Improvements and Leased Property hereunder in accordance with Section 10.3. Notwithstanding the foregoing, for purposes of Article X only, “Capital Improvements” shall not include any improvements or alterations or modifications of the Leased Improvements or any expansion of the existing improvements if such commenced prior to the Term, it being agreed, for the avoidance of doubt, such improvements or alterations or modifications of the Leased Improvements or any expansion of the existing improvements shall be deemed part of the Leased Property and the Facility for all purposes hereunder.</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Certification Date</w:t>
      </w:r>
      <w:r>
        <w:rPr>
          <w:rFonts w:ascii="Arial" w:cs="Arial" w:eastAsia="Arial" w:hAnsi="Arial"/>
          <w:sz w:val="18"/>
          <w:szCs w:val="18"/>
          <w:color w:val="auto"/>
        </w:rPr>
        <w:t>”: As defined in Section 9.1(e)(i).</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Grace Period</w:t>
      </w:r>
      <w:r>
        <w:rPr>
          <w:rFonts w:ascii="Arial" w:cs="Arial" w:eastAsia="Arial" w:hAnsi="Arial"/>
          <w:sz w:val="18"/>
          <w:szCs w:val="18"/>
          <w:color w:val="auto"/>
        </w:rPr>
        <w:t>”: As defined in Section 9.1(e)(iv).</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Reserve</w:t>
      </w:r>
      <w:r>
        <w:rPr>
          <w:rFonts w:ascii="Arial" w:cs="Arial" w:eastAsia="Arial" w:hAnsi="Arial"/>
          <w:sz w:val="18"/>
          <w:szCs w:val="18"/>
          <w:color w:val="auto"/>
        </w:rPr>
        <w:t>”: As defined in Section 9.1(e)(v).</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Reserve Funds</w:t>
      </w:r>
      <w:r>
        <w:rPr>
          <w:rFonts w:ascii="Arial" w:cs="Arial" w:eastAsia="Arial" w:hAnsi="Arial"/>
          <w:sz w:val="18"/>
          <w:szCs w:val="18"/>
          <w:color w:val="auto"/>
        </w:rPr>
        <w:t>”: As defined in Section 9.1(e)(v).</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CapEx Testing Period</w:t>
      </w:r>
      <w:r>
        <w:rPr>
          <w:rFonts w:ascii="Arial" w:cs="Arial" w:eastAsia="Arial" w:hAnsi="Arial"/>
          <w:sz w:val="16"/>
          <w:szCs w:val="16"/>
          <w:color w:val="auto"/>
        </w:rPr>
        <w:t>”: From and after a Wynn Tenant Transfer, each seven (7) year period (on a rolling basis) through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Testing Period Certificate</w:t>
      </w:r>
      <w:r>
        <w:rPr>
          <w:rFonts w:ascii="Arial" w:cs="Arial" w:eastAsia="Arial" w:hAnsi="Arial"/>
          <w:sz w:val="18"/>
          <w:szCs w:val="18"/>
          <w:color w:val="auto"/>
        </w:rPr>
        <w:t>”: As defined in Section 9.1(e)(i).</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w:t>
      </w:r>
      <w:r>
        <w:rPr>
          <w:rFonts w:ascii="Arial" w:cs="Arial" w:eastAsia="Arial" w:hAnsi="Arial"/>
          <w:sz w:val="16"/>
          <w:szCs w:val="16"/>
          <w:color w:val="auto"/>
        </w:rPr>
        <w:t>”: Cash and cash equivalents and all instruments evidencing the same or any right thereto and all proceeds thereof.</w:t>
      </w:r>
    </w:p>
    <w:p>
      <w:pPr>
        <w:spacing w:after="0" w:line="248" w:lineRule="exact"/>
        <w:rPr>
          <w:sz w:val="20"/>
          <w:szCs w:val="20"/>
          <w:color w:val="auto"/>
        </w:rPr>
      </w:pPr>
    </w:p>
    <w:p>
      <w:pPr>
        <w:ind w:right="40" w:firstLine="198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Any loss of title or any loss of or damage to or destruction of, or any condemnation or other taking (including by any governmental authority) of, any asset for which Tenant or any of its Subsidiaries (directly or through Tenant’s Parent) receives cash insurance proceeds or proceeds of a condemnation award or other similar compensation (excluding proceeds of business interruption insurance). “Casualty Event” shall include, but not be limited to, any taking of all or any part of any real property of Tenant or any of its Subsidiaries or any part thereof, in or by condemnation or other eminent domain proceedings pursuant to any applicable law, or by reason of the temporary requisition of the use or occupancy of all or any part of any real property of Tenant or any of its Subsidiaries or any part thereof by any governmental authority, civil or military.</w:t>
      </w:r>
    </w:p>
    <w:p>
      <w:pPr>
        <w:spacing w:after="0" w:line="195" w:lineRule="exact"/>
        <w:rPr>
          <w:sz w:val="20"/>
          <w:szCs w:val="20"/>
          <w:color w:val="auto"/>
        </w:rPr>
      </w:pPr>
    </w:p>
    <w:p>
      <w:pPr>
        <w:ind w:right="160"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(i) Any Person or “group” (within the meaning of Rules 13d-3 and 13d-5 under the Securities Exchange Act of 1934, as amended from time to time, and any successor statute), shall have acquired direct or indirect beneficial ownership or control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74" w:name="page75"/>
    <w:bookmarkEnd w:id="74"/>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fifty percent (50%) or more on a fully diluted basis of the direct or indirect voting power in the Equity Interests of Tenant’s Parent entitled to vote in an election of directors of Tenant’s Parent, (ii) except as permitted or required hereunder, the direct or indirect sale by Tenant or Tenant’s Parent of all or substantially all of Tenant’s assets, whether held directly or through Subsidiaries, relating to the Facility in one transaction or in a series of related transactions (excluding sales to Tenant or its Subsidiaries), (iii) (a) Tenant ceasing to be a wholly-owned Subsidiary (directly or indirectly) of Tenant’s Parent or (b) Tenant’s Parent ceasing to control one hundred percent (100%) of the voting power in the Equity Interests of Tenant or (iv) Tenant’s Parent consolidates with, or merges with or into, any Person, or any Person consolidates with, or merges with or into, Tenant’s Parent, in any such event pursuant to a transaction in which any of the outstanding Equity Interests of Tenant’s Parent ordinarily entitled to vote in an election of directors of Tenant’s Parent or such other Person is converted into or exchanged for cash, securities or other property, other than any such transaction where the Equity Interests of Tenant’s Parent ordinarily entitled to vote in an election of directors of Tenant’s Parent outstanding immediately prior to such transaction constitute or are converted into or exchanged into or exchanged for a majority (determined by voting power in an election of directors) of the outstanding Equity Interests ordinarily entitled to vote in an election of directors of such surviving or transferee Person (immediately after giving effect to such transaction).</w:t>
      </w:r>
    </w:p>
    <w:p>
      <w:pPr>
        <w:spacing w:after="0" w:line="179" w:lineRule="exact"/>
        <w:rPr>
          <w:sz w:val="20"/>
          <w:szCs w:val="20"/>
          <w:color w:val="auto"/>
        </w:rPr>
      </w:pPr>
    </w:p>
    <w:p>
      <w:pPr>
        <w:ind w:left="4" w:right="6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and, to the extent applicable, the Treasury Regulations promulgated thereunder, each as amended from time to time.</w:t>
      </w:r>
    </w:p>
    <w:p>
      <w:pPr>
        <w:spacing w:after="0" w:line="170"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As defined in Section 1.3.</w:t>
      </w:r>
    </w:p>
    <w:p>
      <w:pPr>
        <w:spacing w:after="0" w:line="225" w:lineRule="exact"/>
        <w:rPr>
          <w:sz w:val="20"/>
          <w:szCs w:val="20"/>
          <w:color w:val="auto"/>
        </w:rPr>
      </w:pPr>
    </w:p>
    <w:p>
      <w:pPr>
        <w:jc w:val="both"/>
        <w:ind w:left="4" w:right="40" w:firstLine="198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Condemnation</w:t>
      </w:r>
      <w:r>
        <w:rPr>
          <w:rFonts w:ascii="Arial" w:cs="Arial" w:eastAsia="Arial" w:hAnsi="Arial"/>
          <w:sz w:val="16"/>
          <w:szCs w:val="16"/>
          <w:color w:val="auto"/>
        </w:rPr>
        <w:t>”: The exercise of any governmental power, whether by legal proceedings or otherwise, by a Condemnor or a voluntary sale or transfer by Landlord to any Condemnor, either under threat of condemnation or while legal proceedings for condemnation are pending.</w:t>
      </w:r>
    </w:p>
    <w:p>
      <w:pPr>
        <w:spacing w:after="0" w:line="124" w:lineRule="exact"/>
        <w:rPr>
          <w:sz w:val="20"/>
          <w:szCs w:val="20"/>
          <w:color w:val="auto"/>
        </w:rPr>
      </w:pPr>
    </w:p>
    <w:p>
      <w:pPr>
        <w:ind w:left="1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Condemnor</w:t>
      </w:r>
      <w:r>
        <w:rPr>
          <w:rFonts w:ascii="Arial" w:cs="Arial" w:eastAsia="Arial" w:hAnsi="Arial"/>
          <w:sz w:val="16"/>
          <w:szCs w:val="16"/>
          <w:color w:val="auto"/>
        </w:rPr>
        <w:t>”: Any public or quasi-public authority, or private corporation or individual, having the power of Condemnation.</w:t>
      </w:r>
    </w:p>
    <w:p>
      <w:pPr>
        <w:spacing w:after="0" w:line="248" w:lineRule="exact"/>
        <w:rPr>
          <w:sz w:val="20"/>
          <w:szCs w:val="20"/>
          <w:color w:val="auto"/>
        </w:rPr>
      </w:pPr>
    </w:p>
    <w:p>
      <w:pPr>
        <w:ind w:left="4" w:right="20" w:firstLine="198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Any and all financial, technical, proprietary, confidential, and other information, including data, reports, interpretations, forecasts, analyses, compilations, studies, summaries, extracts, records, know-how, statements (written or oral) or other documents of any kind, that contain information concerning the business and affairs of a party or its affiliates, divisions and subsidiaries, which such party or its Related Persons provide to the other party or its Related Persons, whether furnished before or after the Commencement Date, and regardless of the manner in which it was furnished, and any material prepared by a party or its Related Persons, in whatever form maintained, containing, reflecting or based upon, in whole or in part, any such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“Confidential Information” shall not include information which:</w:t>
      </w:r>
    </w:p>
    <w:p>
      <w:pPr>
        <w:spacing w:after="0" w:line="4" w:lineRule="exact"/>
        <w:rPr>
          <w:sz w:val="20"/>
          <w:szCs w:val="20"/>
          <w:color w:val="auto"/>
        </w:rPr>
      </w:pPr>
    </w:p>
    <w:p>
      <w:pPr>
        <w:ind w:left="224" w:hanging="224"/>
        <w:spacing w:after="0"/>
        <w:tabs>
          <w:tab w:leader="none" w:pos="224" w:val="left"/>
        </w:tabs>
        <w:numPr>
          <w:ilvl w:val="0"/>
          <w:numId w:val="74"/>
        </w:numPr>
        <w:rPr>
          <w:rFonts w:ascii="Arial" w:cs="Arial" w:eastAsia="Arial" w:hAnsi="Arial"/>
          <w:sz w:val="16"/>
          <w:szCs w:val="16"/>
          <w:color w:val="auto"/>
        </w:rPr>
      </w:pPr>
      <w:r>
        <w:rPr>
          <w:rFonts w:ascii="Arial" w:cs="Arial" w:eastAsia="Arial" w:hAnsi="Arial"/>
          <w:sz w:val="16"/>
          <w:szCs w:val="16"/>
          <w:color w:val="auto"/>
        </w:rPr>
        <w:t>was or becomes generally available to the public other than as a result of a disclosure by the other party or its Related Persons in breach of this Lease;</w:t>
      </w:r>
    </w:p>
    <w:p>
      <w:pPr>
        <w:spacing w:after="0" w:line="32" w:lineRule="exact"/>
        <w:rPr>
          <w:rFonts w:ascii="Arial" w:cs="Arial" w:eastAsia="Arial" w:hAnsi="Arial"/>
          <w:sz w:val="16"/>
          <w:szCs w:val="16"/>
          <w:color w:val="auto"/>
        </w:rPr>
      </w:pPr>
    </w:p>
    <w:p>
      <w:pPr>
        <w:ind w:left="4" w:right="240" w:hanging="4"/>
        <w:spacing w:after="0" w:line="255" w:lineRule="auto"/>
        <w:tabs>
          <w:tab w:leader="none" w:pos="269" w:val="left"/>
        </w:tabs>
        <w:numPr>
          <w:ilvl w:val="0"/>
          <w:numId w:val="74"/>
        </w:numPr>
        <w:rPr>
          <w:rFonts w:ascii="Arial" w:cs="Arial" w:eastAsia="Arial" w:hAnsi="Arial"/>
          <w:sz w:val="18"/>
          <w:szCs w:val="18"/>
          <w:color w:val="auto"/>
        </w:rPr>
      </w:pPr>
      <w:r>
        <w:rPr>
          <w:rFonts w:ascii="Arial" w:cs="Arial" w:eastAsia="Arial" w:hAnsi="Arial"/>
          <w:sz w:val="18"/>
          <w:szCs w:val="18"/>
          <w:color w:val="auto"/>
        </w:rPr>
        <w:t>was or becomes available to the other party or its Related Persons on a non-confidential basis prior to its disclosure hereunder as evidenced by the written records of the other party or its Related Persons, provided that the source of the information is not bound by a confidentiality agreement or otherwise prohibited from transmitting such information by a contractual, legal or fiduciary duty;</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75" w:name="page76"/>
    <w:bookmarkEnd w:id="7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(iii) was independently developed by the other party without the use of any Confidential Information, as evidenced by the written records of the other party.</w:t>
      </w:r>
    </w:p>
    <w:p>
      <w:pPr>
        <w:spacing w:after="0" w:line="170" w:lineRule="exact"/>
        <w:rPr>
          <w:sz w:val="20"/>
          <w:szCs w:val="20"/>
          <w:color w:val="auto"/>
        </w:rPr>
      </w:pPr>
    </w:p>
    <w:p>
      <w:pPr>
        <w:ind w:right="46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Cosmetic Alterations</w:t>
      </w:r>
      <w:r>
        <w:rPr>
          <w:rFonts w:ascii="Arial" w:cs="Arial" w:eastAsia="Arial" w:hAnsi="Arial"/>
          <w:sz w:val="18"/>
          <w:szCs w:val="18"/>
          <w:color w:val="auto"/>
        </w:rPr>
        <w:t>”: All Capital Improvements that are solely cosmetic or decorative in nature, including painting, carpeting, flooring, light fixtures and other finishes.</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Resumption Date</w:t>
      </w:r>
      <w:r>
        <w:rPr>
          <w:rFonts w:ascii="Arial" w:cs="Arial" w:eastAsia="Arial" w:hAnsi="Arial"/>
          <w:sz w:val="18"/>
          <w:szCs w:val="18"/>
          <w:color w:val="auto"/>
        </w:rPr>
        <w:t>”: The first day following the end of a Covenant Suspension Period.</w:t>
      </w:r>
    </w:p>
    <w:p>
      <w:pPr>
        <w:spacing w:after="0" w:line="225" w:lineRule="exact"/>
        <w:rPr>
          <w:sz w:val="20"/>
          <w:szCs w:val="20"/>
          <w:color w:val="auto"/>
        </w:rPr>
      </w:pPr>
    </w:p>
    <w:p>
      <w:pPr>
        <w:ind w:right="100" w:firstLine="1983"/>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Covenant Suspension Period</w:t>
      </w:r>
      <w:r>
        <w:rPr>
          <w:rFonts w:ascii="Arial" w:cs="Arial" w:eastAsia="Arial" w:hAnsi="Arial"/>
          <w:sz w:val="17"/>
          <w:szCs w:val="17"/>
          <w:color w:val="auto"/>
        </w:rPr>
        <w:t>”: If on the last day of any Test Period the Facility is closed to the public, and has been closed for a period of more than fifteen (15) days, in each case, due to an Unavoidable Delay, then the period commencing on (and including) the last day of any such Test Period and continuing until (but excluding) the last day of the second full consecutive fiscal quarter throughout which the Facility has remained open to the public. Notwithstanding the foregoing, Tenant may, in its sole discretion, elect that any Covenant Suspension Period end on any date prior to the date that such Covenant Suspension Period would otherwise end absent such election.</w:t>
      </w:r>
    </w:p>
    <w:p>
      <w:pPr>
        <w:spacing w:after="0" w:line="176" w:lineRule="exact"/>
        <w:rPr>
          <w:sz w:val="20"/>
          <w:szCs w:val="20"/>
          <w:color w:val="auto"/>
        </w:rPr>
      </w:pPr>
    </w:p>
    <w:p>
      <w:pPr>
        <w:ind w:firstLine="198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CPI</w:t>
      </w:r>
      <w:r>
        <w:rPr>
          <w:rFonts w:ascii="Arial" w:cs="Arial" w:eastAsia="Arial" w:hAnsi="Arial"/>
          <w:sz w:val="17"/>
          <w:szCs w:val="17"/>
          <w:color w:val="auto"/>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w:t>
      </w:r>
    </w:p>
    <w:p>
      <w:pPr>
        <w:spacing w:after="0" w:line="171" w:lineRule="exact"/>
        <w:rPr>
          <w:sz w:val="20"/>
          <w:szCs w:val="20"/>
          <w:color w:val="auto"/>
        </w:rPr>
      </w:pPr>
    </w:p>
    <w:p>
      <w:pPr>
        <w:ind w:right="4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CPI Increase</w:t>
      </w:r>
      <w:r>
        <w:rPr>
          <w:rFonts w:ascii="Arial" w:cs="Arial" w:eastAsia="Arial" w:hAnsi="Arial"/>
          <w:sz w:val="18"/>
          <w:szCs w:val="18"/>
          <w:color w:val="auto"/>
        </w:rPr>
        <w:t>”: The product of (i) the CPI published for the beginning of each Lease Year, divided by (ii) the CPI published for the beginning of the first Lease Year. If the product is less than one, the CPI Increase shall be equal to one.</w:t>
      </w:r>
    </w:p>
    <w:p>
      <w:pPr>
        <w:spacing w:after="0" w:line="170" w:lineRule="exact"/>
        <w:rPr>
          <w:sz w:val="20"/>
          <w:szCs w:val="20"/>
          <w:color w:val="auto"/>
        </w:rPr>
      </w:pPr>
    </w:p>
    <w:p>
      <w:pPr>
        <w:ind w:right="80" w:firstLine="198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CPI Rent Increase</w:t>
      </w:r>
      <w:r>
        <w:rPr>
          <w:rFonts w:ascii="Arial" w:cs="Arial" w:eastAsia="Arial" w:hAnsi="Arial"/>
          <w:sz w:val="18"/>
          <w:szCs w:val="18"/>
          <w:color w:val="auto"/>
        </w:rPr>
        <w:t>”: The product of (i) the average CPI for the three (3) most recent calendar months (the “</w:t>
      </w:r>
      <w:r>
        <w:rPr>
          <w:rFonts w:ascii="Arial" w:cs="Arial" w:eastAsia="Arial" w:hAnsi="Arial"/>
          <w:sz w:val="18"/>
          <w:szCs w:val="18"/>
          <w:u w:val="single" w:color="auto"/>
          <w:color w:val="auto"/>
        </w:rPr>
        <w:t>Prior Months</w:t>
      </w:r>
      <w:r>
        <w:rPr>
          <w:rFonts w:ascii="Arial" w:cs="Arial" w:eastAsia="Arial" w:hAnsi="Arial"/>
          <w:sz w:val="18"/>
          <w:szCs w:val="18"/>
          <w:color w:val="auto"/>
        </w:rPr>
        <w:t>”) ending prior to the first day of each Lease Year (for which the CPI has been published as of such first day), divided by (ii) the average CPI for the three (3) corresponding calendar months occurring one (1) year prior to the Prior Months. If the product is less than one, the CPI Rent Increase shall be equal to one.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CPI Rent Increase Cap</w:t>
      </w:r>
      <w:r>
        <w:rPr>
          <w:rFonts w:ascii="Arial" w:cs="Arial" w:eastAsia="Arial" w:hAnsi="Arial"/>
          <w:sz w:val="16"/>
          <w:szCs w:val="16"/>
          <w:color w:val="auto"/>
        </w:rPr>
        <w:t xml:space="preserve">”: 1.025;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from and after a Wynn Tenant Transfer the CPI Rent Increase Cap shall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CPR Institute</w:t>
      </w:r>
      <w:r>
        <w:rPr>
          <w:rFonts w:ascii="Arial" w:cs="Arial" w:eastAsia="Arial" w:hAnsi="Arial"/>
          <w:sz w:val="18"/>
          <w:szCs w:val="18"/>
          <w:color w:val="auto"/>
        </w:rPr>
        <w:t>”: As defined in Section 34.1(b).</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Taking</w:t>
      </w:r>
      <w:r>
        <w:rPr>
          <w:rFonts w:ascii="Arial" w:cs="Arial" w:eastAsia="Arial" w:hAnsi="Arial"/>
          <w:sz w:val="18"/>
          <w:szCs w:val="18"/>
          <w:color w:val="auto"/>
        </w:rPr>
        <w:t>”: The date the Condemnor has the right to possession of the property being condemned.</w:t>
      </w:r>
    </w:p>
    <w:p>
      <w:pPr>
        <w:spacing w:after="0" w:line="225" w:lineRule="exact"/>
        <w:rPr>
          <w:sz w:val="20"/>
          <w:szCs w:val="20"/>
          <w:color w:val="auto"/>
        </w:rPr>
      </w:pPr>
    </w:p>
    <w:p>
      <w:pPr>
        <w:ind w:right="20" w:firstLine="198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Agreement</w:t>
      </w:r>
      <w:r>
        <w:rPr>
          <w:rFonts w:ascii="Arial" w:cs="Arial" w:eastAsia="Arial" w:hAnsi="Arial"/>
          <w:sz w:val="18"/>
          <w:szCs w:val="18"/>
          <w:color w:val="auto"/>
        </w:rPr>
        <w:t>”: If designated by Tenant to Landlord in writing to be included in the definition of “Debt Agreement,”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76" w:name="page77"/>
    <w:bookmarkEnd w:id="76"/>
    <w:p>
      <w:pPr>
        <w:ind w:left="4"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financing (including convertible or exchangeable debt instruments or bank guarantees or bankers’ acceptances), or (C) instruments or agreements evidencing any other indebtedness, in each case, with the same or different borrowers or issuers and, in each case, (i) entered into from time to time by Tenant and/or its Affiliates (including Tenant’s Parent), (ii) as amended, supplemented, modified, extended, restructured, renewed, refinanced, restated, replaced or refunded in whole or in part from time to time, (iii) which may be secured by assets of Tenant and its Subsidiaries, including, but not limited to, their Cash, Accounts, Tenant’s Property, real property and leasehold estates in real property (including this Lease), and (iv) which shall provide Landlord, in accordance with Section 17.3 hereof, the right to receive copies of notices of Specified Debt Agreement Defaults thereunder and opportunity to cure any breaches or defaults by Tenant thereunder within the cure period, if any, that exists under such Debt Agreement. For the avoidance of doubt, each of the following is a Debt Agreement: (a) that certain [●] and (b) that certain [●].</w:t>
      </w:r>
      <w:r>
        <w:rPr>
          <w:rFonts w:ascii="Arial" w:cs="Arial" w:eastAsia="Arial" w:hAnsi="Arial"/>
          <w:sz w:val="14"/>
          <w:szCs w:val="14"/>
          <w:color w:val="auto"/>
        </w:rPr>
        <w:t>3</w:t>
      </w:r>
    </w:p>
    <w:p>
      <w:pPr>
        <w:spacing w:after="0" w:line="178"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The lawful money of the United States.</w:t>
      </w:r>
    </w:p>
    <w:p>
      <w:pPr>
        <w:spacing w:after="0" w:line="225"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Discretionary Closure</w:t>
      </w:r>
      <w:r>
        <w:rPr>
          <w:rFonts w:ascii="Arial" w:cs="Arial" w:eastAsia="Arial" w:hAnsi="Arial"/>
          <w:sz w:val="18"/>
          <w:szCs w:val="18"/>
          <w:color w:val="auto"/>
        </w:rPr>
        <w:t>”: As defined in Section 7.2(d).</w:t>
      </w:r>
    </w:p>
    <w:p>
      <w:pPr>
        <w:spacing w:after="0" w:line="225" w:lineRule="exact"/>
        <w:rPr>
          <w:sz w:val="20"/>
          <w:szCs w:val="20"/>
          <w:color w:val="auto"/>
        </w:rPr>
      </w:pPr>
    </w:p>
    <w:p>
      <w:pPr>
        <w:ind w:left="4" w:right="60" w:firstLine="198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For any Test Period, with respect to any Person, the Net Income of such Person on a consolidated basis for such period, determined in accordance with GAAP, plus, without duplication, (1) income tax expense, (2) consolidated interest expense (net of interest income), (3) depreciation and amortization expense, (4) any income, gains or losses attributable to the early extinguishment or conversion of indebtedness or cancellation of indebtedness, (5) gains or losses on discontinued operations and asset sales, disposals or abandonments, (6) impairment charges or asset write-offs including, without limitation, those related to goodwill or intangible assets, long-lived assets, and investments in debt and equity securities, in each case, in accordance with GAAP, (7) any non-cash items of expense (other than to the extent such non-cash items of expense require or result in an accrual or reserve for future cash expenses (provided that in the case of the Tenant if such accrual or reserve is for contingent items, the outcome of which is subject to uncertainty, such non-cash items of expense may, at the election of the Tenant, be added to Net Income and deducted when and to the extent actually paid in cash)), (8) extraordinary gains or losses, (9) unusual or non-recurring gains or items of income or loss,</w:t>
      </w:r>
    </w:p>
    <w:p>
      <w:pPr>
        <w:spacing w:after="0" w:line="6" w:lineRule="exact"/>
        <w:rPr>
          <w:sz w:val="20"/>
          <w:szCs w:val="20"/>
          <w:color w:val="auto"/>
        </w:rPr>
      </w:pPr>
    </w:p>
    <w:p>
      <w:pPr>
        <w:ind w:left="4" w:hanging="4"/>
        <w:spacing w:after="0" w:line="253" w:lineRule="auto"/>
        <w:tabs>
          <w:tab w:leader="none" w:pos="3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proceeds of business interruption insurance, (11) Pre-Opening Expenses and (12) in the case of the Tenant, transaction costs for the entry into this Lease, the negotiation and consummation of the financing transactions in connection therewith and the other transactions contemplated in connection with the foregoing consummated on or before the Commencement Date, less (in each case without duplication and to the extent the respective amounts described in clauses (A) through (C) were not subtracted in determining Net Income) (A) royalty payments, (B) corporate expenses and (C) management fee reimbursements.</w:t>
      </w:r>
    </w:p>
    <w:p>
      <w:pPr>
        <w:spacing w:after="0" w:line="191" w:lineRule="exact"/>
        <w:rPr>
          <w:sz w:val="20"/>
          <w:szCs w:val="20"/>
          <w:color w:val="auto"/>
        </w:rPr>
      </w:pPr>
    </w:p>
    <w:p>
      <w:pPr>
        <w:jc w:val="both"/>
        <w:ind w:left="4" w:right="120" w:firstLine="198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EBITDAR</w:t>
      </w:r>
      <w:r>
        <w:rPr>
          <w:rFonts w:ascii="Arial" w:cs="Arial" w:eastAsia="Arial" w:hAnsi="Arial"/>
          <w:sz w:val="18"/>
          <w:szCs w:val="18"/>
          <w:color w:val="auto"/>
        </w:rPr>
        <w:t>”: For any Test Period, with respect to any Person, EBITDA plus, without duplication, any Rent deducted as an expense in Net Income, and, without duplication, in each case as determined in accordance with GAAP, consistently applied. EBITDAR and Rent shall be calculated on a pro forma basis to give effect to (i) any increase or decrease in Rent as a result of the addition or removal of Leased Property to this Lease since the beginning of any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7715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1" w:lineRule="exact"/>
        <w:rPr>
          <w:sz w:val="20"/>
          <w:szCs w:val="20"/>
          <w:color w:val="auto"/>
        </w:rPr>
      </w:pPr>
    </w:p>
    <w:p>
      <w:pPr>
        <w:ind w:left="5464" w:right="1900" w:hanging="5464"/>
        <w:spacing w:after="0" w:line="449" w:lineRule="auto"/>
        <w:tabs>
          <w:tab w:leader="none" w:pos="433" w:val="left"/>
        </w:tabs>
        <w:numPr>
          <w:ilvl w:val="0"/>
          <w:numId w:val="76"/>
        </w:numPr>
        <w:rPr>
          <w:rFonts w:ascii="Arial" w:cs="Arial" w:eastAsia="Arial" w:hAnsi="Arial"/>
          <w:sz w:val="15"/>
          <w:szCs w:val="15"/>
          <w:color w:val="auto"/>
        </w:rPr>
      </w:pPr>
      <w:r>
        <w:rPr>
          <w:rFonts w:ascii="Arial" w:cs="Arial" w:eastAsia="Arial" w:hAnsi="Arial"/>
          <w:sz w:val="18"/>
          <w:szCs w:val="18"/>
          <w:color w:val="auto"/>
        </w:rPr>
        <w:t>NTD: To insert Tenant’s Debt Agreement’s, if any, as of the Effective Date, including a definition of “Collateral Agent”. 8</w:t>
      </w:r>
    </w:p>
    <w:p>
      <w:pPr>
        <w:sectPr>
          <w:pgSz w:w="11900" w:h="16838" w:orient="portrait"/>
          <w:cols w:equalWidth="0" w:num="1">
            <w:col w:w="11004"/>
          </w:cols>
          <w:pgMar w:left="436" w:top="274" w:right="459" w:bottom="1440" w:gutter="0" w:footer="0" w:header="0"/>
        </w:sectPr>
      </w:pPr>
    </w:p>
    <w:bookmarkStart w:id="77" w:name="page78"/>
    <w:bookmarkEnd w:id="77"/>
    <w:p>
      <w:pPr>
        <w:ind w:left="4" w:right="1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of Tenant as if each such increase or decrease had been effected on the first day of such Test Period, and (ii) any material acquisitions and material asset sales consummated during any Test Period as if each such material acquisition had been effected on the first day of such Test Period and as if each such material asset sale had been consummated on the day prior to the first day of such Test Period (including to give effect to (x) pro forma adjustments reasonably contemplated by Tenant and (y) such other pro forma adjustments consistent with Regulation S-X under the Securities Act). In the event Rent is to be increased in connection with the addition or inclusion of a Long-Lived Asset that is projected to increase EBITDAR, such Rent increase shall not be taken into account in calculating the EBITDAR to Rent Ratio until the first fiscal quarter following the completion of the installation or construction of such Long-Lived Assets. For purposes of calculating the EBITDAR to Rent Ratio, (a) subject to clause (b) below, if the Facility is closed to the public for more than fifteen (15) days as a result of an Unavoidable Delay and/or a Discretionary Closure during any fiscal quarter of any Test Period, then (i) the EBITDAR in respect of such fiscal quarter shall be excluded from the calculation of EBITDAR for such Test Period and (ii) the EBITDAR during any fiscal quarters of such Test Period during which the Facility is not closed to the public for more than fifteen</w:t>
      </w:r>
    </w:p>
    <w:p>
      <w:pPr>
        <w:spacing w:after="0" w:line="5" w:lineRule="exact"/>
        <w:rPr>
          <w:sz w:val="20"/>
          <w:szCs w:val="20"/>
          <w:color w:val="auto"/>
        </w:rPr>
      </w:pPr>
    </w:p>
    <w:p>
      <w:pPr>
        <w:ind w:left="4" w:hanging="4"/>
        <w:spacing w:after="0" w:line="267" w:lineRule="auto"/>
        <w:tabs>
          <w:tab w:leader="none" w:pos="349" w:val="left"/>
        </w:tabs>
        <w:numPr>
          <w:ilvl w:val="0"/>
          <w:numId w:val="77"/>
        </w:numPr>
        <w:rPr>
          <w:rFonts w:ascii="Arial" w:cs="Arial" w:eastAsia="Arial" w:hAnsi="Arial"/>
          <w:sz w:val="17"/>
          <w:szCs w:val="17"/>
          <w:color w:val="auto"/>
        </w:rPr>
      </w:pPr>
      <w:r>
        <w:rPr>
          <w:rFonts w:ascii="Arial" w:cs="Arial" w:eastAsia="Arial" w:hAnsi="Arial"/>
          <w:sz w:val="17"/>
          <w:szCs w:val="17"/>
          <w:color w:val="auto"/>
        </w:rPr>
        <w:t>days shall be annualized as follows for purposes of calculating EBITDAR for such Test Period: (A) if the Facility is not closed to the public for more than fifteen (15) days in any of the remaining three (3) fiscal quarters of such Test Period, then the aggregate EBITDAR for such quarters shall be multiplied by 4/3, (B) if the Facility is not closed to the public for more than fifteen (15) days in only two (2) fiscal quarters of such Test Period, then the aggregate EBITDAR for such quarters shall be multiplied by 2 and (C) if the Facility is not closed to the public for more than fifteen (15) days in only one (1) fiscal quarter of such Test Period, then the EBITDAR for such quarter shall be multiplied by 4 and (b) notwithstanding clause (a) above, for purposes of calculating the EBITDAR from and after any Covenant Resumption Date, (i) the EBITDAR for the Test Period ending on the last day of the fiscal quarter in which the Covenant Resumption Date occurs (the “Initial Test Period”) shall be deemed to be the EBITDAR for the last fiscal quarter of the Initial Test Period, in each case, multiplied by 4, (ii) the EBITDAR for the first Test Period ending after the Initial Test Period (the “Second Test Period”) shall be deemed to be the EBITDAR for the last two fiscal quarters of the Second Test Period, in each case, multiplied by 2 and (iii) the EBITDAR for the second Test Period ending after the Initial Test Period (the “Third Test Period”) shall be deemed to be the EBITDAR for the last three fiscal quarters of the Third Test Period, in each case, multiplied by 4/3.</w:t>
      </w:r>
    </w:p>
    <w:p>
      <w:pPr>
        <w:spacing w:after="0" w:line="186" w:lineRule="exact"/>
        <w:rPr>
          <w:sz w:val="20"/>
          <w:szCs w:val="20"/>
          <w:color w:val="auto"/>
        </w:rPr>
      </w:pPr>
    </w:p>
    <w:p>
      <w:pPr>
        <w:ind w:left="4" w:right="260" w:firstLine="198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EBITDAR to Rent Ratio</w:t>
      </w:r>
      <w:r>
        <w:rPr>
          <w:rFonts w:ascii="Arial" w:cs="Arial" w:eastAsia="Arial" w:hAnsi="Arial"/>
          <w:sz w:val="16"/>
          <w:szCs w:val="16"/>
          <w:color w:val="auto"/>
        </w:rPr>
        <w:t>”: For any date, the ratio of (i) EBITDAR derived from the Facility by Tenant or its Affiliates (without duplication) for the Test Period most recently ended prior to such date to (ii) Rent for the Test Period most recently ended prior to such date.</w:t>
      </w:r>
    </w:p>
    <w:p>
      <w:pPr>
        <w:spacing w:after="0" w:line="124"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As defined in the preamble.</w:t>
      </w:r>
    </w:p>
    <w:p>
      <w:pPr>
        <w:spacing w:after="0" w:line="225" w:lineRule="exact"/>
        <w:rPr>
          <w:sz w:val="20"/>
          <w:szCs w:val="20"/>
          <w:color w:val="auto"/>
        </w:rPr>
      </w:pPr>
    </w:p>
    <w:p>
      <w:pPr>
        <w:ind w:left="4" w:right="2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Any mortgage, deed of trust, lien, encumbrance or other matter affecting title to any of the Leased Property, or any portion thereof or interest therein.</w:t>
      </w:r>
    </w:p>
    <w:p>
      <w:pPr>
        <w:spacing w:after="0" w:line="170"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of Term Gaming Asset Transfer Notice</w:t>
      </w:r>
      <w:r>
        <w:rPr>
          <w:rFonts w:ascii="Arial" w:cs="Arial" w:eastAsia="Arial" w:hAnsi="Arial"/>
          <w:sz w:val="18"/>
          <w:szCs w:val="18"/>
          <w:color w:val="auto"/>
        </w:rPr>
        <w:t>”: As defined in Section 36.1.</w:t>
      </w:r>
    </w:p>
    <w:p>
      <w:pPr>
        <w:spacing w:after="0" w:line="225"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Costs</w:t>
      </w:r>
      <w:r>
        <w:rPr>
          <w:rFonts w:ascii="Arial" w:cs="Arial" w:eastAsia="Arial" w:hAnsi="Arial"/>
          <w:sz w:val="18"/>
          <w:szCs w:val="18"/>
          <w:color w:val="auto"/>
        </w:rPr>
        <w:t>”: As defined in Section 32.4.</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78" w:name="page79"/>
    <w:bookmarkEnd w:id="78"/>
    <w:p>
      <w:pPr>
        <w:ind w:firstLine="198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Any and all applicable federal, state, municipal and local laws, statutes, ordinances, rules, regulations, guidances, policies, orders, codes, decrees or judgments, whether statutory or common law, as amended from time to time, now or hereafter in effect pertaining to the environment, public health and safety and industrial hygiene, including the use, generation, manufacture, production, storage, release, discharge, disposal, handling, treatment, removal, decontamination, cleanup, transportation or regulation of any Hazardous Substance, including the Industrial Site Recovery Act, the Clean Air Act, the Clean Water Act, the Toxic Substances Control Act, the Comprehensive Environmental Response Compensation and Liability Act, as amended by the Superfund Amendments and Reauthorization Act of 1986, the Resource Conservation and Recovery Act, as amended by the Hazardous Waste and Solid Waste Amendments of 1984, the Federal Insecticide, Fungicide, Rodenticide Act, the Safe Drinking Water Act and the Occupational Safety and Health Act, the Hazardous Liquid Pipeline Safety Act; the Hazardous Materials Transportation Act; and the National Environmental Policy Act; Massachusetts General Laws, Chapter 21D; Massachusetts General Laws, Chapter 21E; Massachusetts General Laws, Chapter 21C; Massachusetts General Laws, Chapter 21I; any other federal, state or local law addressing itself to environmental contamination, waste or health and safety; or any regulations promulgated under any of the foregoing, including, without limitation, the ones promulgated in connection with Chapter 21E at 310 CMR 40.0000 et seq., in each case, as now exist and as may at any later time be adopted, promulgated or amended from time to time.</w:t>
      </w:r>
    </w:p>
    <w:p>
      <w:pPr>
        <w:spacing w:after="0" w:line="186" w:lineRule="exact"/>
        <w:rPr>
          <w:sz w:val="20"/>
          <w:szCs w:val="20"/>
          <w:color w:val="auto"/>
        </w:rPr>
      </w:pPr>
    </w:p>
    <w:p>
      <w:pPr>
        <w:ind w:right="120" w:firstLine="198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With respect to any Person, any and all shares, interests, participations or other equivalents, including ownership or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w:t>
      </w:r>
    </w:p>
    <w:p>
      <w:pPr>
        <w:spacing w:after="0" w:line="187" w:lineRule="exact"/>
        <w:rPr>
          <w:sz w:val="20"/>
          <w:szCs w:val="20"/>
          <w:color w:val="auto"/>
        </w:rPr>
      </w:pPr>
    </w:p>
    <w:p>
      <w:pPr>
        <w:ind w:right="80" w:firstLine="198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Rights</w:t>
      </w:r>
      <w:r>
        <w:rPr>
          <w:rFonts w:ascii="Arial" w:cs="Arial" w:eastAsia="Arial" w:hAnsi="Arial"/>
          <w:sz w:val="17"/>
          <w:szCs w:val="17"/>
          <w:color w:val="auto"/>
        </w:rPr>
        <w:t xml:space="preserve">”: With respect to any Person, any then 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debt instrument convertible into or exchangeable or exercisable for any Equity Interests shall not be deemed an Equity Right.</w:t>
      </w:r>
    </w:p>
    <w:p>
      <w:pPr>
        <w:spacing w:after="0" w:line="171" w:lineRule="exact"/>
        <w:rPr>
          <w:sz w:val="20"/>
          <w:szCs w:val="20"/>
          <w:color w:val="auto"/>
        </w:rPr>
      </w:pPr>
    </w:p>
    <w:p>
      <w:pPr>
        <w:ind w:right="120" w:firstLine="1983"/>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Escalated Rent</w:t>
      </w:r>
      <w:r>
        <w:rPr>
          <w:rFonts w:ascii="Arial" w:cs="Arial" w:eastAsia="Arial" w:hAnsi="Arial"/>
          <w:sz w:val="17"/>
          <w:szCs w:val="17"/>
          <w:color w:val="auto"/>
        </w:rPr>
        <w:t>”: (a) For the second Lease Year through the tenth Lease Year, an amount equal to the Escalated Rent Percentage of the Rent for the immediately preceding Lease Year, and (b) for the eleventh Lease Year and for each Lease Year thereafter, including the Renewal Term, an amount equal to the greater of (i) the Escalated Rent Percentage of the Rent for the immediately preceding Lease Year and (ii) an amount equal to the product of (I) the CPI Rent Increase for such Lease Year (but in no event shall the CPI Rent Increase exceed the CPI Rent Increase Cap for purposes of this clause (ii)), multiplied by (II) Rent for the immediately preceding Lease Year.</w:t>
      </w:r>
    </w:p>
    <w:p>
      <w:pPr>
        <w:spacing w:after="0" w:line="17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Escalated Rent Percentage</w:t>
      </w:r>
      <w:r>
        <w:rPr>
          <w:rFonts w:ascii="Arial" w:cs="Arial" w:eastAsia="Arial" w:hAnsi="Arial"/>
          <w:sz w:val="16"/>
          <w:szCs w:val="16"/>
          <w:color w:val="auto"/>
        </w:rPr>
        <w:t xml:space="preserve">”: 101.75%;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from and after a Wynn Tenant Transfer the Escalated Rent Percentage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102%.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79" w:name="page80"/>
    <w:bookmarkEnd w:id="79"/>
    <w:p>
      <w:pPr>
        <w:ind w:right="200" w:firstLine="198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Escalation</w:t>
      </w:r>
      <w:r>
        <w:rPr>
          <w:rFonts w:ascii="Arial" w:cs="Arial" w:eastAsia="Arial" w:hAnsi="Arial"/>
          <w:sz w:val="18"/>
          <w:szCs w:val="18"/>
          <w:color w:val="auto"/>
        </w:rPr>
        <w:t>”: For any Lease Year (commencing with the second Lease Year), the excess of (x) the Escalated Rent for such Lease Year over (y) the Rent for the immediately preceding Lease Year.</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As defined in Section 16.1.</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Everett Landlord</w:t>
      </w:r>
      <w:r>
        <w:rPr>
          <w:rFonts w:ascii="Arial" w:cs="Arial" w:eastAsia="Arial" w:hAnsi="Arial"/>
          <w:sz w:val="18"/>
          <w:szCs w:val="18"/>
          <w:color w:val="auto"/>
        </w:rPr>
        <w:t>”: As defined in the preamble.</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Everett Property</w:t>
      </w:r>
      <w:r>
        <w:rPr>
          <w:rFonts w:ascii="Arial" w:cs="Arial" w:eastAsia="Arial" w:hAnsi="Arial"/>
          <w:sz w:val="17"/>
          <w:szCs w:val="17"/>
          <w:color w:val="auto"/>
        </w:rPr>
        <w:t xml:space="preserve">”: The real property described in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attached hereto, together with all Leased Property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respect thereto.</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Everett Tenant</w:t>
      </w:r>
      <w:r>
        <w:rPr>
          <w:rFonts w:ascii="Arial" w:cs="Arial" w:eastAsia="Arial" w:hAnsi="Arial"/>
          <w:sz w:val="18"/>
          <w:szCs w:val="18"/>
          <w:color w:val="auto"/>
        </w:rPr>
        <w:t>”: As defined in the preamble.</w:t>
      </w:r>
    </w:p>
    <w:p>
      <w:pPr>
        <w:spacing w:after="0" w:line="225" w:lineRule="exact"/>
        <w:rPr>
          <w:sz w:val="20"/>
          <w:szCs w:val="20"/>
          <w:color w:val="auto"/>
        </w:rPr>
      </w:pPr>
    </w:p>
    <w:p>
      <w:pPr>
        <w:ind w:firstLine="198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Art</w:t>
      </w:r>
      <w:r>
        <w:rPr>
          <w:rFonts w:ascii="Arial" w:cs="Arial" w:eastAsia="Arial" w:hAnsi="Arial"/>
          <w:sz w:val="17"/>
          <w:szCs w:val="17"/>
          <w:color w:val="auto"/>
        </w:rPr>
        <w:t>”: Any and all fine art, artwork, paintings, sculptures or other artistic installments or displays that would otherwise constitute a portion of the Leased Property or Tenant’s Property, whether permanently or temporarily located at or on, or affixed to, any portion of the Leased Property as of the Effective Date, whether owned by Tenant or any Affiliate of Tenant or any third-party, together with any and all replacements of or additional fine artwork, paintings, sculptures or other artistic works at any time located on or attached to the Leased Property, even if same would otherwise constitute Leased Property or Tenant’s Property pursuant to this Lease. For the avoidance of doubt, Excluded Art includes fine art that hangs on walls, as well as fine art that may be attached to the Leased Property.</w:t>
      </w:r>
    </w:p>
    <w:p>
      <w:pPr>
        <w:spacing w:after="0" w:line="17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Expansion Documents</w:t>
      </w:r>
      <w:r>
        <w:rPr>
          <w:rFonts w:ascii="Arial" w:cs="Arial" w:eastAsia="Arial" w:hAnsi="Arial"/>
          <w:sz w:val="18"/>
          <w:szCs w:val="18"/>
          <w:color w:val="auto"/>
        </w:rPr>
        <w:t>”: As defined in Section 3.5(d).</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Expansion Option</w:t>
      </w:r>
      <w:r>
        <w:rPr>
          <w:rFonts w:ascii="Arial" w:cs="Arial" w:eastAsia="Arial" w:hAnsi="Arial"/>
          <w:sz w:val="18"/>
          <w:szCs w:val="18"/>
          <w:color w:val="auto"/>
        </w:rPr>
        <w:t>”: As defined in Section 3.5(b).</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Expansion Option Acceptance</w:t>
      </w:r>
      <w:r>
        <w:rPr>
          <w:rFonts w:ascii="Arial" w:cs="Arial" w:eastAsia="Arial" w:hAnsi="Arial"/>
          <w:sz w:val="18"/>
          <w:szCs w:val="18"/>
          <w:color w:val="auto"/>
        </w:rPr>
        <w:t>”: As defined in Section 3.5(e).</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Expansion Option Notice</w:t>
      </w:r>
      <w:r>
        <w:rPr>
          <w:rFonts w:ascii="Arial" w:cs="Arial" w:eastAsia="Arial" w:hAnsi="Arial"/>
          <w:sz w:val="18"/>
          <w:szCs w:val="18"/>
          <w:color w:val="auto"/>
        </w:rPr>
        <w:t>”: As defined in Section 3.5(d).</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Expansion Property</w:t>
      </w:r>
      <w:r>
        <w:rPr>
          <w:rFonts w:ascii="Arial" w:cs="Arial" w:eastAsia="Arial" w:hAnsi="Arial"/>
          <w:sz w:val="18"/>
          <w:szCs w:val="18"/>
          <w:color w:val="auto"/>
        </w:rPr>
        <w:t xml:space="preserve">”: All or any portion of the land described on </w:t>
      </w:r>
      <w:r>
        <w:rPr>
          <w:rFonts w:ascii="Arial" w:cs="Arial" w:eastAsia="Arial" w:hAnsi="Arial"/>
          <w:sz w:val="18"/>
          <w:szCs w:val="18"/>
          <w:u w:val="single" w:color="auto"/>
          <w:color w:val="auto"/>
        </w:rPr>
        <w:t>Schedule D</w:t>
      </w:r>
      <w:r>
        <w:rPr>
          <w:rFonts w:ascii="Arial" w:cs="Arial" w:eastAsia="Arial" w:hAnsi="Arial"/>
          <w:sz w:val="18"/>
          <w:szCs w:val="18"/>
          <w:color w:val="auto"/>
        </w:rPr>
        <w:t>.</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Expansion Property Purchase Price</w:t>
      </w:r>
      <w:r>
        <w:rPr>
          <w:rFonts w:ascii="Arial" w:cs="Arial" w:eastAsia="Arial" w:hAnsi="Arial"/>
          <w:sz w:val="18"/>
          <w:szCs w:val="18"/>
          <w:color w:val="auto"/>
        </w:rPr>
        <w:t>”: As defined in Section 3.5(b).</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Expansion Property Value</w:t>
      </w:r>
      <w:r>
        <w:rPr>
          <w:rFonts w:ascii="Arial" w:cs="Arial" w:eastAsia="Arial" w:hAnsi="Arial"/>
          <w:sz w:val="18"/>
          <w:szCs w:val="18"/>
          <w:color w:val="auto"/>
        </w:rPr>
        <w:t>”: As defined in Section 3.5(d).</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Expansion Rent</w:t>
      </w:r>
      <w:r>
        <w:rPr>
          <w:rFonts w:ascii="Arial" w:cs="Arial" w:eastAsia="Arial" w:hAnsi="Arial"/>
          <w:sz w:val="18"/>
          <w:szCs w:val="18"/>
          <w:color w:val="auto"/>
        </w:rPr>
        <w:t>”: As defined in Section 3.5(b).</w:t>
      </w:r>
    </w:p>
    <w:p>
      <w:pPr>
        <w:spacing w:after="0" w:line="225" w:lineRule="exact"/>
        <w:rPr>
          <w:sz w:val="20"/>
          <w:szCs w:val="20"/>
          <w:color w:val="auto"/>
        </w:rPr>
      </w:pPr>
    </w:p>
    <w:p>
      <w:pPr>
        <w:ind w:right="6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An independent third-party professional, with expertise in respect of a matter at issue, appointed by the agreement of Landlord and Tenant or otherwise in accordance with Article XXXIV hereof.</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As defined in Recital C.</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Mortgage</w:t>
      </w:r>
      <w:r>
        <w:rPr>
          <w:rFonts w:ascii="Arial" w:cs="Arial" w:eastAsia="Arial" w:hAnsi="Arial"/>
          <w:sz w:val="18"/>
          <w:szCs w:val="18"/>
          <w:color w:val="auto"/>
        </w:rPr>
        <w:t>”: As defined in Section 13.1.</w:t>
      </w:r>
    </w:p>
    <w:p>
      <w:pPr>
        <w:spacing w:after="0" w:line="225" w:lineRule="exact"/>
        <w:rPr>
          <w:sz w:val="20"/>
          <w:szCs w:val="20"/>
          <w:color w:val="auto"/>
        </w:rPr>
      </w:pPr>
    </w:p>
    <w:p>
      <w:pPr>
        <w:ind w:right="36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Mortgage Documents</w:t>
      </w:r>
      <w:r>
        <w:rPr>
          <w:rFonts w:ascii="Arial" w:cs="Arial" w:eastAsia="Arial" w:hAnsi="Arial"/>
          <w:sz w:val="18"/>
          <w:szCs w:val="18"/>
          <w:color w:val="auto"/>
        </w:rPr>
        <w:t>”: With respect to each Facility Mortgage and Facility Mortgagee, the applicable Facility Mortgage, loan agreement, debt agreement, credit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80" w:name="page81"/>
    <w:bookmarkEnd w:id="80"/>
    <w:p>
      <w:pPr>
        <w:jc w:val="both"/>
        <w:ind w:right="7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Mortgagee</w:t>
      </w:r>
      <w:r>
        <w:rPr>
          <w:rFonts w:ascii="Arial" w:cs="Arial" w:eastAsia="Arial" w:hAnsi="Arial"/>
          <w:sz w:val="18"/>
          <w:szCs w:val="18"/>
          <w:color w:val="auto"/>
        </w:rPr>
        <w:t>”: As defined in Section 13.1.</w:t>
      </w:r>
    </w:p>
    <w:p>
      <w:pPr>
        <w:spacing w:after="0" w:line="225" w:lineRule="exact"/>
        <w:rPr>
          <w:sz w:val="20"/>
          <w:szCs w:val="20"/>
          <w:color w:val="auto"/>
        </w:rPr>
      </w:pPr>
    </w:p>
    <w:p>
      <w:pPr>
        <w:ind w:firstLine="198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FF&amp;E</w:t>
      </w:r>
      <w:r>
        <w:rPr>
          <w:rFonts w:ascii="Arial" w:cs="Arial" w:eastAsia="Arial" w:hAnsi="Arial"/>
          <w:sz w:val="17"/>
          <w:szCs w:val="17"/>
          <w:color w:val="auto"/>
        </w:rPr>
        <w:t>”: Collectively, furnishings, fixtures, inventory, and equipment located in the hallways, lobbies, hotel rooms, restaurants, lounges, meeting and banquet rooms, parking facilities, public areas or otherwise in any portion of the Facility, including (without limitation) all chairs, bookcases, tables, beds, carpeting, drapes, couches, bars, bar fixtures, radios, television sets, intercom and paging equipment, electric and electronic equipment, heating, lighting and plumbing fixtures, fire prevention and extinguishing apparatus, cooling and air-conditioning systems, elevators, escalators, stoves, ranges, refrigerators, laundry machines, tools, machinery, boilers, incinerators, switchboards, conduits, compressors, vacuum cleaning systems, floor cleaning, waxing and polishing equipment, cabinets, lockers, shelving, dishwashers, garbage disposals, washer and dryers, Gaming equipment and all other casino equipment, supplies and other tangible property, in each case, located at the Facility or used or held for use in connection with the present or future operation and occupancy of the Facility.</w:t>
      </w:r>
    </w:p>
    <w:p>
      <w:pPr>
        <w:spacing w:after="0" w:line="17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FF&amp;E Estimate</w:t>
      </w:r>
      <w:r>
        <w:rPr>
          <w:rFonts w:ascii="Arial" w:cs="Arial" w:eastAsia="Arial" w:hAnsi="Arial"/>
          <w:sz w:val="18"/>
          <w:szCs w:val="18"/>
          <w:color w:val="auto"/>
        </w:rPr>
        <w:t>”: As defined in Section 9.2(b).</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FF&amp;E Reserve Account</w:t>
      </w:r>
      <w:r>
        <w:rPr>
          <w:rFonts w:ascii="Arial" w:cs="Arial" w:eastAsia="Arial" w:hAnsi="Arial"/>
          <w:sz w:val="18"/>
          <w:szCs w:val="18"/>
          <w:color w:val="auto"/>
        </w:rPr>
        <w:t>”: As defined in Section 9.2(a).</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FF&amp;E Reserve Funds</w:t>
      </w:r>
      <w:r>
        <w:rPr>
          <w:rFonts w:ascii="Arial" w:cs="Arial" w:eastAsia="Arial" w:hAnsi="Arial"/>
          <w:sz w:val="18"/>
          <w:szCs w:val="18"/>
          <w:color w:val="auto"/>
        </w:rPr>
        <w:t>”: As defined in Section 9.2(a).</w:t>
      </w:r>
    </w:p>
    <w:p>
      <w:pPr>
        <w:spacing w:after="0" w:line="225" w:lineRule="exact"/>
        <w:rPr>
          <w:sz w:val="20"/>
          <w:szCs w:val="20"/>
          <w:color w:val="auto"/>
        </w:rPr>
      </w:pPr>
    </w:p>
    <w:p>
      <w:pPr>
        <w:ind w:right="60" w:firstLine="198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(i) For a Fiscal Year, consolidated statements of operations, cash flows and stockholders’ equity of Tenant’s Parent and its consolidated subsidiaries for such Fiscal Year and the related consolidated balance sheet for the period from the beginning of such Fiscal Year to the end of such Fiscal Year, together with the notes thereto (if applicable), prepared in accordance with GAAP as of such date and audited by an Approved Accounting Firm, and (ii) for each fiscal quarter (other than the fourth fiscal quarter in any Fiscal Year), the consolidated statements of operations and cash flows of Tenant’s Parent and its Subsidiaries for such fiscal quarter and for the portion of the Fiscal Year ended with such fiscal quarter, and the related consolidated balance sheet as at the end of such fiscal quarter, prepared in accordance with GAAP.</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The annual period commencing January 1 and terminating December 31 of each year.</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w:t>
      </w:r>
      <w:r>
        <w:rPr>
          <w:rFonts w:ascii="Arial" w:cs="Arial" w:eastAsia="Arial" w:hAnsi="Arial"/>
          <w:sz w:val="18"/>
          <w:szCs w:val="18"/>
          <w:color w:val="auto"/>
        </w:rPr>
        <w:t>”: As defined in Section 1.1(d).</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Foreclosure Assignment</w:t>
      </w:r>
      <w:r>
        <w:rPr>
          <w:rFonts w:ascii="Arial" w:cs="Arial" w:eastAsia="Arial" w:hAnsi="Arial"/>
          <w:sz w:val="18"/>
          <w:szCs w:val="18"/>
          <w:color w:val="auto"/>
        </w:rPr>
        <w:t>”: As defined in Section 22.2(iii)(z).</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Foreclosure COC</w:t>
      </w:r>
      <w:r>
        <w:rPr>
          <w:rFonts w:ascii="Arial" w:cs="Arial" w:eastAsia="Arial" w:hAnsi="Arial"/>
          <w:sz w:val="18"/>
          <w:szCs w:val="18"/>
          <w:color w:val="auto"/>
        </w:rPr>
        <w:t>”: As defined in Section 22.2(iii)(z).</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Foreclosure Purchaser</w:t>
      </w:r>
      <w:r>
        <w:rPr>
          <w:rFonts w:ascii="Arial" w:cs="Arial" w:eastAsia="Arial" w:hAnsi="Arial"/>
          <w:sz w:val="18"/>
          <w:szCs w:val="18"/>
          <w:color w:val="auto"/>
        </w:rPr>
        <w:t>”: As defined in Section 31.1.</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440" w:top="274" w:right="579" w:bottom="1440" w:gutter="0" w:footer="0" w:header="0"/>
        </w:sectPr>
      </w:pPr>
    </w:p>
    <w:bookmarkStart w:id="81" w:name="page82"/>
    <w:bookmarkEnd w:id="81"/>
    <w:p>
      <w:pPr>
        <w:ind w:right="320" w:firstLine="198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consistently applied in the preparation of financial statements, as in effect from time to time (except with respect to any financial ratio defined or described herein or the components thereof, for which purposes GAAP shall refer to such principles as in effect as of the Commencement Date).</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 Assets FMV</w:t>
      </w:r>
      <w:r>
        <w:rPr>
          <w:rFonts w:ascii="Arial" w:cs="Arial" w:eastAsia="Arial" w:hAnsi="Arial"/>
          <w:sz w:val="18"/>
          <w:szCs w:val="18"/>
          <w:color w:val="auto"/>
        </w:rPr>
        <w:t>”: As defined in Section 36.1.</w:t>
      </w:r>
    </w:p>
    <w:p>
      <w:pPr>
        <w:spacing w:after="0" w:line="225"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w:t>
      </w:r>
      <w:r>
        <w:rPr>
          <w:rFonts w:ascii="Arial" w:cs="Arial" w:eastAsia="Arial" w:hAnsi="Arial"/>
          <w:sz w:val="18"/>
          <w:szCs w:val="18"/>
          <w:color w:val="auto"/>
        </w:rPr>
        <w:t xml:space="preserve">g </w:t>
      </w:r>
      <w:r>
        <w:rPr>
          <w:rFonts w:ascii="Arial" w:cs="Arial" w:eastAsia="Arial" w:hAnsi="Arial"/>
          <w:sz w:val="18"/>
          <w:szCs w:val="18"/>
          <w:u w:val="single" w:color="auto"/>
          <w:color w:val="auto"/>
        </w:rPr>
        <w:t>Authorities</w:t>
      </w:r>
      <w:r>
        <w:rPr>
          <w:rFonts w:ascii="Arial" w:cs="Arial" w:eastAsia="Arial" w:hAnsi="Arial"/>
          <w:sz w:val="18"/>
          <w:szCs w:val="18"/>
          <w:color w:val="auto"/>
        </w:rPr>
        <w:t>”: Any of the Massachusetts Gaming Commission, and any other gaming regulatory body or any agency or governmental authority which has, or may at any time after the Commencement Date have, jurisdiction over the gaming activities at the Leased Property or any successor to such authority.</w:t>
      </w:r>
    </w:p>
    <w:p>
      <w:pPr>
        <w:spacing w:after="0" w:line="184" w:lineRule="exact"/>
        <w:rPr>
          <w:sz w:val="20"/>
          <w:szCs w:val="20"/>
          <w:color w:val="auto"/>
        </w:rPr>
      </w:pPr>
    </w:p>
    <w:p>
      <w:pPr>
        <w:ind w:right="60" w:firstLine="198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Gaming Equipment</w:t>
      </w:r>
      <w:r>
        <w:rPr>
          <w:rFonts w:ascii="Arial" w:cs="Arial" w:eastAsia="Arial" w:hAnsi="Arial"/>
          <w:sz w:val="17"/>
          <w:szCs w:val="17"/>
          <w:color w:val="auto"/>
        </w:rPr>
        <w:t>”: All equipment, software systems and/or gaming devices, gaming devices parts inventory and other related gaming equipment and supplies used to conduct gambling games authorized by applicable Gaming Regulations at a Gaming Facility including without limitation, all slot machines, video lottery terminals, table games, cards, dice, chips, tables, player tracking systems, cashless wagering systems, electronic betting systems, mobile gaming systems, gaming kiosks, pari-mutuel wagering systems, and/or other software systems and devices used now or in the future (including any variation or derivative of any of the foregoing, or any newly created equipment, software system or gaming device) for the purposes of conducting gambling games, slot machines, gaming devices and live games.</w:t>
      </w:r>
    </w:p>
    <w:p>
      <w:pPr>
        <w:spacing w:after="0" w:line="178" w:lineRule="exact"/>
        <w:rPr>
          <w:sz w:val="20"/>
          <w:szCs w:val="20"/>
          <w:color w:val="auto"/>
        </w:rPr>
      </w:pPr>
    </w:p>
    <w:p>
      <w:pPr>
        <w:ind w:right="40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 Facility</w:t>
      </w:r>
      <w:r>
        <w:rPr>
          <w:rFonts w:ascii="Arial" w:cs="Arial" w:eastAsia="Arial" w:hAnsi="Arial"/>
          <w:sz w:val="18"/>
          <w:szCs w:val="18"/>
          <w:color w:val="auto"/>
        </w:rPr>
        <w:t>”: A facility at which Gaming Equipment is utilized to generate gaming revenues in accordance with a gaming license (including any Gaming License).</w:t>
      </w:r>
    </w:p>
    <w:p>
      <w:pPr>
        <w:spacing w:after="0" w:line="170" w:lineRule="exact"/>
        <w:rPr>
          <w:sz w:val="20"/>
          <w:szCs w:val="20"/>
          <w:color w:val="auto"/>
        </w:rPr>
      </w:pPr>
    </w:p>
    <w:p>
      <w:pPr>
        <w:ind w:firstLine="1983"/>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Gaming License</w:t>
      </w:r>
      <w:r>
        <w:rPr>
          <w:rFonts w:ascii="Arial" w:cs="Arial" w:eastAsia="Arial" w:hAnsi="Arial"/>
          <w:sz w:val="16"/>
          <w:szCs w:val="16"/>
          <w:color w:val="auto"/>
        </w:rPr>
        <w:t xml:space="preserve">”: Any license, permit, approval, finding of suitability or other authorization issued by a state regulatory agency to operate, carry on or conduct any gambling game, gaming device, slot machine, race book or sports pool on the Leased Property, or required by any Gaming Regulation, including each of the licenses, permits or other authorizations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 as amended from time to time.</w:t>
      </w:r>
    </w:p>
    <w:p>
      <w:pPr>
        <w:spacing w:after="0" w:line="149" w:lineRule="exact"/>
        <w:rPr>
          <w:sz w:val="20"/>
          <w:szCs w:val="20"/>
          <w:color w:val="auto"/>
        </w:rPr>
      </w:pPr>
    </w:p>
    <w:p>
      <w:pPr>
        <w:ind w:right="20" w:firstLine="198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Gaming Regulation(s)</w:t>
      </w:r>
      <w:r>
        <w:rPr>
          <w:rFonts w:ascii="Arial" w:cs="Arial" w:eastAsia="Arial" w:hAnsi="Arial"/>
          <w:sz w:val="17"/>
          <w:szCs w:val="17"/>
          <w:color w:val="auto"/>
        </w:rPr>
        <w:t>”: Any and all laws, statutes, ordinances, rules, regulations, policies, orders, resolutions, codes, decrees or judgments, and Gaming License conditions or restrictions, and requirements of any agreement with a local municipality, as amended from time to time, now or hereafter in effect or promulgated, pertaining to the operation, control, maintenance or Capital Improvement of a Gaming Facility directly as a result of the gaming operations thereat or the conduct of a person or entity holding as a result of such person or entity holding a Gaming License, including, without limitation, any requirements imposed by a regulatory agency, commission, board or other governmental body (including any Gaming Authority) pursuant to the jurisdiction and authority granted to it under applicable law.</w:t>
      </w:r>
    </w:p>
    <w:p>
      <w:pPr>
        <w:spacing w:after="0" w:line="178" w:lineRule="exact"/>
        <w:rPr>
          <w:sz w:val="20"/>
          <w:szCs w:val="20"/>
          <w:color w:val="auto"/>
        </w:rPr>
      </w:pPr>
    </w:p>
    <w:p>
      <w:pPr>
        <w:jc w:val="both"/>
        <w:ind w:firstLine="198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List</w:t>
      </w:r>
      <w:r>
        <w:rPr>
          <w:rFonts w:ascii="Arial" w:cs="Arial" w:eastAsia="Arial" w:hAnsi="Arial"/>
          <w:sz w:val="16"/>
          <w:szCs w:val="16"/>
          <w:color w:val="auto"/>
        </w:rPr>
        <w:t>”: (a) Any list or annex to Presidential Executive Order 13224 issued on September 24, 2001 (“</w:t>
      </w:r>
      <w:r>
        <w:rPr>
          <w:rFonts w:ascii="Arial" w:cs="Arial" w:eastAsia="Arial" w:hAnsi="Arial"/>
          <w:sz w:val="16"/>
          <w:szCs w:val="16"/>
          <w:u w:val="single" w:color="auto"/>
          <w:color w:val="auto"/>
        </w:rPr>
        <w:t>EO13224</w:t>
      </w:r>
      <w:r>
        <w:rPr>
          <w:rFonts w:ascii="Arial" w:cs="Arial" w:eastAsia="Arial" w:hAnsi="Arial"/>
          <w:sz w:val="16"/>
          <w:szCs w:val="16"/>
          <w:color w:val="auto"/>
        </w:rPr>
        <w:t>”), including any list of Persons who are determined to be subject to the provisions of EO13224 or any other similar prohibitions contained in the rules and regulations of OFAC or in any enabling legislation or other Presidential Executive Orders in respect thereof, (b) the Specially Designated Nationals and Blocked Persons Lists maintained by OFAC, (c) any other list of terrorists, terrorist organizations or narcotics traffickers maintained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82" w:name="page83"/>
    <w:bookmarkEnd w:id="82"/>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any of the Rules and Regulations of OFAC, or (d) any similar lists maintained by the United States Department of State, the United States Department of Commerce or any other governmental authority or pursuant to any Executive Order of the President of the United States of America.</w:t>
      </w:r>
    </w:p>
    <w:p>
      <w:pPr>
        <w:spacing w:after="0" w:line="124" w:lineRule="exact"/>
        <w:rPr>
          <w:sz w:val="20"/>
          <w:szCs w:val="20"/>
          <w:color w:val="auto"/>
        </w:rPr>
      </w:pPr>
    </w:p>
    <w:p>
      <w:pPr>
        <w:ind w:right="40"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Ground Lease</w:t>
      </w:r>
      <w:r>
        <w:rPr>
          <w:rFonts w:ascii="Arial" w:cs="Arial" w:eastAsia="Arial" w:hAnsi="Arial"/>
          <w:sz w:val="18"/>
          <w:szCs w:val="18"/>
          <w:color w:val="auto"/>
        </w:rPr>
        <w:t xml:space="preserve">”: Collectively, those certain leases with respect to real property that is a portion of the Leased Property, pursuant to which Landlord is a tenant and which leases have either been approved by Tenant or are in existence as of the Commencement Date, each of which leases is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Ground Leased Property</w:t>
      </w:r>
      <w:r>
        <w:rPr>
          <w:rFonts w:ascii="Arial" w:cs="Arial" w:eastAsia="Arial" w:hAnsi="Arial"/>
          <w:sz w:val="18"/>
          <w:szCs w:val="18"/>
          <w:color w:val="auto"/>
        </w:rPr>
        <w:t>”: The real property leased pursuant to a Ground Lease.</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Ground Lessor</w:t>
      </w:r>
      <w:r>
        <w:rPr>
          <w:rFonts w:ascii="Arial" w:cs="Arial" w:eastAsia="Arial" w:hAnsi="Arial"/>
          <w:sz w:val="18"/>
          <w:szCs w:val="18"/>
          <w:color w:val="auto"/>
        </w:rPr>
        <w:t>”: As defined in Section 8.4(a).</w:t>
      </w:r>
    </w:p>
    <w:p>
      <w:pPr>
        <w:spacing w:after="0" w:line="225"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Any entity that guaranties the payment or collection of all or any portion of the amounts payable by Tenant, or the performance by Tenant of all or any of its obligations, under this Lease, including any replacement guarantor consented to by Landlord in connection with the assignment of the Lease or a sublease of Leased Property pursuant to Article XXII.</w:t>
      </w:r>
    </w:p>
    <w:p>
      <w:pPr>
        <w:spacing w:after="0" w:line="184" w:lineRule="exact"/>
        <w:rPr>
          <w:sz w:val="20"/>
          <w:szCs w:val="20"/>
          <w:color w:val="auto"/>
        </w:rPr>
      </w:pPr>
    </w:p>
    <w:p>
      <w:pPr>
        <w:ind w:right="40" w:firstLine="198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That certain Guaranty of Lease dated as of the Effective Date, a form of which is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as the same may be amended, supplemented or replaced from time to time, by and between Tenant’s Parent, Landlord and certain Subsidiaries of Tenant from time to time party thereto, and any other guaranty in form and substance reasonably satisfactory to the Landlord executed by a Guarantor in favor of Landlord (as the same may be amended, supplemented or replaced from time to time) pursuant to which such Guarantor agrees to guaranty all of the obligations of Tenant hereunder.</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Handling</w:t>
      </w:r>
      <w:r>
        <w:rPr>
          <w:rFonts w:ascii="Arial" w:cs="Arial" w:eastAsia="Arial" w:hAnsi="Arial"/>
          <w:sz w:val="18"/>
          <w:szCs w:val="18"/>
          <w:color w:val="auto"/>
        </w:rPr>
        <w:t>”: As defined in Section 32.4.</w:t>
      </w:r>
    </w:p>
    <w:p>
      <w:pPr>
        <w:spacing w:after="0" w:line="225" w:lineRule="exact"/>
        <w:rPr>
          <w:sz w:val="20"/>
          <w:szCs w:val="20"/>
          <w:color w:val="auto"/>
        </w:rPr>
      </w:pPr>
    </w:p>
    <w:p>
      <w:pPr>
        <w:ind w:right="260"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Collectively, any oil, petroleum, petroleum product or by product, polychlorinated biphenyls, asbestos, lead-based paint, mold or any other contaminant, pollutant or hazardous or toxic substance, material or waste regulated or listed pursuant to any Environmental Law.</w:t>
      </w:r>
    </w:p>
    <w:p>
      <w:pPr>
        <w:spacing w:after="0" w:line="184" w:lineRule="exact"/>
        <w:rPr>
          <w:sz w:val="20"/>
          <w:szCs w:val="20"/>
          <w:color w:val="auto"/>
        </w:rPr>
      </w:pPr>
    </w:p>
    <w:p>
      <w:pPr>
        <w:ind w:right="400"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 Guarantor</w:t>
      </w:r>
      <w:r>
        <w:rPr>
          <w:rFonts w:ascii="Arial" w:cs="Arial" w:eastAsia="Arial" w:hAnsi="Arial"/>
          <w:sz w:val="18"/>
          <w:szCs w:val="18"/>
          <w:color w:val="auto"/>
        </w:rPr>
        <w:t>”: Any Subsidiary of Tenant having, together with all other Immaterial Subsidiary Guarantors, assets with an aggregate fair market value of less than One Hundred Fifty Million Dollars ($150,000,000) as of the most recent date on which Financial Statements have been delivered to Landlord pursuant to Section 23.1(b).</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Impartial Appraiser</w:t>
      </w:r>
      <w:r>
        <w:rPr>
          <w:rFonts w:ascii="Arial" w:cs="Arial" w:eastAsia="Arial" w:hAnsi="Arial"/>
          <w:sz w:val="18"/>
          <w:szCs w:val="18"/>
          <w:color w:val="auto"/>
        </w:rPr>
        <w:t>”: As defined in Section 13.2.</w:t>
      </w:r>
    </w:p>
    <w:p>
      <w:pPr>
        <w:spacing w:after="0" w:line="225" w:lineRule="exact"/>
        <w:rPr>
          <w:sz w:val="20"/>
          <w:szCs w:val="20"/>
          <w:color w:val="auto"/>
        </w:rPr>
      </w:pPr>
    </w:p>
    <w:p>
      <w:pPr>
        <w:ind w:right="100" w:firstLine="198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Impositions</w:t>
      </w:r>
      <w:r>
        <w:rPr>
          <w:rFonts w:ascii="Arial" w:cs="Arial" w:eastAsia="Arial" w:hAnsi="Arial"/>
          <w:sz w:val="16"/>
          <w:szCs w:val="16"/>
          <w:color w:val="auto"/>
        </w:rPr>
        <w:t>”: Collectively, all taxes, including capital stock, franchise, margin and other state taxes of Landlord, ad valorem, sales, use, gross receipts, transaction privilege, rent or similar taxes; assessments including assessments for public improvements or benefits, whether or not commenced or completed prior to the Commencement Date and whether or not to be completed within the Term, rents or other amounts payable under, and all other monetary obligations of Landlord and its Affiliates under, the Ground Leases, any Property Documents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83" w:name="page84"/>
    <w:bookmarkEnd w:id="83"/>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PILOT and Community Documents; water, sewer and other utility levies and charges; excise tax levies; fees including license, permit, inspection, authorization and similar fees; and all other governmental charges, in each case whether general or special, ordinary or extraordinary, or foreseen or unforeseen, of every character in respect of the Leased Property and/or the Rent and Additional Charges and all interest and penalties thereon attributable to any failure in payment by Tenant (other than failures arising from the acts or omissions of Landlord) which at any time prior to, during or in respect of the Term hereof may be assessed or imposed on or in respect of or be a lien upon (i) Landlord or Landlord’s interest in the Leased Property,</w:t>
      </w:r>
    </w:p>
    <w:p>
      <w:pPr>
        <w:spacing w:after="0" w:line="2" w:lineRule="exact"/>
        <w:rPr>
          <w:sz w:val="20"/>
          <w:szCs w:val="20"/>
          <w:color w:val="auto"/>
        </w:rPr>
      </w:pPr>
    </w:p>
    <w:p>
      <w:pPr>
        <w:ind w:left="4" w:right="20" w:hanging="4"/>
        <w:spacing w:after="0" w:line="281" w:lineRule="auto"/>
        <w:tabs>
          <w:tab w:leader="none" w:pos="269"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Leased Property or any part thereof or any rent therefrom or any estate, right, title or interest therein, or (iii) any occupancy, operation, use or possession of, or sales from or activity conducted on or in connection with the Leased Property or the leasing or use of the Leased Property or any part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Impositions shall not include and nothing contained in this Lease shall be construed to require Tenant to pay (a) any tax based on net or overall gross income (whether denominated as a franchise or capital stock or other tax) imposed on Landlord or any other Person,</w:t>
      </w:r>
    </w:p>
    <w:p>
      <w:pPr>
        <w:spacing w:after="0" w:line="2" w:lineRule="exact"/>
        <w:rPr>
          <w:rFonts w:ascii="Arial" w:cs="Arial" w:eastAsia="Arial" w:hAnsi="Arial"/>
          <w:sz w:val="16"/>
          <w:szCs w:val="16"/>
          <w:color w:val="auto"/>
        </w:rPr>
      </w:pPr>
    </w:p>
    <w:p>
      <w:pPr>
        <w:ind w:left="4" w:right="20" w:hanging="4"/>
        <w:spacing w:after="0" w:line="252"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any transfer, or net revenue tax of Landlord or any other Person except Tenant and its successors, (c) any tax imposed with respect to the sale, exchange or other disposition by Landlord of any Leased Property or the proceeds thereof (for the avoidance of doubt, excluding property taxes relating to the Leased Property), or (d) any principal, interest or other amounts due on, or any mortgage recording taxes or other amounts relating to the incurrence of, any indebtedness on or secured by the Leased Property owed to a Facility Mortgagee for which Landlord or its Subsidiaries or Landlord’s Parent is the obligor;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Impositions shall include any tax, assessment, tax levy or charge set forth in clause (a) or (b) that is levied, assessed or imposed in lieu of, or as a substitute for, any Imposition.</w:t>
      </w:r>
    </w:p>
    <w:p>
      <w:pPr>
        <w:spacing w:after="0" w:line="194" w:lineRule="exact"/>
        <w:rPr>
          <w:sz w:val="20"/>
          <w:szCs w:val="20"/>
          <w:color w:val="auto"/>
        </w:rPr>
      </w:pPr>
    </w:p>
    <w:p>
      <w:pPr>
        <w:ind w:left="4" w:right="20" w:firstLine="198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in accordance with GAAP, (c) all obligations of such Person to pay the deferred purchase price of property or services (excluding trade accounts payable in the ordinary course of business), (d) all indebtedness secured by a lien on the property of such Person, whether or not such indebtedness shall have been assumed by such Person, (e) all obligations, contingent or otherwise, with respect to the face amount of all letters of credit (whether or not drawn) and banker’s acceptances issued for the account of such Person, (f) all obligations under any agreement with respect to any swap, forward, future or derivative transaction or option or similar arrangement involving, or settled by reference to, one or more rates, currencies, commodities, equity or debt instruments or securities or economic, financial or pricing indices or measures of economic, financial or pricing risk or value or any similar transaction or combination of transactions, (g) all guarantees by such Person of any of the foregoing and (h) all indebtedness of the nature described in the foregoing clauses (a)-(g) of any partnership of which such Person is a general partner.</w:t>
      </w:r>
    </w:p>
    <w:p>
      <w:pPr>
        <w:spacing w:after="0" w:line="168"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 to EBITDA Ratio</w:t>
      </w:r>
      <w:r>
        <w:rPr>
          <w:rFonts w:ascii="Arial" w:cs="Arial" w:eastAsia="Arial" w:hAnsi="Arial"/>
          <w:sz w:val="18"/>
          <w:szCs w:val="18"/>
          <w:color w:val="auto"/>
        </w:rPr>
        <w:t>”: As at any date of determination, the ratio of (a) Indebtedness of the applicable</w:t>
      </w:r>
    </w:p>
    <w:p>
      <w:pPr>
        <w:spacing w:after="0" w:line="23" w:lineRule="exact"/>
        <w:rPr>
          <w:sz w:val="20"/>
          <w:szCs w:val="20"/>
          <w:color w:val="auto"/>
        </w:rPr>
      </w:pPr>
    </w:p>
    <w:p>
      <w:pPr>
        <w:ind w:left="264" w:hanging="264"/>
        <w:spacing w:after="0"/>
        <w:tabs>
          <w:tab w:leader="none" w:pos="2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Qualified Transferee or Parent Company of the Qualified Transferee or (y) in the case of a Permitted Leasehold Mortgagee Foreclosing Party, the</w:t>
      </w:r>
    </w:p>
    <w:p>
      <w:pPr>
        <w:spacing w:after="0" w:line="32" w:lineRule="exact"/>
        <w:rPr>
          <w:rFonts w:ascii="Arial" w:cs="Arial" w:eastAsia="Arial" w:hAnsi="Arial"/>
          <w:sz w:val="16"/>
          <w:szCs w:val="16"/>
          <w:color w:val="auto"/>
        </w:rPr>
      </w:pPr>
    </w:p>
    <w:p>
      <w:pPr>
        <w:ind w:left="4"/>
        <w:spacing w:after="0" w:line="290" w:lineRule="auto"/>
        <w:rPr>
          <w:rFonts w:ascii="Arial" w:cs="Arial" w:eastAsia="Arial" w:hAnsi="Arial"/>
          <w:sz w:val="16"/>
          <w:szCs w:val="16"/>
          <w:color w:val="auto"/>
        </w:rPr>
      </w:pPr>
      <w:r>
        <w:rPr>
          <w:rFonts w:ascii="Arial" w:cs="Arial" w:eastAsia="Arial" w:hAnsi="Arial"/>
          <w:sz w:val="17"/>
          <w:szCs w:val="17"/>
          <w:color w:val="auto"/>
        </w:rPr>
        <w:t>Permitted Leasehold Mortgagee Foreclosing Party (such Qualified Transferee, Parent Company or Permitted Leasehold Mortgagee Foreclosing Party, as applicable the “</w:t>
      </w:r>
      <w:r>
        <w:rPr>
          <w:rFonts w:ascii="Arial" w:cs="Arial" w:eastAsia="Arial" w:hAnsi="Arial"/>
          <w:sz w:val="17"/>
          <w:szCs w:val="17"/>
          <w:b w:val="1"/>
          <w:bCs w:val="1"/>
          <w:color w:val="auto"/>
        </w:rPr>
        <w:t>Relevant Party</w:t>
      </w:r>
      <w:r>
        <w:rPr>
          <w:rFonts w:ascii="Arial" w:cs="Arial" w:eastAsia="Arial" w:hAnsi="Arial"/>
          <w:sz w:val="17"/>
          <w:szCs w:val="17"/>
          <w:color w:val="auto"/>
        </w:rPr>
        <w:t>”) on a consolidated basis, as of such date (excluding Indebtedness of the type referenced in clauses (e)</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84" w:name="page85"/>
    <w:bookmarkEnd w:id="84"/>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(f) of the definition of Indebtedness or Indebtedness referred to in clauses (d) or (g) of the definition of Indebtedness to the extent relating to Indebtedness of the type referenced in clauses (e) or (f) of the definition of Indebtedness), to (b) EBITDA of the Parent Company of a Qualified Transferee (or, in the case of (x) a Permitted Leasehold Mortgagee Foreclosing Party, such Permitted Leasehold Mortgagee Foreclosing Party or (y) a Qualified Transferee that does not have a Parent Company, such Qualified Transferee) for the Test Period most recently ended prior to such date for which financial statements are available. For purposes of calculating the Indebtedness to EBITDA Ratio, EBITDA shall be calculated on a pro forma basis (and shall be calculated, except for pro forma adjustments reasonably contemplated by the potential transferee which may be included in such calculations, otherwise in accordance with Regulation S-X under the Securities Act) to give effect to any material acquisitions and material asset sales consummated by the Relevant Party and its Subsidiaries since the beginning of any Test Period of the Relevant Party as if each such material acquisition had been effected on the first day of such Test Period and as if each such material asset sale had been consummated on the day prior to the first day of such period. In addition, for the avoidance of doubt, (i) if the Relevant Party or any Subsidiary of the Relevant Party has incurred any Indebtedness or repaid, repurchased, acquired, defeased or otherwise discharged any Indebtedness since the end of the most recent Test Period for which financial statements are available, Indebtedness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and (ii) the Indebtedness to EBITDA Ratio shall give pro forma effect to the transactions whereby the applicable Qualified Transferee becomes party to the Lease or the Change in Control transactions permitted under Section 22.2(iii) and shall include the Indebtedness and EBITDA of Tenant and its Subsidiaries for the relevant period.</w:t>
      </w:r>
    </w:p>
    <w:p>
      <w:pPr>
        <w:spacing w:after="0" w:line="17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As defined in Section 1.3.</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End Date</w:t>
      </w:r>
      <w:r>
        <w:rPr>
          <w:rFonts w:ascii="Arial" w:cs="Arial" w:eastAsia="Arial" w:hAnsi="Arial"/>
          <w:sz w:val="18"/>
          <w:szCs w:val="18"/>
          <w:color w:val="auto"/>
        </w:rPr>
        <w:t>”: As defined in Section 1.3.</w:t>
      </w:r>
    </w:p>
    <w:p>
      <w:pPr>
        <w:spacing w:after="0" w:line="225" w:lineRule="exact"/>
        <w:rPr>
          <w:sz w:val="20"/>
          <w:szCs w:val="20"/>
          <w:color w:val="auto"/>
        </w:rPr>
      </w:pPr>
    </w:p>
    <w:p>
      <w:pPr>
        <w:ind w:firstLine="198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Insurance Requirements</w:t>
      </w:r>
      <w:r>
        <w:rPr>
          <w:rFonts w:ascii="Arial" w:cs="Arial" w:eastAsia="Arial" w:hAnsi="Arial"/>
          <w:sz w:val="17"/>
          <w:szCs w:val="17"/>
          <w:color w:val="auto"/>
        </w:rPr>
        <w:t>”: The terms of any insurance policy required by this Lease and all requirements of the issuer of any such policy and of any insurance board, association, organization or company necessary for the maintenance of any such policy.</w:t>
      </w:r>
    </w:p>
    <w:p>
      <w:pPr>
        <w:spacing w:after="0" w:line="146" w:lineRule="exact"/>
        <w:rPr>
          <w:sz w:val="20"/>
          <w:szCs w:val="20"/>
          <w:color w:val="auto"/>
        </w:rPr>
      </w:pPr>
    </w:p>
    <w:p>
      <w:pPr>
        <w:ind w:right="60" w:firstLine="198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Fund</w:t>
      </w:r>
      <w:r>
        <w:rPr>
          <w:rFonts w:ascii="Arial" w:cs="Arial" w:eastAsia="Arial" w:hAnsi="Arial"/>
          <w:sz w:val="16"/>
          <w:szCs w:val="16"/>
          <w:color w:val="auto"/>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Lease and assets related thereto) that is engaged in making, purchasing, funding or otherwise or investing in a diversified portfolio of businesses and companies and is organized primarily for the purpose of making equity investments in companies.</w:t>
      </w:r>
    </w:p>
    <w:p>
      <w:pPr>
        <w:spacing w:after="0" w:line="15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w:t>
      </w:r>
      <w:r>
        <w:rPr>
          <w:rFonts w:ascii="Arial" w:cs="Arial" w:eastAsia="Arial" w:hAnsi="Arial"/>
          <w:sz w:val="18"/>
          <w:szCs w:val="18"/>
          <w:color w:val="auto"/>
        </w:rPr>
        <w:t>”: As defined in Section 1.1(a).</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Landlord</w:t>
      </w:r>
      <w:r>
        <w:rPr>
          <w:rFonts w:ascii="Arial" w:cs="Arial" w:eastAsia="Arial" w:hAnsi="Arial"/>
          <w:sz w:val="18"/>
          <w:szCs w:val="18"/>
          <w:color w:val="auto"/>
        </w:rPr>
        <w:t>”: As defined in the preamble.</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Landlord Approved Capital Improvement</w:t>
      </w:r>
      <w:r>
        <w:rPr>
          <w:rFonts w:ascii="Arial" w:cs="Arial" w:eastAsia="Arial" w:hAnsi="Arial"/>
          <w:sz w:val="18"/>
          <w:szCs w:val="18"/>
          <w:color w:val="auto"/>
        </w:rPr>
        <w:t>”: As defined in Section 10.1(b).</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Landlord Representatives</w:t>
      </w:r>
      <w:r>
        <w:rPr>
          <w:rFonts w:ascii="Arial" w:cs="Arial" w:eastAsia="Arial" w:hAnsi="Arial"/>
          <w:sz w:val="18"/>
          <w:szCs w:val="18"/>
          <w:color w:val="auto"/>
        </w:rPr>
        <w:t>”: As defined in Section 23.4.</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85" w:name="page86"/>
    <w:bookmarkEnd w:id="85"/>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Landlord ROFO Notice</w:t>
      </w:r>
      <w:r>
        <w:rPr>
          <w:rFonts w:ascii="Arial" w:cs="Arial" w:eastAsia="Arial" w:hAnsi="Arial"/>
          <w:sz w:val="18"/>
          <w:szCs w:val="18"/>
          <w:color w:val="auto"/>
        </w:rPr>
        <w:t>”: As defined in Section 18.2.</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Landlord Tax Returns</w:t>
      </w:r>
      <w:r>
        <w:rPr>
          <w:rFonts w:ascii="Arial" w:cs="Arial" w:eastAsia="Arial" w:hAnsi="Arial"/>
          <w:sz w:val="18"/>
          <w:szCs w:val="18"/>
          <w:color w:val="auto"/>
        </w:rPr>
        <w:t>”: As defined in Section 4.1(b).</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Landlord’s Parent</w:t>
      </w:r>
      <w:r>
        <w:rPr>
          <w:rFonts w:ascii="Arial" w:cs="Arial" w:eastAsia="Arial" w:hAnsi="Arial"/>
          <w:sz w:val="18"/>
          <w:szCs w:val="18"/>
          <w:color w:val="auto"/>
        </w:rPr>
        <w:t>”: Realty Income Corporation and its successors and assigns from time to time.</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As defined in the preamble.</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Amendment</w:t>
      </w:r>
      <w:r>
        <w:rPr>
          <w:rFonts w:ascii="Arial" w:cs="Arial" w:eastAsia="Arial" w:hAnsi="Arial"/>
          <w:sz w:val="18"/>
          <w:szCs w:val="18"/>
          <w:color w:val="auto"/>
        </w:rPr>
        <w:t>”: As defined in Section 3.5(b).</w:t>
      </w:r>
    </w:p>
    <w:p>
      <w:pPr>
        <w:spacing w:after="0" w:line="225" w:lineRule="exact"/>
        <w:rPr>
          <w:sz w:val="20"/>
          <w:szCs w:val="20"/>
          <w:color w:val="auto"/>
        </w:rPr>
      </w:pPr>
    </w:p>
    <w:p>
      <w:pPr>
        <w:ind w:right="100"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Year</w:t>
      </w:r>
      <w:r>
        <w:rPr>
          <w:rFonts w:ascii="Arial" w:cs="Arial" w:eastAsia="Arial" w:hAnsi="Arial"/>
          <w:sz w:val="18"/>
          <w:szCs w:val="18"/>
          <w:color w:val="auto"/>
        </w:rPr>
        <w:t>”: The first Lease Year for the Facility shall be the period commencing on the Commencement Date and ending on the last day of the calendar month in which the first (1</w:t>
      </w:r>
      <w:r>
        <w:rPr>
          <w:rFonts w:ascii="Arial" w:cs="Arial" w:eastAsia="Arial" w:hAnsi="Arial"/>
          <w:sz w:val="15"/>
          <w:szCs w:val="15"/>
          <w:color w:val="auto"/>
        </w:rPr>
        <w:t>st</w:t>
      </w:r>
      <w:r>
        <w:rPr>
          <w:rFonts w:ascii="Arial" w:cs="Arial" w:eastAsia="Arial" w:hAnsi="Arial"/>
          <w:sz w:val="18"/>
          <w:szCs w:val="18"/>
          <w:color w:val="auto"/>
        </w:rPr>
        <w:t>) anniversary of the Commencement Date occurs, and each subsequent Lease Year for the Facility shall be each period of twelve (12) full calendar months after the last day of the prior Lease Year.</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Improvements</w:t>
      </w:r>
      <w:r>
        <w:rPr>
          <w:rFonts w:ascii="Arial" w:cs="Arial" w:eastAsia="Arial" w:hAnsi="Arial"/>
          <w:sz w:val="18"/>
          <w:szCs w:val="18"/>
          <w:color w:val="auto"/>
        </w:rPr>
        <w:t>”: As defined in Section 1.1(b).</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Property</w:t>
      </w:r>
      <w:r>
        <w:rPr>
          <w:rFonts w:ascii="Arial" w:cs="Arial" w:eastAsia="Arial" w:hAnsi="Arial"/>
          <w:sz w:val="18"/>
          <w:szCs w:val="18"/>
          <w:color w:val="auto"/>
        </w:rPr>
        <w:t>”: As defined in Section 1.1.</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Leasehold Estate</w:t>
      </w:r>
      <w:r>
        <w:rPr>
          <w:rFonts w:ascii="Arial" w:cs="Arial" w:eastAsia="Arial" w:hAnsi="Arial"/>
          <w:sz w:val="18"/>
          <w:szCs w:val="18"/>
          <w:color w:val="auto"/>
        </w:rPr>
        <w:t>”: As defined in Section 17.1(a).</w:t>
      </w:r>
    </w:p>
    <w:p>
      <w:pPr>
        <w:spacing w:after="0" w:line="225" w:lineRule="exact"/>
        <w:rPr>
          <w:sz w:val="20"/>
          <w:szCs w:val="20"/>
          <w:color w:val="auto"/>
        </w:rPr>
      </w:pPr>
    </w:p>
    <w:p>
      <w:pPr>
        <w:ind w:firstLine="198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Legal Requirements</w:t>
      </w:r>
      <w:r>
        <w:rPr>
          <w:rFonts w:ascii="Arial" w:cs="Arial" w:eastAsia="Arial" w:hAnsi="Arial"/>
          <w:sz w:val="16"/>
          <w:szCs w:val="16"/>
          <w:color w:val="auto"/>
        </w:rPr>
        <w:t>”: All federal, state, county, municipal and other governmental statutes, laws, rules, policies, guidance, codes, orders, regulations, ordinances, permits, licenses, covenants, conditions, restrictions, judgments, decrees and injunctions (including common law, Gaming Regulations and Environmental Laws) affecting either the Leased Property, Tenant’s Property and all Capital Improvements or the construction, use or alteration thereof, whether now or hereafter enacted and in force, including without limitation,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spacing w:after="0" w:line="164" w:lineRule="exact"/>
        <w:rPr>
          <w:sz w:val="20"/>
          <w:szCs w:val="20"/>
          <w:color w:val="auto"/>
        </w:rPr>
      </w:pPr>
    </w:p>
    <w:p>
      <w:pPr>
        <w:ind w:right="40" w:firstLine="198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An irrevocable, unconditional, clean sight draft letter of credit reasonably acceptable to Landlord in favor of Landlord and entitling Landlord to draw thereon based solely on a statement executed by an officer of Landlord stating that it has the right to draw thereon under this Lease in a location in the United States reasonably acceptable to Landlord, issued by a financial institution reasonably acceptable to Landlord, and upon which letter of credit Landlord shall have the right to draw in full: (a) if Landlord has not received at least thirty (30) days prior to the date on which the then outstanding letter of credit is scheduled to expire, a notice from the issuing financial institution that it has renewed the applicable letter of credit; and (b) thirty (30) days prior to the date of termination following receipt of notice from the issuing financial institution that the applicable letter of credit will be terminated.</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Liquor Authority</w:t>
      </w:r>
      <w:r>
        <w:rPr>
          <w:rFonts w:ascii="Arial" w:cs="Arial" w:eastAsia="Arial" w:hAnsi="Arial"/>
          <w:sz w:val="18"/>
          <w:szCs w:val="18"/>
          <w:color w:val="auto"/>
        </w:rPr>
        <w:t>”: As defined in Section 41.13(a).</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Liquor Laws</w:t>
      </w:r>
      <w:r>
        <w:rPr>
          <w:rFonts w:ascii="Arial" w:cs="Arial" w:eastAsia="Arial" w:hAnsi="Arial"/>
          <w:sz w:val="18"/>
          <w:szCs w:val="18"/>
          <w:color w:val="auto"/>
        </w:rPr>
        <w:t>”: As defined in Section 41.13(a).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86" w:name="page87"/>
    <w:bookmarkEnd w:id="86"/>
    <w:p>
      <w:pPr>
        <w:ind w:right="40" w:firstLine="198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Long-Lived Assets</w:t>
      </w:r>
      <w:r>
        <w:rPr>
          <w:rFonts w:ascii="Arial" w:cs="Arial" w:eastAsia="Arial" w:hAnsi="Arial"/>
          <w:sz w:val="18"/>
          <w:szCs w:val="18"/>
          <w:color w:val="auto"/>
        </w:rPr>
        <w:t>”: (i) With respect to property owned by Tenant’s Parent as of the Commencement Date, all property capitalized in accordance with GAAP with an expected life of not less than fifteen (15) years as initially reflected on the books and records of Tenant’s Parent at or about the time of acquisition thereof or (ii) with respect to those assets purchased, replaced or otherwise maintained by Tenant after the Commencement Date, such asset capitalized in accordance with GAAP with an expected life of not less than fifteen (15) years as of or about the time of the acquisition thereof, as classified by Tenant in accordance with GAAP.</w:t>
      </w:r>
    </w:p>
    <w:p>
      <w:pPr>
        <w:spacing w:after="0" w:line="188" w:lineRule="exact"/>
        <w:rPr>
          <w:sz w:val="20"/>
          <w:szCs w:val="20"/>
          <w:color w:val="auto"/>
        </w:rPr>
      </w:pPr>
    </w:p>
    <w:p>
      <w:pPr>
        <w:ind w:right="20"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At any time, Indebtedness of any one or more of the Tenant (and its Subsidiaries) in an aggregate principal amount exceeding twenty percent (20%) of EBITDAR of Tenant (and its Subsidiaries) on a consolidated basis over the most recent Test Period for which financial statements are available.</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Foreseeable Loss</w:t>
      </w:r>
      <w:r>
        <w:rPr>
          <w:rFonts w:ascii="Arial" w:cs="Arial" w:eastAsia="Arial" w:hAnsi="Arial"/>
          <w:sz w:val="18"/>
          <w:szCs w:val="18"/>
          <w:color w:val="auto"/>
        </w:rPr>
        <w:t>”: As defined in Section 13.2.</w:t>
      </w:r>
    </w:p>
    <w:p>
      <w:pPr>
        <w:spacing w:after="0" w:line="225" w:lineRule="exact"/>
        <w:rPr>
          <w:sz w:val="20"/>
          <w:szCs w:val="20"/>
          <w:color w:val="auto"/>
        </w:rPr>
      </w:pPr>
    </w:p>
    <w:p>
      <w:pPr>
        <w:ind w:right="16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With respect to any Person for any period, the net income (or net loss) of that Person and its subsidiaries for such period, on a consolidated basis, determined in accordance with GAAP.</w:t>
      </w:r>
    </w:p>
    <w:p>
      <w:pPr>
        <w:spacing w:after="0" w:line="170" w:lineRule="exact"/>
        <w:rPr>
          <w:sz w:val="20"/>
          <w:szCs w:val="20"/>
          <w:color w:val="auto"/>
        </w:rPr>
      </w:pPr>
    </w:p>
    <w:p>
      <w:pPr>
        <w:ind w:right="58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Revenue</w:t>
      </w:r>
      <w:r>
        <w:rPr>
          <w:rFonts w:ascii="Arial" w:cs="Arial" w:eastAsia="Arial" w:hAnsi="Arial"/>
          <w:sz w:val="18"/>
          <w:szCs w:val="18"/>
          <w:color w:val="auto"/>
        </w:rPr>
        <w:t>”: With respect to any fiscal period, the net revenue derived from the Facility by Tenant or its Affiliates (without duplication) for that period, determined in accordance with GAAP.</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Lease</w:t>
      </w:r>
      <w:r>
        <w:rPr>
          <w:rFonts w:ascii="Arial" w:cs="Arial" w:eastAsia="Arial" w:hAnsi="Arial"/>
          <w:sz w:val="18"/>
          <w:szCs w:val="18"/>
          <w:color w:val="auto"/>
        </w:rPr>
        <w:t>”: As defined in Section 17.1(f).</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A notice given in accordance with Article XXXV.</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As defined in Section 17.1(f).</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As defined in Section 39.1.</w:t>
      </w:r>
    </w:p>
    <w:p>
      <w:pPr>
        <w:spacing w:after="0" w:line="225" w:lineRule="exact"/>
        <w:rPr>
          <w:sz w:val="20"/>
          <w:szCs w:val="20"/>
          <w:color w:val="auto"/>
        </w:rPr>
      </w:pPr>
    </w:p>
    <w:p>
      <w:pPr>
        <w:ind w:right="60" w:firstLine="198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 certificate of Tenant or Landlord, as the case may be, signed by an officer of such party authorized to so sign by resolution of its board of directors or by its sole member or by the terms of its by-laws or operating agreement, as applicable.</w:t>
      </w:r>
    </w:p>
    <w:p>
      <w:pPr>
        <w:spacing w:after="0" w:line="124" w:lineRule="exact"/>
        <w:rPr>
          <w:sz w:val="20"/>
          <w:szCs w:val="20"/>
          <w:color w:val="auto"/>
        </w:rPr>
      </w:pPr>
    </w:p>
    <w:p>
      <w:pPr>
        <w:ind w:right="34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Standard</w:t>
      </w:r>
      <w:r>
        <w:rPr>
          <w:rFonts w:ascii="Arial" w:cs="Arial" w:eastAsia="Arial" w:hAnsi="Arial"/>
          <w:sz w:val="18"/>
          <w:szCs w:val="18"/>
          <w:color w:val="auto"/>
        </w:rPr>
        <w:t>”: Operation of the Leased Property for the Primary Intended Use in a first class manner and at least substantially consistent with past practice.</w:t>
      </w:r>
    </w:p>
    <w:p>
      <w:pPr>
        <w:spacing w:after="0" w:line="170" w:lineRule="exact"/>
        <w:rPr>
          <w:sz w:val="20"/>
          <w:szCs w:val="20"/>
          <w:color w:val="auto"/>
        </w:rPr>
      </w:pPr>
    </w:p>
    <w:p>
      <w:pPr>
        <w:ind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Overdue Rate</w:t>
      </w:r>
      <w:r>
        <w:rPr>
          <w:rFonts w:ascii="Arial" w:cs="Arial" w:eastAsia="Arial" w:hAnsi="Arial"/>
          <w:sz w:val="18"/>
          <w:szCs w:val="18"/>
          <w:color w:val="auto"/>
        </w:rPr>
        <w:t>”: On any date, a rate equal to five (5) percentage points above the Prime Rate, but in no event greater than the maximum rate then permitted under applicable law.</w:t>
      </w:r>
    </w:p>
    <w:p>
      <w:pPr>
        <w:spacing w:after="0" w:line="170" w:lineRule="exact"/>
        <w:rPr>
          <w:sz w:val="20"/>
          <w:szCs w:val="20"/>
          <w:color w:val="auto"/>
        </w:rPr>
      </w:pPr>
    </w:p>
    <w:p>
      <w:pPr>
        <w:ind w:right="260" w:firstLine="198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Company</w:t>
      </w:r>
      <w:r>
        <w:rPr>
          <w:rFonts w:ascii="Arial" w:cs="Arial" w:eastAsia="Arial" w:hAnsi="Arial"/>
          <w:sz w:val="17"/>
          <w:szCs w:val="17"/>
          <w:color w:val="auto"/>
        </w:rPr>
        <w:t>”: With respect to any Qualified Transferee, any Person (other than an Investment Fund) (x) as to which such Qualified Transferee is a Subsidiary; and (y) which is not a Subsidiary of any other Person (other than an Investment Fund).</w:t>
      </w:r>
    </w:p>
    <w:p>
      <w:pPr>
        <w:spacing w:after="0" w:line="146" w:lineRule="exact"/>
        <w:rPr>
          <w:sz w:val="20"/>
          <w:szCs w:val="20"/>
          <w:color w:val="auto"/>
        </w:rPr>
      </w:pPr>
    </w:p>
    <w:p>
      <w:pPr>
        <w:ind w:right="160" w:firstLine="198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Patriot Act Offense</w:t>
      </w:r>
      <w:r>
        <w:rPr>
          <w:rFonts w:ascii="Arial" w:cs="Arial" w:eastAsia="Arial" w:hAnsi="Arial"/>
          <w:sz w:val="16"/>
          <w:szCs w:val="16"/>
          <w:color w:val="auto"/>
        </w:rPr>
        <w:t>”: Any violation of the criminal laws of the United States of America or of any of the several states, or that would be a criminal violation if committed within the jurisdiction of the United States of America or any of the several states, relating to terrorism</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87" w:name="page88"/>
    <w:bookmarkEnd w:id="87"/>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the laundering of monetary instruments, including any offense under (A) the criminal laws against terrorism, (B) the criminal laws against money laundering, (C) the Bank Secrecy Act, as amended, (D) the Money Laundering Control Act of 1986, as amended, or (E) the U.S.A. Patriot Act. “Patriot Act Offense” also includes the crimes of conspiracy to commit, or aiding and abetting another to commit, a Patriot Act Offense.</w:t>
      </w:r>
    </w:p>
    <w:p>
      <w:pPr>
        <w:spacing w:after="0" w:line="165"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Date</w:t>
      </w:r>
      <w:r>
        <w:rPr>
          <w:rFonts w:ascii="Arial" w:cs="Arial" w:eastAsia="Arial" w:hAnsi="Arial"/>
          <w:sz w:val="17"/>
          <w:szCs w:val="17"/>
          <w:color w:val="auto"/>
        </w:rPr>
        <w:t>”: Any due date for the payment of the installments of Rent or any other sums payable under this Lease.</w:t>
      </w:r>
    </w:p>
    <w:p>
      <w:pPr>
        <w:spacing w:after="0" w:line="23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Capital Improvement</w:t>
      </w:r>
      <w:r>
        <w:rPr>
          <w:rFonts w:ascii="Arial" w:cs="Arial" w:eastAsia="Arial" w:hAnsi="Arial"/>
          <w:sz w:val="18"/>
          <w:szCs w:val="18"/>
          <w:color w:val="auto"/>
        </w:rPr>
        <w:t>”: As defined in Section 10.1(a).</w:t>
      </w:r>
    </w:p>
    <w:p>
      <w:pPr>
        <w:spacing w:after="0" w:line="225"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Leasehold Mortgage</w:t>
      </w:r>
      <w:r>
        <w:rPr>
          <w:rFonts w:ascii="Arial" w:cs="Arial" w:eastAsia="Arial" w:hAnsi="Arial"/>
          <w:sz w:val="18"/>
          <w:szCs w:val="18"/>
          <w:color w:val="auto"/>
        </w:rPr>
        <w:t>”: A document creating or evidencing an encumbrance on Tenant’s leasehold interest (or a subtenant’s subleasehold interest) in the Leased Property, granted to or for the benefit of a Permitted Leasehold Mortgagee as security for the obligations under a Debt Agreement.</w:t>
      </w:r>
    </w:p>
    <w:p>
      <w:pPr>
        <w:spacing w:after="0" w:line="184" w:lineRule="exact"/>
        <w:rPr>
          <w:sz w:val="20"/>
          <w:szCs w:val="20"/>
          <w:color w:val="auto"/>
        </w:rPr>
      </w:pPr>
    </w:p>
    <w:p>
      <w:pPr>
        <w:ind w:right="20" w:firstLine="198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Leasehold Mortgagee</w:t>
      </w:r>
      <w:r>
        <w:rPr>
          <w:rFonts w:ascii="Arial" w:cs="Arial" w:eastAsia="Arial" w:hAnsi="Arial"/>
          <w:sz w:val="17"/>
          <w:szCs w:val="17"/>
          <w:color w:val="auto"/>
        </w:rPr>
        <w:t xml:space="preserve">”: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lender, agent or trustee or similar representative (but not necessarily the lenders, noteholders or other investors which it represents) is a banking or other financial institution in the business of generally acting as a lender, agent or trustee or similar representative (in each case, on behalf of a group of lenders) under debt agreements or instruments similar to the Debt Agreement. [For the avoidance of doubt, the Collateral Agent is a Permitted Leasehold Mortgagee.]</w:t>
      </w:r>
    </w:p>
    <w:p>
      <w:pPr>
        <w:spacing w:after="0" w:line="178" w:lineRule="exact"/>
        <w:rPr>
          <w:sz w:val="20"/>
          <w:szCs w:val="20"/>
          <w:color w:val="auto"/>
        </w:rPr>
      </w:pPr>
    </w:p>
    <w:p>
      <w:pPr>
        <w:ind w:right="240" w:firstLine="198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Leasehold Mortgagee Designee</w:t>
      </w:r>
      <w:r>
        <w:rPr>
          <w:rFonts w:ascii="Arial" w:cs="Arial" w:eastAsia="Arial" w:hAnsi="Arial"/>
          <w:sz w:val="16"/>
          <w:szCs w:val="16"/>
          <w:color w:val="auto"/>
        </w:rPr>
        <w:t>”: An entity designated by a Permitted Leasehold Mortgagee and acting for the benefit of the Permitted Leasehold Mortgagee, or the lenders, noteholders or investors represented by the Permitted Leasehold Mortgagee.</w:t>
      </w:r>
    </w:p>
    <w:p>
      <w:pPr>
        <w:spacing w:after="0" w:line="124" w:lineRule="exact"/>
        <w:rPr>
          <w:sz w:val="20"/>
          <w:szCs w:val="20"/>
          <w:color w:val="auto"/>
        </w:rPr>
      </w:pPr>
    </w:p>
    <w:p>
      <w:pPr>
        <w:ind w:right="260"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Leasehold Mortgagee Foreclosing Party</w:t>
      </w:r>
      <w:r>
        <w:rPr>
          <w:rFonts w:ascii="Arial" w:cs="Arial" w:eastAsia="Arial" w:hAnsi="Arial"/>
          <w:sz w:val="18"/>
          <w:szCs w:val="18"/>
          <w:color w:val="auto"/>
        </w:rPr>
        <w:t>”: A Permitted Leasehold Mortgagee that forecloses on this Lease and assumes this Lease or a Subsidiary of a Permitted Leasehold Mortgagee that assumes this Lease in connection with a foreclosure on this Lease by a Permitted Leasehold Mortgagee.</w:t>
      </w:r>
    </w:p>
    <w:p>
      <w:pPr>
        <w:spacing w:after="0" w:line="184" w:lineRule="exact"/>
        <w:rPr>
          <w:sz w:val="20"/>
          <w:szCs w:val="20"/>
          <w:color w:val="auto"/>
        </w:rPr>
      </w:pPr>
    </w:p>
    <w:p>
      <w:pPr>
        <w:ind w:right="280" w:firstLine="198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or “</w:t>
      </w:r>
      <w:r>
        <w:rPr>
          <w:rFonts w:ascii="Arial" w:cs="Arial" w:eastAsia="Arial" w:hAnsi="Arial"/>
          <w:sz w:val="17"/>
          <w:szCs w:val="17"/>
          <w:u w:val="single" w:color="auto"/>
          <w:color w:val="auto"/>
        </w:rPr>
        <w:t>person</w:t>
      </w:r>
      <w:r>
        <w:rPr>
          <w:rFonts w:ascii="Arial" w:cs="Arial" w:eastAsia="Arial" w:hAnsi="Arial"/>
          <w:sz w:val="17"/>
          <w:szCs w:val="17"/>
          <w:color w:val="auto"/>
        </w:rPr>
        <w:t>”: Any individual, corporation, limited liability company, partnership, joint venture, association, joint stock company, trust, unincorporated organization, government or any agency or political subdivision thereof or any other form of entity.</w:t>
      </w:r>
    </w:p>
    <w:p>
      <w:pPr>
        <w:spacing w:after="0" w:line="146" w:lineRule="exact"/>
        <w:rPr>
          <w:sz w:val="20"/>
          <w:szCs w:val="20"/>
          <w:color w:val="auto"/>
        </w:rPr>
      </w:pPr>
    </w:p>
    <w:p>
      <w:pPr>
        <w:ind w:right="20" w:firstLine="198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PILOT and Community Documents</w:t>
      </w:r>
      <w:r>
        <w:rPr>
          <w:rFonts w:ascii="Arial" w:cs="Arial" w:eastAsia="Arial" w:hAnsi="Arial"/>
          <w:sz w:val="17"/>
          <w:szCs w:val="17"/>
          <w:color w:val="auto"/>
        </w:rPr>
        <w:t>” That certain: (i) Agreement Between The City of Everett and EBH MA Property, LLC Pursuant to Chapter 121A, Section 6A of the Massachusetts General Laws dated June 26, 2019, (ii) Agreement Between The Department of Housing and Community Development and EBH MA Property, LLC Pursuant to M.G.L. c. 121A, Section 18C dated July 25, 2019, and (iii) Host Community Agreement By and Between the City of Everett, Massachusetts and Wynn MA, LLC dated April 19, 2013, each as amended.</w:t>
      </w:r>
    </w:p>
    <w:p>
      <w:pPr>
        <w:spacing w:after="0" w:line="171" w:lineRule="exact"/>
        <w:rPr>
          <w:sz w:val="20"/>
          <w:szCs w:val="20"/>
          <w:color w:val="auto"/>
        </w:rPr>
      </w:pPr>
    </w:p>
    <w:p>
      <w:pPr>
        <w:ind w:right="8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Pre-Opening Expense</w:t>
      </w:r>
      <w:r>
        <w:rPr>
          <w:rFonts w:ascii="Arial" w:cs="Arial" w:eastAsia="Arial" w:hAnsi="Arial"/>
          <w:sz w:val="18"/>
          <w:szCs w:val="18"/>
          <w:color w:val="auto"/>
        </w:rPr>
        <w:t>”: With respect to any fiscal period, the amount of expenses (including consolidated interest expense) incurred with respect to capital projects which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appropriately classified as “pre-opening expenses” on the applicable financial statements of Tenant’s Parent and its Subsidiaries for such period.</w:t>
      </w:r>
    </w:p>
    <w:p>
      <w:pPr>
        <w:spacing w:after="0" w:line="237" w:lineRule="exact"/>
        <w:rPr>
          <w:sz w:val="20"/>
          <w:szCs w:val="20"/>
          <w:color w:val="auto"/>
        </w:rPr>
      </w:pPr>
    </w:p>
    <w:p>
      <w:pPr>
        <w:ind w:right="80" w:firstLine="198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Intended Use</w:t>
      </w:r>
      <w:r>
        <w:rPr>
          <w:rFonts w:ascii="Arial" w:cs="Arial" w:eastAsia="Arial" w:hAnsi="Arial"/>
          <w:sz w:val="18"/>
          <w:szCs w:val="18"/>
          <w:color w:val="auto"/>
        </w:rPr>
        <w:t>”: Use as a “Gaming Establishment” as defined under the City of Everett Zoning Ordinance, which may include a gaming area and any other nongaming uses such as hotels, restaurants, retail, bars, meeting areas, health club, spa, indoor or outdoor entertainment areas, live entertainment, active or passive recreation areas, waterfront uses or any other use allowed by right or special permit under the Zoning Ordinance.</w:t>
      </w:r>
    </w:p>
    <w:p>
      <w:pPr>
        <w:spacing w:after="0" w:line="187" w:lineRule="exact"/>
        <w:rPr>
          <w:sz w:val="20"/>
          <w:szCs w:val="20"/>
          <w:color w:val="auto"/>
        </w:rPr>
      </w:pPr>
    </w:p>
    <w:p>
      <w:pPr>
        <w:ind w:right="60" w:firstLine="198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spacing w:after="0" w:line="17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As defined in Section 23.1(b)(v).</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Persons</w:t>
      </w:r>
      <w:r>
        <w:rPr>
          <w:rFonts w:ascii="Arial" w:cs="Arial" w:eastAsia="Arial" w:hAnsi="Arial"/>
          <w:sz w:val="18"/>
          <w:szCs w:val="18"/>
          <w:color w:val="auto"/>
        </w:rPr>
        <w:t>”: As defined in Section 39.1.</w:t>
      </w:r>
    </w:p>
    <w:p>
      <w:pPr>
        <w:spacing w:after="0" w:line="225" w:lineRule="exact"/>
        <w:rPr>
          <w:sz w:val="20"/>
          <w:szCs w:val="20"/>
          <w:color w:val="auto"/>
        </w:rPr>
      </w:pPr>
    </w:p>
    <w:p>
      <w:pPr>
        <w:ind w:firstLine="198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 Documents</w:t>
      </w:r>
      <w:r>
        <w:rPr>
          <w:rFonts w:ascii="Arial" w:cs="Arial" w:eastAsia="Arial" w:hAnsi="Arial"/>
          <w:sz w:val="18"/>
          <w:szCs w:val="18"/>
          <w:color w:val="auto"/>
        </w:rPr>
        <w:t xml:space="preserve">”: Reciprocal easement and/or operating agreements, easements, covenants, exceptions, conditions and restrictions in each case affecting the Leased Property or any portion thereof (i) that are listed on the title policies obtained on or about the Commencement Date, including, the documents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or (ii) made after the date hereof in accordance with the terms of this Lease, but excluding, in any event, all Facility Mortgage Documents.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As defined in recital B.</w:t>
      </w:r>
    </w:p>
    <w:p>
      <w:pPr>
        <w:spacing w:after="0" w:line="225" w:lineRule="exact"/>
        <w:rPr>
          <w:sz w:val="20"/>
          <w:szCs w:val="20"/>
          <w:color w:val="auto"/>
        </w:rPr>
      </w:pPr>
    </w:p>
    <w:p>
      <w:pPr>
        <w:ind w:right="60" w:firstLine="198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CapEx</w:t>
      </w:r>
      <w:r>
        <w:rPr>
          <w:rFonts w:ascii="Arial" w:cs="Arial" w:eastAsia="Arial" w:hAnsi="Arial"/>
          <w:sz w:val="18"/>
          <w:szCs w:val="18"/>
          <w:color w:val="auto"/>
        </w:rPr>
        <w:t>”: Expenditures relating to the installation or restoration of Capital Improvements or FF&amp;E with respect to the Leased Property, which shall (x) exclude any costs incurred that (A) are related to ordinary course maintenance and repairs and not capitalized in accordance with GAAP, (B) are included in operating expenses, determined in accordance with GAAP, consistently applied, (C) relate to Permitted Leasehold Mortgages, purchase money financing, equipment financing, equipment lease, or financing secured by liens on Capital Improvements or FF&amp;E, or (D) would constitute capitalized interest, and (y) be limited to costs which are with third parties dealing at arms’ length or with Affiliates dealing on arms’ length terms (with any costs paid to Affiliates not exceeding market rates) and capitalized in accordance with GAAP, consistently applied.</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Successor Tenant</w:t>
      </w:r>
      <w:r>
        <w:rPr>
          <w:rFonts w:ascii="Arial" w:cs="Arial" w:eastAsia="Arial" w:hAnsi="Arial"/>
          <w:sz w:val="18"/>
          <w:szCs w:val="18"/>
          <w:color w:val="auto"/>
        </w:rPr>
        <w:t>”: As defined in Section 36.2.</w:t>
      </w:r>
    </w:p>
    <w:p>
      <w:pPr>
        <w:spacing w:after="0" w:line="225" w:lineRule="exact"/>
        <w:rPr>
          <w:sz w:val="20"/>
          <w:szCs w:val="20"/>
          <w:color w:val="auto"/>
        </w:rPr>
      </w:pPr>
    </w:p>
    <w:p>
      <w:pPr>
        <w:ind w:right="20" w:firstLine="198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Transferee</w:t>
      </w:r>
      <w:r>
        <w:rPr>
          <w:rFonts w:ascii="Arial" w:cs="Arial" w:eastAsia="Arial" w:hAnsi="Arial"/>
          <w:sz w:val="17"/>
          <w:szCs w:val="17"/>
          <w:color w:val="auto"/>
        </w:rPr>
        <w:t xml:space="preserve">”: A Person that, together with each Affiliate that executes a Guaranty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and each of its subsidiaries, (A) has revenues derived from hotels and/or facilities for gaming and, in each case, together with retail locations, restaurants, bars, spas, entertainment venues, and other related facilities, services and amenities related thereto, in accordance with GAAP, of not less than One Billion and No/100 Dollars ($1,000,000,000.00) per year for each of the preceding five (5) years as of the date of</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89" w:name="page90"/>
    <w:bookmarkEnd w:id="89"/>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determination, (B) leases, operates or manages at least one resort (exclusive of the Leased Property) which resort satisfies the following criteria: it has at least 650 rooms and casino operations of at least 200,000 square feet of gaming area, 2,500 slots and 150 gaming tables, and (C) (x) has an investment grade credit rating from a nationally recognized rating agency with respect to such entity’s long term, unsecured debt or (y) has an Indebtedness to EBITDA Ratio of less than 8:1 on a pro forma basis based on projected earnings and after giving effect to the proposed transaction. At the time of appointment, such Person (a) shall not be subject to a bankruptcy, insolvency or similar proceeding, (b) shall have never been convicted of, or pled guilty or no contest to, a Patriot Act Offense and shall not be on any Government List, (c) shall not be, and shall not be controlled by, a Prohibited Person or a person that has been found “unsuitable,” for any reason, by any applicable Gaming Authority and (d) shall have all material required licenses and approvals required under applicable law (including Gaming Regulations), including all required Gaming Licenses to own and operate the Facility. Notwithstanding the foregoing, a Permitted Leasehold Mortgagee Foreclosing Party shall constitute a Qualified Transferee; provided, however, in the event of a transfer to a Permitted Leasehold Mortgagee that does not constitute a Qualified Transferee but for this sentence, then Tenant shall not be released from this Lease as a result of such transfer.</w:t>
      </w:r>
    </w:p>
    <w:p>
      <w:pPr>
        <w:spacing w:after="0" w:line="182" w:lineRule="exact"/>
        <w:rPr>
          <w:sz w:val="20"/>
          <w:szCs w:val="20"/>
          <w:color w:val="auto"/>
        </w:rPr>
      </w:pPr>
    </w:p>
    <w:p>
      <w:pPr>
        <w:ind w:right="30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Persons</w:t>
      </w:r>
      <w:r>
        <w:rPr>
          <w:rFonts w:ascii="Arial" w:cs="Arial" w:eastAsia="Arial" w:hAnsi="Arial"/>
          <w:sz w:val="18"/>
          <w:szCs w:val="18"/>
          <w:color w:val="auto"/>
        </w:rPr>
        <w:t>”: With respect to a party, such party’s Affiliates and Subsidiaries and the directors, officers, employees, agents, advisors and controlling persons of such party and its Affiliates and Subsidiaries.</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Remediation</w:t>
      </w:r>
      <w:r>
        <w:rPr>
          <w:rFonts w:ascii="Arial" w:cs="Arial" w:eastAsia="Arial" w:hAnsi="Arial"/>
          <w:sz w:val="18"/>
          <w:szCs w:val="18"/>
          <w:color w:val="auto"/>
        </w:rPr>
        <w:t>” and “</w:t>
      </w:r>
      <w:r>
        <w:rPr>
          <w:rFonts w:ascii="Arial" w:cs="Arial" w:eastAsia="Arial" w:hAnsi="Arial"/>
          <w:sz w:val="18"/>
          <w:szCs w:val="18"/>
          <w:u w:val="single" w:color="auto"/>
          <w:color w:val="auto"/>
        </w:rPr>
        <w:t>Remediate</w:t>
      </w:r>
      <w:r>
        <w:rPr>
          <w:rFonts w:ascii="Arial" w:cs="Arial" w:eastAsia="Arial" w:hAnsi="Arial"/>
          <w:sz w:val="18"/>
          <w:szCs w:val="18"/>
          <w:color w:val="auto"/>
        </w:rPr>
        <w:t>”: As defined in Section 32.3.</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Renewal Notice</w:t>
      </w:r>
      <w:r>
        <w:rPr>
          <w:rFonts w:ascii="Arial" w:cs="Arial" w:eastAsia="Arial" w:hAnsi="Arial"/>
          <w:sz w:val="18"/>
          <w:szCs w:val="18"/>
          <w:color w:val="auto"/>
        </w:rPr>
        <w:t>”: As defined in Section 1.4.</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Renewal Term</w:t>
      </w:r>
      <w:r>
        <w:rPr>
          <w:rFonts w:ascii="Arial" w:cs="Arial" w:eastAsia="Arial" w:hAnsi="Arial"/>
          <w:sz w:val="18"/>
          <w:szCs w:val="18"/>
          <w:color w:val="auto"/>
        </w:rPr>
        <w:t>”: A period for which the Term is renewed in accordance with Section 1.4.</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86" w:lineRule="auto"/>
        <w:tabs>
          <w:tab w:leader="none" w:pos="1243"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During the Term, an annual amount equal to One Hundred Million and 00/100 Dollars ($100,000,000);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on the first day of the second (2</w:t>
      </w:r>
      <w:r>
        <w:rPr>
          <w:rFonts w:ascii="Arial" w:cs="Arial" w:eastAsia="Arial" w:hAnsi="Arial"/>
          <w:sz w:val="14"/>
          <w:szCs w:val="14"/>
          <w:color w:val="auto"/>
        </w:rPr>
        <w:t>nd</w:t>
      </w:r>
      <w:r>
        <w:rPr>
          <w:rFonts w:ascii="Arial" w:cs="Arial" w:eastAsia="Arial" w:hAnsi="Arial"/>
          <w:sz w:val="17"/>
          <w:szCs w:val="17"/>
          <w:color w:val="auto"/>
        </w:rPr>
        <w:t>) Lease Year and on each anniversary thereafter (each a “</w:t>
      </w:r>
      <w:r>
        <w:rPr>
          <w:rFonts w:ascii="Arial" w:cs="Arial" w:eastAsia="Arial" w:hAnsi="Arial"/>
          <w:sz w:val="17"/>
          <w:szCs w:val="17"/>
          <w:b w:val="1"/>
          <w:bCs w:val="1"/>
          <w:color w:val="auto"/>
        </w:rPr>
        <w:t>Rent Adjustment Date</w:t>
      </w:r>
      <w:r>
        <w:rPr>
          <w:rFonts w:ascii="Arial" w:cs="Arial" w:eastAsia="Arial" w:hAnsi="Arial"/>
          <w:sz w:val="17"/>
          <w:szCs w:val="17"/>
          <w:color w:val="auto"/>
        </w:rPr>
        <w:t>”), the Rent then in effect shall be increased to an amount equal to the sum of (i) the Rent for the immediately preceding Lease Year and (ii) the Escalation.</w:t>
      </w:r>
    </w:p>
    <w:p>
      <w:pPr>
        <w:spacing w:after="0" w:line="57" w:lineRule="exact"/>
        <w:rPr>
          <w:rFonts w:ascii="Arial" w:cs="Arial" w:eastAsia="Arial" w:hAnsi="Arial"/>
          <w:sz w:val="17"/>
          <w:szCs w:val="17"/>
          <w:color w:val="auto"/>
        </w:rPr>
      </w:pPr>
    </w:p>
    <w:p>
      <w:pPr>
        <w:ind w:left="440" w:right="460" w:firstLine="419"/>
        <w:spacing w:after="0" w:line="263" w:lineRule="auto"/>
        <w:tabs>
          <w:tab w:leader="none" w:pos="12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applicable during the Term, Rent shall be increased pursuant to (i) Section 10.3 in respect of Capital Improvements funded by Landlord and (ii) Section 3.5 in respect of Tenant’s exercise of the Expansion Option, which increases shall, in each case, be subject to the Escalations provided in the foregoing clause (a).</w:t>
      </w:r>
    </w:p>
    <w:p>
      <w:pPr>
        <w:spacing w:after="0" w:line="184" w:lineRule="exact"/>
        <w:rPr>
          <w:sz w:val="20"/>
          <w:szCs w:val="20"/>
          <w:color w:val="auto"/>
        </w:rPr>
      </w:pPr>
    </w:p>
    <w:p>
      <w:pPr>
        <w:ind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With respect to the lenders or holders under a Debt Agreement, a Person designated as agent or trustee or a Person acting in a similar capacity or as representative for such lenders or 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90" w:name="page91"/>
    <w:bookmarkEnd w:id="90"/>
    <w:p>
      <w:pPr>
        <w:ind w:right="200" w:firstLine="198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Required CapEx</w:t>
      </w:r>
      <w:r>
        <w:rPr>
          <w:rFonts w:ascii="Arial" w:cs="Arial" w:eastAsia="Arial" w:hAnsi="Arial"/>
          <w:sz w:val="18"/>
          <w:szCs w:val="18"/>
          <w:color w:val="auto"/>
        </w:rPr>
        <w:t>”: An aggregate amount of Qualifying CapEx spent during the applicable CapEx Testing Period equal to the product of (x) 3% and (y) the actual Net Revenue during such CapEx Testing Period.</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CapEx Funding Deadline</w:t>
      </w:r>
      <w:r>
        <w:rPr>
          <w:rFonts w:ascii="Arial" w:cs="Arial" w:eastAsia="Arial" w:hAnsi="Arial"/>
          <w:sz w:val="18"/>
          <w:szCs w:val="18"/>
          <w:color w:val="auto"/>
        </w:rPr>
        <w:t>”: As defined in Section 9.1(e)(ii).</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Control Trigger Period</w:t>
      </w:r>
      <w:r>
        <w:rPr>
          <w:rFonts w:ascii="Arial" w:cs="Arial" w:eastAsia="Arial" w:hAnsi="Arial"/>
          <w:sz w:val="18"/>
          <w:szCs w:val="18"/>
          <w:color w:val="auto"/>
        </w:rPr>
        <w:t>”: The period during which an Event of Default has occurred and is continuing.</w:t>
      </w:r>
    </w:p>
    <w:p>
      <w:pPr>
        <w:spacing w:after="0" w:line="225" w:lineRule="exact"/>
        <w:rPr>
          <w:sz w:val="20"/>
          <w:szCs w:val="20"/>
          <w:color w:val="auto"/>
        </w:rPr>
      </w:pPr>
    </w:p>
    <w:p>
      <w:pPr>
        <w:ind w:right="180"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Tenant’s Parent’s chief executive officer, chief operating officer, treasurer, assistant treasurer, secretary, assistant secretary, executive vice presidents and senior vice presidents and, regardless of designation, the chief financial officer of Tenant’s Parent, provided, that Tenant’s Parent may designate one or more other officers as Responsible Officers.</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Information</w:t>
      </w:r>
      <w:r>
        <w:rPr>
          <w:rFonts w:ascii="Arial" w:cs="Arial" w:eastAsia="Arial" w:hAnsi="Arial"/>
          <w:sz w:val="18"/>
          <w:szCs w:val="18"/>
          <w:color w:val="auto"/>
        </w:rPr>
        <w:t>”: As defined in Section 23.1(c).</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Reserve Accounts</w:t>
      </w:r>
      <w:r>
        <w:rPr>
          <w:rFonts w:ascii="Arial" w:cs="Arial" w:eastAsia="Arial" w:hAnsi="Arial"/>
          <w:sz w:val="18"/>
          <w:szCs w:val="18"/>
          <w:color w:val="auto"/>
        </w:rPr>
        <w:t>”: As defined in Section 9.2(d).</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United States Securities and Exchange Commission.</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The Securities Act of 1933, as amended, or any successor statute, and the rules and regulations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promulgated thereunder.</w:t>
      </w:r>
    </w:p>
    <w:p>
      <w:pPr>
        <w:spacing w:after="0" w:line="211"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Debt Agreement Default</w:t>
      </w:r>
      <w:r>
        <w:rPr>
          <w:rFonts w:ascii="Arial" w:cs="Arial" w:eastAsia="Arial" w:hAnsi="Arial"/>
          <w:sz w:val="18"/>
          <w:szCs w:val="18"/>
          <w:color w:val="auto"/>
        </w:rPr>
        <w:t>”: Any event or occurrence under a Debt Agreement or Material Indebtedness that enables or permits the lenders or holders (or Representatives of such lenders or holders) to accelerate the maturity of the Indebtedness outstanding under a Debt Agreement or Material Indebtedness.</w:t>
      </w:r>
    </w:p>
    <w:p>
      <w:pPr>
        <w:spacing w:after="0" w:line="184" w:lineRule="exact"/>
        <w:rPr>
          <w:sz w:val="20"/>
          <w:szCs w:val="20"/>
          <w:color w:val="auto"/>
        </w:rPr>
      </w:pPr>
    </w:p>
    <w:p>
      <w:pPr>
        <w:ind w:right="100" w:firstLine="198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Sublease</w:t>
      </w:r>
      <w:r>
        <w:rPr>
          <w:rFonts w:ascii="Arial" w:cs="Arial" w:eastAsia="Arial" w:hAnsi="Arial"/>
          <w:sz w:val="17"/>
          <w:szCs w:val="17"/>
          <w:color w:val="auto"/>
        </w:rPr>
        <w:t xml:space="preserve">”: Any lease in effect on the Commencement Date constituting part of the Leased Property with respect to which Tenant is a sublessor, substantially as in effect on the Commencement Date, a list of which is attached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w:t>
      </w:r>
    </w:p>
    <w:p>
      <w:pPr>
        <w:spacing w:after="0" w:line="146" w:lineRule="exact"/>
        <w:rPr>
          <w:sz w:val="20"/>
          <w:szCs w:val="20"/>
          <w:color w:val="auto"/>
        </w:rPr>
      </w:pPr>
    </w:p>
    <w:p>
      <w:pPr>
        <w:ind w:right="60" w:firstLine="198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As to any Person, (i) any corporation more than fifty percent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of determination owned by such Person and/or one or more Subsidiaries of such Person, and (ii) any partnership, limited liability company, association, joint venture or other entity in which such person and/or one or more Subsidiaries of such person has more than a fifty percent (50%) equity interest at the time of determination. Unless otherwise qualified, all references to a “Subsidiary” or to “Subsidiaries” in this Lease shall refer to a Subsidiary or Subsidiaries of Tenant.</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Tenant</w:t>
      </w:r>
      <w:r>
        <w:rPr>
          <w:rFonts w:ascii="Arial" w:cs="Arial" w:eastAsia="Arial" w:hAnsi="Arial"/>
          <w:sz w:val="18"/>
          <w:szCs w:val="18"/>
          <w:color w:val="auto"/>
        </w:rPr>
        <w:t>”: As defined in Section 36.1.</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Tenant Rent</w:t>
      </w:r>
      <w:r>
        <w:rPr>
          <w:rFonts w:ascii="Arial" w:cs="Arial" w:eastAsia="Arial" w:hAnsi="Arial"/>
          <w:sz w:val="18"/>
          <w:szCs w:val="18"/>
          <w:color w:val="auto"/>
        </w:rPr>
        <w:t>”: As defined in Section 36.2.</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Taking</w:t>
      </w:r>
      <w:r>
        <w:rPr>
          <w:rFonts w:ascii="Arial" w:cs="Arial" w:eastAsia="Arial" w:hAnsi="Arial"/>
          <w:sz w:val="18"/>
          <w:szCs w:val="18"/>
          <w:color w:val="auto"/>
        </w:rPr>
        <w:t>”: As defined in Section 15.1(a).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91" w:name="page92"/>
    <w:bookmarkEnd w:id="91"/>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Tenant</w:t>
      </w:r>
      <w:r>
        <w:rPr>
          <w:rFonts w:ascii="Arial" w:cs="Arial" w:eastAsia="Arial" w:hAnsi="Arial"/>
          <w:sz w:val="18"/>
          <w:szCs w:val="18"/>
          <w:color w:val="auto"/>
        </w:rPr>
        <w:t>”: As defined in the preamble.</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 Capital Improvement</w:t>
      </w:r>
      <w:r>
        <w:rPr>
          <w:rFonts w:ascii="Arial" w:cs="Arial" w:eastAsia="Arial" w:hAnsi="Arial"/>
          <w:sz w:val="16"/>
          <w:szCs w:val="16"/>
          <w:color w:val="auto"/>
        </w:rPr>
        <w:t>”: A Capital Improvement funded by Tenant and not reimbursed by Landlord, in each case,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after the Effective Date.</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 COC</w:t>
      </w:r>
      <w:r>
        <w:rPr>
          <w:rFonts w:ascii="Arial" w:cs="Arial" w:eastAsia="Arial" w:hAnsi="Arial"/>
          <w:sz w:val="18"/>
          <w:szCs w:val="18"/>
          <w:color w:val="auto"/>
        </w:rPr>
        <w:t>”: As defined in Section 22.2(iii).</w:t>
      </w:r>
    </w:p>
    <w:p>
      <w:pPr>
        <w:spacing w:after="0" w:line="225" w:lineRule="exact"/>
        <w:rPr>
          <w:sz w:val="20"/>
          <w:szCs w:val="20"/>
          <w:color w:val="auto"/>
        </w:rPr>
      </w:pPr>
    </w:p>
    <w:p>
      <w:pPr>
        <w:ind w:right="120" w:firstLine="198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Tenant Competitor</w:t>
      </w:r>
      <w:r>
        <w:rPr>
          <w:rFonts w:ascii="Arial" w:cs="Arial" w:eastAsia="Arial" w:hAnsi="Arial"/>
          <w:sz w:val="17"/>
          <w:szCs w:val="17"/>
          <w:color w:val="auto"/>
        </w:rPr>
        <w:t>”: A Person or Affiliate of any Person (other than an Affiliate of Tenant) which operates, leases (as tenant) or manages facilities at which gaming operations are conducted; provided, that notwithstanding anything to the contrary contained herein, “Tenant Competitor” shall not include (x) commercial or corporate banks, pension funds, mutual funds, and any other funds that are managed or controlled by a commercial or corporate banks which funds principally invest in commercial loans or debt securities, or (y) any real estate investment trust or investment vehicle, or other similar entity whose business or investments primarily includes acting as a landlord of properties under long-term triple net leases (which, for the avoidance of doubt may include other Gaming Facilities).</w:t>
      </w:r>
    </w:p>
    <w:p>
      <w:pPr>
        <w:spacing w:after="0" w:line="17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 Parent COC</w:t>
      </w:r>
      <w:r>
        <w:rPr>
          <w:rFonts w:ascii="Arial" w:cs="Arial" w:eastAsia="Arial" w:hAnsi="Arial"/>
          <w:sz w:val="18"/>
          <w:szCs w:val="18"/>
          <w:color w:val="auto"/>
        </w:rPr>
        <w:t>”: As defined in Section 22.2(iii).</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 FF&amp;E</w:t>
      </w:r>
      <w:r>
        <w:rPr>
          <w:rFonts w:ascii="Arial" w:cs="Arial" w:eastAsia="Arial" w:hAnsi="Arial"/>
          <w:sz w:val="18"/>
          <w:szCs w:val="18"/>
          <w:color w:val="auto"/>
        </w:rPr>
        <w:t>”: FF&amp;E owned by Tenant other than Excluded Art.</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 Representatives</w:t>
      </w:r>
      <w:r>
        <w:rPr>
          <w:rFonts w:ascii="Arial" w:cs="Arial" w:eastAsia="Arial" w:hAnsi="Arial"/>
          <w:sz w:val="18"/>
          <w:szCs w:val="18"/>
          <w:color w:val="auto"/>
        </w:rPr>
        <w:t>”: As defined in Section 23.4.</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 ROFO</w:t>
      </w:r>
      <w:r>
        <w:rPr>
          <w:rFonts w:ascii="Arial" w:cs="Arial" w:eastAsia="Arial" w:hAnsi="Arial"/>
          <w:sz w:val="18"/>
          <w:szCs w:val="18"/>
          <w:color w:val="auto"/>
        </w:rPr>
        <w:t>”: As defined in Section 18.2.</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 ROFO Acceptance</w:t>
      </w:r>
      <w:r>
        <w:rPr>
          <w:rFonts w:ascii="Arial" w:cs="Arial" w:eastAsia="Arial" w:hAnsi="Arial"/>
          <w:sz w:val="18"/>
          <w:szCs w:val="18"/>
          <w:color w:val="auto"/>
        </w:rPr>
        <w:t>”: As defined in Section 18.2.</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Tenant’s Parent</w:t>
      </w:r>
      <w:r>
        <w:rPr>
          <w:rFonts w:ascii="Arial" w:cs="Arial" w:eastAsia="Arial" w:hAnsi="Arial"/>
          <w:sz w:val="16"/>
          <w:szCs w:val="16"/>
          <w:color w:val="auto"/>
        </w:rPr>
        <w:t>”: Wynn Resorts Finance, LLC, a Nevada limited liability company, and any permitted successor thereto.</w:t>
      </w:r>
    </w:p>
    <w:p>
      <w:pPr>
        <w:spacing w:after="0" w:line="248" w:lineRule="exact"/>
        <w:rPr>
          <w:sz w:val="20"/>
          <w:szCs w:val="20"/>
          <w:color w:val="auto"/>
        </w:rPr>
      </w:pPr>
    </w:p>
    <w:p>
      <w:pPr>
        <w:jc w:val="both"/>
        <w:ind w:firstLine="198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Tenant’s Property</w:t>
      </w:r>
      <w:r>
        <w:rPr>
          <w:rFonts w:ascii="Arial" w:cs="Arial" w:eastAsia="Arial" w:hAnsi="Arial"/>
          <w:sz w:val="17"/>
          <w:szCs w:val="17"/>
          <w:color w:val="auto"/>
        </w:rPr>
        <w:t>”: With respect to the Facility, all assets of Tenant (other than the Leased Property and property owned by a third party) primarily related to or used in connection with the operation of the business conducted on or about the Leased Property, including Tenant FF&amp;E and the Gaming Equipment, together with all replacements, modifications, additions, alterations and substitutes therefor.</w:t>
      </w:r>
    </w:p>
    <w:p>
      <w:pPr>
        <w:spacing w:after="0" w:line="16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Work</w:t>
      </w:r>
      <w:r>
        <w:rPr>
          <w:rFonts w:ascii="Arial" w:cs="Arial" w:eastAsia="Arial" w:hAnsi="Arial"/>
          <w:sz w:val="18"/>
          <w:szCs w:val="18"/>
          <w:color w:val="auto"/>
        </w:rPr>
        <w:t xml:space="preserve">”: All or any portion of the development described on </w:t>
      </w:r>
      <w:r>
        <w:rPr>
          <w:rFonts w:ascii="Arial" w:cs="Arial" w:eastAsia="Arial" w:hAnsi="Arial"/>
          <w:sz w:val="18"/>
          <w:szCs w:val="18"/>
          <w:u w:val="single" w:color="auto"/>
          <w:color w:val="auto"/>
        </w:rPr>
        <w:t>Schedule C</w:t>
      </w:r>
      <w:r>
        <w:rPr>
          <w:rFonts w:ascii="Arial" w:cs="Arial" w:eastAsia="Arial" w:hAnsi="Arial"/>
          <w:sz w:val="18"/>
          <w:szCs w:val="18"/>
          <w:color w:val="auto"/>
        </w:rPr>
        <w:t>.</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As defined in Section 1.3.</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Notice</w:t>
      </w:r>
      <w:r>
        <w:rPr>
          <w:rFonts w:ascii="Arial" w:cs="Arial" w:eastAsia="Arial" w:hAnsi="Arial"/>
          <w:sz w:val="18"/>
          <w:szCs w:val="18"/>
          <w:color w:val="auto"/>
        </w:rPr>
        <w:t>”: As defined in Section 17.1(d).</w:t>
      </w:r>
    </w:p>
    <w:p>
      <w:pPr>
        <w:spacing w:after="0" w:line="225" w:lineRule="exact"/>
        <w:rPr>
          <w:sz w:val="20"/>
          <w:szCs w:val="20"/>
          <w:color w:val="auto"/>
        </w:rPr>
      </w:pPr>
    </w:p>
    <w:p>
      <w:pPr>
        <w:ind w:right="38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With respect to any Person, for any date of determination, the period of the four (4) most recently ended consecutive fiscal quarters of such Person.</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Company</w:t>
      </w:r>
      <w:r>
        <w:rPr>
          <w:rFonts w:ascii="Arial" w:cs="Arial" w:eastAsia="Arial" w:hAnsi="Arial"/>
          <w:sz w:val="18"/>
          <w:szCs w:val="18"/>
          <w:color w:val="auto"/>
        </w:rPr>
        <w:t>”: As defined in Section 3.5(f).</w:t>
      </w:r>
    </w:p>
    <w:p>
      <w:pPr>
        <w:spacing w:after="0" w:line="225" w:lineRule="exact"/>
        <w:rPr>
          <w:sz w:val="20"/>
          <w:szCs w:val="20"/>
          <w:color w:val="auto"/>
        </w:rPr>
      </w:pPr>
    </w:p>
    <w:p>
      <w:pPr>
        <w:ind w:right="60" w:firstLine="198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Unavoidable Delay</w:t>
      </w:r>
      <w:r>
        <w:rPr>
          <w:rFonts w:ascii="Arial" w:cs="Arial" w:eastAsia="Arial" w:hAnsi="Arial"/>
          <w:sz w:val="18"/>
          <w:szCs w:val="18"/>
          <w:color w:val="auto"/>
        </w:rPr>
        <w:t>”: Any of the following events: epidemics, pandemics, strikes, lock-outs, inability to procure materials, power failure, acts of God, governmental restrictions,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40" w:top="274" w:right="539" w:bottom="1440" w:gutter="0" w:footer="0" w:header="0"/>
        </w:sectPr>
      </w:pPr>
    </w:p>
    <w:bookmarkStart w:id="92" w:name="page93"/>
    <w:bookmarkEnd w:id="92"/>
    <w:p>
      <w:pPr>
        <w:ind w:right="4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enemy action, civil commotion, fire, unavoidable casualty, condemnation or other causes beyond the reasonable control of the party responsible for performing an obligation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lack of funds shall not be deemed a cause beyond the reasonable control of a party.</w:t>
      </w:r>
    </w:p>
    <w:p>
      <w:pPr>
        <w:spacing w:after="0" w:line="124" w:lineRule="exact"/>
        <w:rPr>
          <w:sz w:val="20"/>
          <w:szCs w:val="20"/>
          <w:color w:val="auto"/>
        </w:rPr>
      </w:pPr>
    </w:p>
    <w:p>
      <w:pPr>
        <w:ind w:right="120" w:firstLine="198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Unsuitable for Its Primary Intended Use</w:t>
      </w:r>
      <w:r>
        <w:rPr>
          <w:rFonts w:ascii="Arial" w:cs="Arial" w:eastAsia="Arial" w:hAnsi="Arial"/>
          <w:sz w:val="18"/>
          <w:szCs w:val="18"/>
          <w:color w:val="auto"/>
        </w:rPr>
        <w:t>”: A state or condition of the Facility such that by reason of damage or destruction, or a partial taking by Condemnation, the Facility cannot, following restoration thereof (to the extent commercially practical), be operated on a commercially practicable basis for its Primary Intended Use, taking into account, among other relevant factors, the amount of square footage and the estimated revenue affected by such damage or destruction.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Wynn Tenant Transfer</w:t>
      </w:r>
      <w:r>
        <w:rPr>
          <w:rFonts w:ascii="Arial" w:cs="Arial" w:eastAsia="Arial" w:hAnsi="Arial"/>
          <w:sz w:val="16"/>
          <w:szCs w:val="16"/>
          <w:color w:val="auto"/>
        </w:rPr>
        <w:t>”: Any transaction, the result of which is that the “Tenant” under the Lease ceases to be a Subsidiary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Tenant’s Parent.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ind w:firstLine="1983"/>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Rent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Tenant will pay to Landlord the Rent and Additional Charges in lawful money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America and legal tender for the payment of public and private debts, in the manner provided in Section 3.3. The Rent during any Lease Year is payable in advance in consecutive monthly installments on the fifth (5</w:t>
      </w:r>
      <w:r>
        <w:rPr>
          <w:rFonts w:ascii="Arial" w:cs="Arial" w:eastAsia="Arial" w:hAnsi="Arial"/>
          <w:sz w:val="15"/>
          <w:szCs w:val="15"/>
          <w:u w:val="single" w:color="auto"/>
          <w:color w:val="auto"/>
        </w:rPr>
        <w:t>th</w:t>
      </w:r>
      <w:r>
        <w:rPr>
          <w:rFonts w:ascii="Arial" w:cs="Arial" w:eastAsia="Arial" w:hAnsi="Arial"/>
          <w:sz w:val="18"/>
          <w:szCs w:val="18"/>
          <w:color w:val="auto"/>
        </w:rPr>
        <w:t>) Business Day of each calendar month during that Lease Year. Unless otherwise agreed by the parties, Rent and Additional Charges shall be prorated as to any partial months at the beginning and end of the Term. Rent payable during any Lease Year consisting of more or less than twelve (12) calendar months shall be adjusted such that the portion of the Rent for each calendar month in any such Lease Year is equal to the Rent divided by twelve (12).</w:t>
      </w:r>
    </w:p>
    <w:p>
      <w:pPr>
        <w:spacing w:after="0" w:line="187" w:lineRule="exact"/>
        <w:rPr>
          <w:sz w:val="20"/>
          <w:szCs w:val="20"/>
          <w:color w:val="auto"/>
        </w:rPr>
      </w:pPr>
    </w:p>
    <w:p>
      <w:pPr>
        <w:ind w:right="120" w:firstLine="1983"/>
        <w:spacing w:after="0" w:line="287"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Late Payment of Rent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hereby acknowledges that late payment by Tenant to Landlord of Rent or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Charges will cause Landlord to incur costs not contemplated hereunder, the exact amount of which is presently anticipated to be extremely difficult to ascertain. Accordingly, if any installment of Rent or Additional Charges (other than Additional Charges payable to a Person other than Landlord) shall not be paid within five (5) days after its due date, Tenant will pay Landlord on demand a late charge equal to the lesser of (a) five percent (5%) of the amount of such installment or (b) the maximum amount permitted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late charge be assessed on the full amount of Rent due pursuant to Section 16.3. The parties agree that this late charge represents a fair and reasonable estimate of the costs that Landlord will incur by reason of late payment by Tenant. The parties further agree that such late charge is Rent and not interest and such assessment does not constitute a lender or borrower/creditor relationship between Landlord and Tenant. Thereafter, if any installment of Rent other than Additional Charges payable to a Person other than Landlord shall not be paid within ten (10)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 interest shall not constitute waiver of, nor excuse or cure, any default under this Lease, nor prevent Landlord from exercising any other rights and remedies available to Landlord.</w:t>
      </w:r>
    </w:p>
    <w:p>
      <w:pPr>
        <w:spacing w:after="0" w:line="168" w:lineRule="exact"/>
        <w:rPr>
          <w:sz w:val="20"/>
          <w:szCs w:val="20"/>
          <w:color w:val="auto"/>
        </w:rPr>
      </w:pPr>
    </w:p>
    <w:p>
      <w:pPr>
        <w:ind w:right="300" w:firstLine="1983"/>
        <w:spacing w:after="0" w:line="282"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Method of Payment of Rent</w:t>
      </w:r>
      <w:r>
        <w:rPr>
          <w:rFonts w:ascii="Arial" w:cs="Arial" w:eastAsia="Arial" w:hAnsi="Arial"/>
          <w:sz w:val="18"/>
          <w:szCs w:val="18"/>
          <w:b w:val="1"/>
          <w:bCs w:val="1"/>
          <w:color w:val="auto"/>
        </w:rPr>
        <w:t xml:space="preserve">. </w:t>
      </w:r>
      <w:r>
        <w:rPr>
          <w:rFonts w:ascii="Arial" w:cs="Arial" w:eastAsia="Arial" w:hAnsi="Arial"/>
          <w:sz w:val="18"/>
          <w:szCs w:val="18"/>
          <w:color w:val="auto"/>
        </w:rPr>
        <w:t>Rent and Additional Charges to be paid to Landlord shall be paid by electronic funds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debit transactions through wire transfer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93" w:name="page94"/>
    <w:bookmarkEnd w:id="9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immediately available funds and shall be initiated by Tenant for settlement on or before the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the Payment Date is not a Business Day, then settlement shall be made on the next succeeding day which is a Business Day. Landlord shall provide Tenant with appropriate wire transfer information in a Notice from Landlord to Tenant. If Landlord directs Tenant to pay any Rent to any party other than Landlord, Tenant shall send to Landlord, simultaneously with such payment, a copy of the transmittal letter or invoice and a check whereby such payment is made or such other evidence of payment as Landlord may reasonably require.</w:t>
      </w:r>
    </w:p>
    <w:p>
      <w:pPr>
        <w:spacing w:after="0" w:line="184" w:lineRule="exact"/>
        <w:rPr>
          <w:sz w:val="20"/>
          <w:szCs w:val="20"/>
          <w:color w:val="auto"/>
        </w:rPr>
      </w:pPr>
    </w:p>
    <w:p>
      <w:pPr>
        <w:ind w:firstLine="1983"/>
        <w:spacing w:after="0" w:line="271"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Net Lease.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and Tenant acknowledge and agree that (i) this Lease is and is intended to be what is commonly</w:t>
      </w:r>
      <w:r>
        <w:rPr>
          <w:rFonts w:ascii="Arial" w:cs="Arial" w:eastAsia="Arial" w:hAnsi="Arial"/>
          <w:sz w:val="17"/>
          <w:szCs w:val="17"/>
          <w:b w:val="1"/>
          <w:bCs w:val="1"/>
          <w:color w:val="auto"/>
        </w:rPr>
        <w:t xml:space="preserve"> </w:t>
      </w:r>
      <w:r>
        <w:rPr>
          <w:rFonts w:ascii="Arial" w:cs="Arial" w:eastAsia="Arial" w:hAnsi="Arial"/>
          <w:sz w:val="17"/>
          <w:szCs w:val="17"/>
          <w:color w:val="auto"/>
        </w:rPr>
        <w:t>referred to as a “net, net, net” or “triple net” lease, and (ii) the Rent shall be paid absolutely net to Landlord, so that this Lease shall yield to Landlord the full amount or benefit of the installments of Rent and Additional Charges throughout the Term with respect to the Facility, all as more fully set forth in Article IV and subject to any other provisions of this Lease which expressly provide for adjustment or abatement of Rent or other charges. If Landlord commences any proceedings for non-payment of Rent,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 Rent and other amounts hereunder are independent covenants, and Tenant shall have no right to hold back, offset or fail to pay any such amounts for default by Landlord or for any other reason whatsoever, except as provided in Section 3.1.</w:t>
      </w:r>
    </w:p>
    <w:p>
      <w:pPr>
        <w:spacing w:after="0" w:line="174"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Expansion Option.</w:t>
      </w:r>
    </w:p>
    <w:p>
      <w:pPr>
        <w:spacing w:after="0" w:line="229" w:lineRule="exact"/>
        <w:rPr>
          <w:sz w:val="20"/>
          <w:szCs w:val="20"/>
          <w:color w:val="auto"/>
        </w:rPr>
      </w:pPr>
    </w:p>
    <w:p>
      <w:pPr>
        <w:ind w:left="2360" w:hanging="381"/>
        <w:spacing w:after="0"/>
        <w:tabs>
          <w:tab w:leader="none" w:pos="2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Tenant, at Tenant’s sole cost and expense, may develop the Tenant’s Work on the Expansion Property.</w:t>
      </w:r>
    </w:p>
    <w:p>
      <w:pPr>
        <w:spacing w:after="0" w:line="225" w:lineRule="exact"/>
        <w:rPr>
          <w:rFonts w:ascii="Arial" w:cs="Arial" w:eastAsia="Arial" w:hAnsi="Arial"/>
          <w:sz w:val="18"/>
          <w:szCs w:val="18"/>
          <w:color w:val="auto"/>
        </w:rPr>
      </w:pPr>
    </w:p>
    <w:p>
      <w:pPr>
        <w:ind w:right="80" w:firstLine="1979"/>
        <w:spacing w:after="0" w:line="269" w:lineRule="auto"/>
        <w:tabs>
          <w:tab w:leader="none" w:pos="2363" w:val="left"/>
        </w:tabs>
        <w:numPr>
          <w:ilvl w:val="0"/>
          <w:numId w:val="82"/>
        </w:numPr>
        <w:rPr>
          <w:rFonts w:ascii="Arial" w:cs="Arial" w:eastAsia="Arial" w:hAnsi="Arial"/>
          <w:sz w:val="17"/>
          <w:szCs w:val="17"/>
          <w:color w:val="auto"/>
        </w:rPr>
      </w:pPr>
      <w:r>
        <w:rPr>
          <w:rFonts w:ascii="Arial" w:cs="Arial" w:eastAsia="Arial" w:hAnsi="Arial"/>
          <w:sz w:val="17"/>
          <w:szCs w:val="17"/>
          <w:color w:val="auto"/>
        </w:rPr>
        <w:t>At any time prior to the sixth (6</w:t>
      </w:r>
      <w:r>
        <w:rPr>
          <w:rFonts w:ascii="Arial" w:cs="Arial" w:eastAsia="Arial" w:hAnsi="Arial"/>
          <w:sz w:val="14"/>
          <w:szCs w:val="14"/>
          <w:color w:val="auto"/>
        </w:rPr>
        <w:t>th</w:t>
      </w:r>
      <w:r>
        <w:rPr>
          <w:rFonts w:ascii="Arial" w:cs="Arial" w:eastAsia="Arial" w:hAnsi="Arial"/>
          <w:sz w:val="17"/>
          <w:szCs w:val="17"/>
          <w:color w:val="auto"/>
        </w:rPr>
        <w:t>) anniversary of the Commencement Date, Tenant shall have the right to sell the Expansion Property to the Landlord and amend the Lease (the “</w:t>
      </w:r>
      <w:r>
        <w:rPr>
          <w:rFonts w:ascii="Arial" w:cs="Arial" w:eastAsia="Arial" w:hAnsi="Arial"/>
          <w:sz w:val="17"/>
          <w:szCs w:val="17"/>
          <w:b w:val="1"/>
          <w:bCs w:val="1"/>
          <w:color w:val="auto"/>
        </w:rPr>
        <w:t>Lease Amendment</w:t>
      </w:r>
      <w:r>
        <w:rPr>
          <w:rFonts w:ascii="Arial" w:cs="Arial" w:eastAsia="Arial" w:hAnsi="Arial"/>
          <w:sz w:val="17"/>
          <w:szCs w:val="17"/>
          <w:color w:val="auto"/>
        </w:rPr>
        <w:t>”) to add the Expansion Property to the Lease as part of the Leased Property (the “</w:t>
      </w:r>
      <w:r>
        <w:rPr>
          <w:rFonts w:ascii="Arial" w:cs="Arial" w:eastAsia="Arial" w:hAnsi="Arial"/>
          <w:sz w:val="17"/>
          <w:szCs w:val="17"/>
          <w:b w:val="1"/>
          <w:bCs w:val="1"/>
          <w:color w:val="auto"/>
        </w:rPr>
        <w:t>Expansion Option</w:t>
      </w:r>
      <w:r>
        <w:rPr>
          <w:rFonts w:ascii="Arial" w:cs="Arial" w:eastAsia="Arial" w:hAnsi="Arial"/>
          <w:sz w:val="17"/>
          <w:szCs w:val="17"/>
          <w:color w:val="auto"/>
        </w:rPr>
        <w:t>”), for an amount equal to the Expansion Property Value (the “</w:t>
      </w:r>
      <w:r>
        <w:rPr>
          <w:rFonts w:ascii="Arial" w:cs="Arial" w:eastAsia="Arial" w:hAnsi="Arial"/>
          <w:sz w:val="17"/>
          <w:szCs w:val="17"/>
          <w:b w:val="1"/>
          <w:bCs w:val="1"/>
          <w:color w:val="auto"/>
        </w:rPr>
        <w:t>Expansion Property Purchase Price</w:t>
      </w:r>
      <w:r>
        <w:rPr>
          <w:rFonts w:ascii="Arial" w:cs="Arial" w:eastAsia="Arial" w:hAnsi="Arial"/>
          <w:sz w:val="17"/>
          <w:szCs w:val="17"/>
          <w:color w:val="auto"/>
        </w:rPr>
        <w:t>”), which in no event shall exceed Two Hundred Eighty Five Million Seven Hundred Fourteen Thousand Two Hundred Eighty Five and 71/100 Dollars ($285,714,285.71). Upon payment of the Expansion Property Purchase Price and the closing of the Expansion Option, the Lease Amendment will provide that the Rent currently payable hereunder will increase by an annual amount equal to the product of (x) the Expansion Property Purchase Price multiplied by (y) 0.07 (the “</w:t>
      </w:r>
      <w:r>
        <w:rPr>
          <w:rFonts w:ascii="Arial" w:cs="Arial" w:eastAsia="Arial" w:hAnsi="Arial"/>
          <w:sz w:val="17"/>
          <w:szCs w:val="17"/>
          <w:b w:val="1"/>
          <w:bCs w:val="1"/>
          <w:color w:val="auto"/>
        </w:rPr>
        <w:t>Expansion Rent</w:t>
      </w:r>
      <w:r>
        <w:rPr>
          <w:rFonts w:ascii="Arial" w:cs="Arial" w:eastAsia="Arial" w:hAnsi="Arial"/>
          <w:sz w:val="17"/>
          <w:szCs w:val="17"/>
          <w:color w:val="auto"/>
        </w:rPr>
        <w:t xml:space="preserve">”), which in no event shall exceed Twenty Million Dollars ($20,000,000);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increase occurs after the payment of any installment of Rent in the applicable Lease Year, then the Expansion Rent shall be prorated and payable only with respect to the remaining installments of Rent in such Lease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the immediately preceding proviso, for purposes of calculating the Escalation in the immediately succeeding Lease Year, Rent in the Lease Year in which such increase occurs shall be deemed to include the entire amount of the Expansion Rent (without proration).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94" w:name="page95"/>
    <w:bookmarkEnd w:id="94"/>
    <w:p>
      <w:pPr>
        <w:ind w:right="20" w:firstLine="1979"/>
        <w:spacing w:after="0" w:line="273" w:lineRule="auto"/>
        <w:tabs>
          <w:tab w:leader="none" w:pos="2362" w:val="left"/>
        </w:tabs>
        <w:numPr>
          <w:ilvl w:val="0"/>
          <w:numId w:val="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Landlord’s obligation to purchase the Expansion Property is expressly conditioned upon each of the following: (i) no Event of Default shall have occurred and be continuing, (ii) a Wynn Tenant Transfer shall not have occurred, (iii) the EBITDAR to Rent Ratio determined on the last day of the most recently ended fiscal quarter on a cumulative basis for the preceding Test Period shall have been at least 1.9:1.0 on a pro forma basis (giving effect to the Expansion Rent and the EBITDAR reasonably anticipated by the Tenant after the stabilization of Tenant’s Work, in each case, as if commencing on the first day of the relevant Test Period) and (iv) Tenant shall have delivered to Landlord the Expansion Option Notice, with all required Expansion Documents, in form and substance reasonably acceptable to Landlord.</w:t>
      </w:r>
    </w:p>
    <w:p>
      <w:pPr>
        <w:spacing w:after="0" w:line="173" w:lineRule="exact"/>
        <w:rPr>
          <w:rFonts w:ascii="Arial" w:cs="Arial" w:eastAsia="Arial" w:hAnsi="Arial"/>
          <w:sz w:val="17"/>
          <w:szCs w:val="17"/>
          <w:color w:val="auto"/>
        </w:rPr>
      </w:pPr>
    </w:p>
    <w:p>
      <w:pPr>
        <w:ind w:firstLine="1979"/>
        <w:spacing w:after="0" w:line="286" w:lineRule="auto"/>
        <w:tabs>
          <w:tab w:leader="none" w:pos="237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order to exercise the Expansion Option, Tenant shall deliver to Landlord a written notice (the “</w:t>
      </w:r>
      <w:r>
        <w:rPr>
          <w:rFonts w:ascii="Arial" w:cs="Arial" w:eastAsia="Arial" w:hAnsi="Arial"/>
          <w:sz w:val="16"/>
          <w:szCs w:val="16"/>
          <w:b w:val="1"/>
          <w:bCs w:val="1"/>
          <w:color w:val="auto"/>
        </w:rPr>
        <w:t>Expansion Option</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of Tenant’s election to exercise the Expansion Option, which shall be accompanied by (i) a certificate, executed by a Responsible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Parent, setting forth the calculation of the EBITDAR to Rent Ratio described in Section 3.5(c)(iii) in reasonable detail, (ii) copies of all inspection reports, permits, final unconditional lien releases from the general contractor and, to the extent received, all subcontractors, in each case, performing the Tenant’s Work, (iii) as-built survey for the Expansion Property, including the Tenant’s Work, (iv) a title policy for the Expansion Property naming Landlord as the named insured, in the amount of the Expansion Property Purchase Price, confirming that the Expansion Property is free and clear of all liens and others encumbrances other than encumbrances approved by Landlord in its reasonable discretion, and containing such endorsements reasonably requested by Landlord (and in no event in excess of such endorsements provided to Landlord with respect to the Leased Property on or about the Commencement Date), (v) to the extent available, a customary zoning report with respect to the Expansion Property, (vi) a property condition report with respect to the Expansion Property, including Tenant’s Work, (vii) a certificate of occupancy for improvements on the Expansion Property, (viii) available plans and specifications with respect to the Tenant’s Work, (ix) a construction expenditure report detailing the construction related expenditures incurred in connection with the Tenant’s Work, together with reasonable backup documentation, evidencing the value of the land and improvements (such value, the “</w:t>
      </w:r>
      <w:r>
        <w:rPr>
          <w:rFonts w:ascii="Arial" w:cs="Arial" w:eastAsia="Arial" w:hAnsi="Arial"/>
          <w:sz w:val="16"/>
          <w:szCs w:val="16"/>
          <w:b w:val="1"/>
          <w:bCs w:val="1"/>
          <w:color w:val="auto"/>
        </w:rPr>
        <w:t>Expansion Property Value</w:t>
      </w:r>
      <w:r>
        <w:rPr>
          <w:rFonts w:ascii="Arial" w:cs="Arial" w:eastAsia="Arial" w:hAnsi="Arial"/>
          <w:sz w:val="16"/>
          <w:szCs w:val="16"/>
          <w:color w:val="auto"/>
        </w:rPr>
        <w:t>”), and (x) reasonable evidence that the Tenant’s Work was built in material compliance with all applicable codes, ordinances, rules and regulations of applicable governmental authorities, with all applicable material approvals, permits, and licenses, including, without limitation, a building permit, (collectively, the “</w:t>
      </w:r>
      <w:r>
        <w:rPr>
          <w:rFonts w:ascii="Arial" w:cs="Arial" w:eastAsia="Arial" w:hAnsi="Arial"/>
          <w:sz w:val="16"/>
          <w:szCs w:val="16"/>
          <w:b w:val="1"/>
          <w:bCs w:val="1"/>
          <w:color w:val="auto"/>
        </w:rPr>
        <w:t>Expansion Documents</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2360" w:hanging="381"/>
        <w:spacing w:after="0"/>
        <w:tabs>
          <w:tab w:leader="none" w:pos="23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Within ten (10) days after Landlord’s receipt of the Expansion Option Notice and each of the Expansion Documents,</w:t>
      </w:r>
    </w:p>
    <w:p>
      <w:pPr>
        <w:spacing w:after="0" w:line="46" w:lineRule="exact"/>
        <w:rPr>
          <w:rFonts w:ascii="Arial" w:cs="Arial" w:eastAsia="Arial" w:hAnsi="Arial"/>
          <w:sz w:val="16"/>
          <w:szCs w:val="16"/>
          <w:color w:val="auto"/>
        </w:rPr>
      </w:pPr>
    </w:p>
    <w:p>
      <w:pPr>
        <w:ind w:right="220"/>
        <w:spacing w:after="0" w:line="253" w:lineRule="auto"/>
        <w:rPr>
          <w:rFonts w:ascii="Arial" w:cs="Arial" w:eastAsia="Arial" w:hAnsi="Arial"/>
          <w:sz w:val="16"/>
          <w:szCs w:val="16"/>
          <w:color w:val="auto"/>
        </w:rPr>
      </w:pPr>
      <w:r>
        <w:rPr>
          <w:rFonts w:ascii="Arial" w:cs="Arial" w:eastAsia="Arial" w:hAnsi="Arial"/>
          <w:sz w:val="18"/>
          <w:szCs w:val="18"/>
          <w:color w:val="auto"/>
        </w:rPr>
        <w:t>Landlord shall provide Tenant: (i) a written notice (“</w:t>
      </w:r>
      <w:r>
        <w:rPr>
          <w:rFonts w:ascii="Arial" w:cs="Arial" w:eastAsia="Arial" w:hAnsi="Arial"/>
          <w:sz w:val="18"/>
          <w:szCs w:val="18"/>
          <w:b w:val="1"/>
          <w:bCs w:val="1"/>
          <w:color w:val="auto"/>
        </w:rPr>
        <w:t>Expansion Option Acceptance</w:t>
      </w:r>
      <w:r>
        <w:rPr>
          <w:rFonts w:ascii="Arial" w:cs="Arial" w:eastAsia="Arial" w:hAnsi="Arial"/>
          <w:sz w:val="18"/>
          <w:szCs w:val="18"/>
          <w:color w:val="auto"/>
        </w:rPr>
        <w:t>”) notifying Tenant that Landlord is satisfied with the Expansion Documents, including Tenant’s calculation of the EBITDAR to Rent Ratio, and notify Tenant as to the date on the closing of the Expansion Option transaction, which date shall not be more than thirty (30) days after Landlord’s receipt of the Expansion Option Notice, or (ii) written notice notifying Tenant of any missing or deficient Expansion Documents, in which case, Tenant shall thereafter work in good faith to promptly remedy any such deficiencies.</w:t>
      </w:r>
    </w:p>
    <w:p>
      <w:pPr>
        <w:spacing w:after="0" w:line="190" w:lineRule="exact"/>
        <w:rPr>
          <w:rFonts w:ascii="Arial" w:cs="Arial" w:eastAsia="Arial" w:hAnsi="Arial"/>
          <w:sz w:val="16"/>
          <w:szCs w:val="16"/>
          <w:color w:val="auto"/>
        </w:rPr>
      </w:pPr>
    </w:p>
    <w:p>
      <w:pPr>
        <w:ind w:right="260" w:firstLine="1979"/>
        <w:spacing w:after="0" w:line="263" w:lineRule="auto"/>
        <w:tabs>
          <w:tab w:leader="none" w:pos="2342"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the date of closing referenced in the Expansion Option Acceptance, Landlord shall deposit with Fidelity National Title Company or such other nationally recognized title company as selected by the Landlord (the “</w:t>
      </w:r>
      <w:r>
        <w:rPr>
          <w:rFonts w:ascii="Arial" w:cs="Arial" w:eastAsia="Arial" w:hAnsi="Arial"/>
          <w:sz w:val="18"/>
          <w:szCs w:val="18"/>
          <w:b w:val="1"/>
          <w:bCs w:val="1"/>
          <w:color w:val="auto"/>
        </w:rPr>
        <w:t>Title Company</w:t>
      </w:r>
      <w:r>
        <w:rPr>
          <w:rFonts w:ascii="Arial" w:cs="Arial" w:eastAsia="Arial" w:hAnsi="Arial"/>
          <w:sz w:val="18"/>
          <w:szCs w:val="18"/>
          <w:color w:val="auto"/>
        </w:rPr>
        <w:t>”): (i) an amount equal to the Expansion Property Purchase Price, (ii) the Lease Amendment, and (iii) such other documents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95" w:name="page96"/>
    <w:bookmarkEnd w:id="9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requested by the Title Company. Tenant shall deposit with the Title Company: (1) the Lease Amendment, (2) a special warranty deed from Tenant’s Affiliate to Landlord, granting fee title to the Expansion Property to Landlord, in form and substance reasonably acceptable to Landlord, (3) a bill of sale for the Expansion Property, and (4) such other documents reasonably requested by the title company. Upon satisfaction or completion of all closing conditions set forth in this Section 3.5 and deliveries required by this Section 3.5(f), the Landlord and Tenant shall instruct the Title Company to record and deliver the deed to Landlord, deliver the closing documents to the appropriate parties and make disbursements according to the closing statements executed by Landlord and Tenant. Tenant shall be responsible for all costs and expenses in connection with the Expansion Option and the transfer of the Expansion Property to Landlord.</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right="120" w:firstLine="1983"/>
        <w:spacing w:after="0" w:line="291"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Impositions.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(a) Subject to Article XII relating to permitted contests, Tenant shall pay, or cause to be paid, all</w:t>
      </w:r>
      <w:r>
        <w:rPr>
          <w:rFonts w:ascii="Arial" w:cs="Arial" w:eastAsia="Arial" w:hAnsi="Arial"/>
          <w:sz w:val="16"/>
          <w:szCs w:val="16"/>
          <w:b w:val="1"/>
          <w:bCs w:val="1"/>
          <w:color w:val="auto"/>
        </w:rPr>
        <w:t xml:space="preserve"> </w:t>
      </w:r>
      <w:r>
        <w:rPr>
          <w:rFonts w:ascii="Arial" w:cs="Arial" w:eastAsia="Arial" w:hAnsi="Arial"/>
          <w:sz w:val="16"/>
          <w:szCs w:val="16"/>
          <w:color w:val="auto"/>
        </w:rPr>
        <w:t>Impositions that apply or are otherwise allocable to any period before or during the Term of this Lease before any fine, penalty, interest or cost may be added for non-payment. Tenant shall make such payments directly to the taxing authorities where feasible, and promptly furnish to Landlord copies of official receipts or other satisfactory proof evidencing such payments. If any Imposition may, at the option of the taxpayer, lawfully be paid in installments, whether or not interest shall accrue on the unpaid balance of such Imposition, Tenant may pay the same, and any accrued interest on the unpaid balance of such Imposition, in installments as the same respectively become due and before any fine, penalty, premium, further interest or cost may be added thereto. For the avoidance of doubt, Tenant shall be responsible for the payment of all Impositions that are due and payable as of the Commencement Date (regardless as to whether such Impositions are attributable to a period preceding the Commencement Date).</w:t>
      </w:r>
    </w:p>
    <w:p>
      <w:pPr>
        <w:spacing w:after="0" w:line="163" w:lineRule="exact"/>
        <w:rPr>
          <w:sz w:val="20"/>
          <w:szCs w:val="20"/>
          <w:color w:val="auto"/>
        </w:rPr>
      </w:pPr>
    </w:p>
    <w:p>
      <w:pPr>
        <w:ind w:right="220" w:firstLine="1979"/>
        <w:spacing w:after="0" w:line="257" w:lineRule="auto"/>
        <w:tabs>
          <w:tab w:leader="none" w:pos="23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Landlord or Landlord’s Parent shall prepare and file all tax returns and reports as may be required by Legal Requirements with respect to Landlord’s net income, gross receipts, franchise taxes and taxes on its capital stock and any other returns required to be filed by or in the name of Landlord with respect to or relating to the Leased Property (the “</w:t>
      </w:r>
      <w:r>
        <w:rPr>
          <w:rFonts w:ascii="Arial" w:cs="Arial" w:eastAsia="Arial" w:hAnsi="Arial"/>
          <w:sz w:val="18"/>
          <w:szCs w:val="18"/>
          <w:b w:val="1"/>
          <w:bCs w:val="1"/>
          <w:color w:val="auto"/>
        </w:rPr>
        <w:t>Landlord Tax Returns</w:t>
      </w:r>
      <w:r>
        <w:rPr>
          <w:rFonts w:ascii="Arial" w:cs="Arial" w:eastAsia="Arial" w:hAnsi="Arial"/>
          <w:sz w:val="18"/>
          <w:szCs w:val="18"/>
          <w:color w:val="auto"/>
        </w:rPr>
        <w:t>”), and Tenant or Tenant’s Parent shall prepare and file all other tax returns and reports as may be required by Legal Requirements with respect to or relating to the Leased Property (including all Capital Improvements), and Tenant’s Property.</w:t>
      </w:r>
    </w:p>
    <w:p>
      <w:pPr>
        <w:spacing w:after="0" w:line="187" w:lineRule="exact"/>
        <w:rPr>
          <w:rFonts w:ascii="Arial" w:cs="Arial" w:eastAsia="Arial" w:hAnsi="Arial"/>
          <w:sz w:val="18"/>
          <w:szCs w:val="18"/>
          <w:color w:val="auto"/>
        </w:rPr>
      </w:pPr>
    </w:p>
    <w:p>
      <w:pPr>
        <w:ind w:right="440" w:firstLine="1979"/>
        <w:spacing w:after="0" w:line="277" w:lineRule="auto"/>
        <w:tabs>
          <w:tab w:leader="none" w:pos="2353"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refund due from any taxing authority in respect of any Imposition paid by or on behalf of Tenant or Tenant’s Affiliates shall be paid over to or retained by Tenant.</w:t>
      </w:r>
    </w:p>
    <w:p>
      <w:pPr>
        <w:spacing w:after="0" w:line="170" w:lineRule="exact"/>
        <w:rPr>
          <w:rFonts w:ascii="Arial" w:cs="Arial" w:eastAsia="Arial" w:hAnsi="Arial"/>
          <w:sz w:val="18"/>
          <w:szCs w:val="18"/>
          <w:color w:val="auto"/>
        </w:rPr>
      </w:pPr>
    </w:p>
    <w:p>
      <w:pPr>
        <w:ind w:right="80" w:firstLine="1979"/>
        <w:spacing w:after="0" w:line="254" w:lineRule="auto"/>
        <w:tabs>
          <w:tab w:leader="none" w:pos="23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Landlord and Tenant shall, upon request of the other, provide such data as is maintained by the party to whom the request is made with respect to the Leased Property as may be necessary to prepare any required returns and reports. If any property covered by this Lease is classified as personal property for tax purposes, Tenant shall file all personal property tax returns in such jurisdictions where it must legally so file. Landlord, to the extent it possesses the same, and Tenant, to the extent it possesses the same, shall provide the other party, upon request, with cost and depreciation records necessary for filing returns for any property so classified as personal property. Where Landlord is legally required to file personal property tax returns, Tenant shall be provided with copies of assessment notices indicating a value in excess of the reported value in sufficient time for Tenant to file a protest.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4" w:right="519" w:bottom="1440" w:gutter="0" w:footer="0" w:header="0"/>
        </w:sectPr>
      </w:pPr>
    </w:p>
    <w:bookmarkStart w:id="96" w:name="page97"/>
    <w:bookmarkEnd w:id="96"/>
    <w:p>
      <w:pPr>
        <w:ind w:right="20" w:firstLine="1979"/>
        <w:spacing w:after="0" w:line="259" w:lineRule="auto"/>
        <w:tabs>
          <w:tab w:leader="none" w:pos="2362"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Billings for reimbursement by Tenant to Landlord of personal property or real property taxes and any taxes due under the Landlord Tax Returns, if and to the extent Tenant is responsible for such taxes under the terms of this Section 4.1, shall be accompanied by copies of a bill therefor and payments thereof which identify the personal property or real property or other tax obligations of Landlord with respect to which such payments are made.</w:t>
      </w:r>
    </w:p>
    <w:p>
      <w:pPr>
        <w:spacing w:after="0" w:line="186" w:lineRule="exact"/>
        <w:rPr>
          <w:rFonts w:ascii="Arial" w:cs="Arial" w:eastAsia="Arial" w:hAnsi="Arial"/>
          <w:sz w:val="18"/>
          <w:szCs w:val="18"/>
          <w:color w:val="auto"/>
        </w:rPr>
      </w:pPr>
    </w:p>
    <w:p>
      <w:pPr>
        <w:ind w:right="80" w:firstLine="1979"/>
        <w:spacing w:after="0" w:line="271" w:lineRule="auto"/>
        <w:tabs>
          <w:tab w:leader="none" w:pos="2342"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Impositions imposed or assessed in respect of the tax-fiscal period during which the Term terminates shall be adjusted and prorated between Landlord and Tenant, whether or not such Imposition is imposed or assessed before or after such termination, and Tenant’s obligation to pay its prorated share thereof in respect of a tax-fiscal period during the Term shall survive such termination. Landlord will not voluntarily enter into agreements that will result in additional Impositions without Tenant’s consent, which shall not be unreasonably withheld, conditioned or delayed (it being understood that it shall not be reasonable to withhold consent to customary additional Impositions that other property owners of properties similar to the Leased Property customarily consent to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Tenant is given reasonable opportunity to participate in the process leading to such agreement. Impositions imposed or assessed in respect of any tax fiscal period occurring (in whole or in part) prior to the Commencement Date shall be Tenant’s obligation to pay or cause to be paid.</w:t>
      </w:r>
    </w:p>
    <w:p>
      <w:pPr>
        <w:spacing w:after="0" w:line="174" w:lineRule="exact"/>
        <w:rPr>
          <w:sz w:val="20"/>
          <w:szCs w:val="20"/>
          <w:color w:val="auto"/>
        </w:rPr>
      </w:pPr>
    </w:p>
    <w:p>
      <w:pPr>
        <w:ind w:firstLine="1983"/>
        <w:spacing w:after="0" w:line="286"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Utilities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pay or cause to be paid all charges for electricity, power, gas, oil, water and other utilities used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Leased Property (including all Capital Improvements). Tenant shall also pay or promptly reimburse Landlord for all costs and expenses of any kind whatsoever with respect to the Facility and with respect to any period before and during the Term hereof which at any time may be imposed against Landlord by reason of any of the Property Documents, including any and all costs and expenses associated with any utility, drainage and parking easements. Landlord will not enter into agreements that will encumber the Leased Property without Tenant’s consent, which shall not be unreasonably withheld (it being understood that it shall not be reasonable to withhold consent to encumbrances that do not adversely affect the use or future development of the Facility as a Gaming Facility or increase Additional Charges payable under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Tenant is given reasonable opportunity to participate in the process leading to such agreement. Tenant will not enter into agreements that will encumber the Leased Property after the expiration of the Term without Landlord’s consent, which shall not be unreasonably withheld (it being understood that it shall not be reasonable to withhold consent to encumbrances that do not adversely affect the value of the Leased Property or the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is given reasonable opportunity to participate in the process leading to such agreement. At Landlord’s request, Tenant hereby agrees to provide energy and water consumption data (the “</w:t>
      </w:r>
      <w:r>
        <w:rPr>
          <w:rFonts w:ascii="Arial" w:cs="Arial" w:eastAsia="Arial" w:hAnsi="Arial"/>
          <w:sz w:val="16"/>
          <w:szCs w:val="16"/>
          <w:b w:val="1"/>
          <w:bCs w:val="1"/>
          <w:color w:val="auto"/>
        </w:rPr>
        <w:t>Utility Data</w:t>
      </w:r>
      <w:r>
        <w:rPr>
          <w:rFonts w:ascii="Arial" w:cs="Arial" w:eastAsia="Arial" w:hAnsi="Arial"/>
          <w:sz w:val="16"/>
          <w:szCs w:val="16"/>
          <w:color w:val="auto"/>
        </w:rPr>
        <w:t>”) annually in a format deemed reasonably acceptable by Landlord. For example, if Tenant is actively benchmarking the Leased Property through ENERGY STAR Portfolio Manager</w:t>
      </w:r>
      <w:r>
        <w:rPr>
          <w:rFonts w:ascii="Arial" w:cs="Arial" w:eastAsia="Arial" w:hAnsi="Arial"/>
          <w:sz w:val="13"/>
          <w:szCs w:val="13"/>
          <w:color w:val="auto"/>
        </w:rPr>
        <w:t>®</w:t>
      </w:r>
      <w:r>
        <w:rPr>
          <w:rFonts w:ascii="Arial" w:cs="Arial" w:eastAsia="Arial" w:hAnsi="Arial"/>
          <w:sz w:val="16"/>
          <w:szCs w:val="16"/>
          <w:color w:val="auto"/>
        </w:rPr>
        <w:t xml:space="preserve"> or a similar benchmarking program, Landlord may request that Tenant share energy and water consumption data through the program directly. If requested by Landlord, Tenant shall provide Landlord copies of Tenant’s utility bills and such other Utility Data reasonably requested by Landlord for purposes of benchmarking, environmental performance labeling, energy management, and other related purposes. Landlord’s sustainability contact email is </w:t>
      </w:r>
      <w:r>
        <w:rPr>
          <w:rFonts w:ascii="Arial" w:cs="Arial" w:eastAsia="Arial" w:hAnsi="Arial"/>
          <w:sz w:val="16"/>
          <w:szCs w:val="16"/>
          <w:u w:val="single" w:color="auto"/>
          <w:color w:val="auto"/>
        </w:rPr>
        <w:t>sustainability@realtyincome.com</w:t>
      </w:r>
      <w:r>
        <w:rPr>
          <w:rFonts w:ascii="Arial" w:cs="Arial" w:eastAsia="Arial" w:hAnsi="Arial"/>
          <w:sz w:val="16"/>
          <w:szCs w:val="16"/>
          <w:color w:val="auto"/>
        </w:rPr>
        <w:t>.</w:t>
      </w:r>
    </w:p>
    <w:p>
      <w:pPr>
        <w:spacing w:after="0" w:line="164" w:lineRule="exact"/>
        <w:rPr>
          <w:sz w:val="20"/>
          <w:szCs w:val="20"/>
          <w:color w:val="auto"/>
        </w:rPr>
      </w:pPr>
    </w:p>
    <w:p>
      <w:pPr>
        <w:ind w:right="100" w:firstLine="1983"/>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Impound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At Landlord’s option following the occurrence and during the continuation of an Event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(to be exercised by thirty (30) days’ prior written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97" w:name="page98"/>
    <w:bookmarkEnd w:id="97"/>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Tenant), Tenant shall be required to deposit with Landlord, at the time of any payment of Rent, an amount equal to one-twelfth of the sum of</w:t>
      </w:r>
    </w:p>
    <w:p>
      <w:pPr>
        <w:spacing w:after="0" w:line="46" w:lineRule="exact"/>
        <w:rPr>
          <w:sz w:val="20"/>
          <w:szCs w:val="20"/>
          <w:color w:val="auto"/>
        </w:rPr>
      </w:pPr>
    </w:p>
    <w:p>
      <w:pPr>
        <w:ind w:left="204" w:hanging="204"/>
        <w:spacing w:after="0"/>
        <w:tabs>
          <w:tab w:leader="none" w:pos="204" w:val="left"/>
        </w:tabs>
        <w:numPr>
          <w:ilvl w:val="0"/>
          <w:numId w:val="86"/>
        </w:numPr>
        <w:rPr>
          <w:rFonts w:ascii="Arial" w:cs="Arial" w:eastAsia="Arial" w:hAnsi="Arial"/>
          <w:sz w:val="16"/>
          <w:szCs w:val="16"/>
          <w:color w:val="auto"/>
        </w:rPr>
      </w:pPr>
      <w:r>
        <w:rPr>
          <w:rFonts w:ascii="Arial" w:cs="Arial" w:eastAsia="Arial" w:hAnsi="Arial"/>
          <w:sz w:val="16"/>
          <w:szCs w:val="16"/>
          <w:color w:val="auto"/>
        </w:rPr>
        <w:t>Tenant’s estimated annual real and personal property taxes required pursuant to Section 4.1 hereof (as reasonably determined by Landlord), and</w:t>
      </w:r>
    </w:p>
    <w:p>
      <w:pPr>
        <w:spacing w:after="0" w:line="32" w:lineRule="exact"/>
        <w:rPr>
          <w:rFonts w:ascii="Arial" w:cs="Arial" w:eastAsia="Arial" w:hAnsi="Arial"/>
          <w:sz w:val="16"/>
          <w:szCs w:val="16"/>
          <w:color w:val="auto"/>
        </w:rPr>
      </w:pPr>
    </w:p>
    <w:p>
      <w:pPr>
        <w:jc w:val="both"/>
        <w:ind w:left="4" w:right="40" w:hanging="4"/>
        <w:spacing w:after="0" w:line="292" w:lineRule="auto"/>
        <w:tabs>
          <w:tab w:leader="none" w:pos="26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Tenant’s estimated annual maintenance expenses and insurance premium costs pursuant to Articles IX and XIII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Such amount shall be deposited in an interest-bearing segregated account with a banking institution and the reasonable cost of such bank for administering such impound account shall be paid by Tenant. Nothing in this Section 4.3 shall be deemed to affect any right or remedy of Landlord hereunder.</w:t>
      </w:r>
    </w:p>
    <w:p>
      <w:pPr>
        <w:spacing w:after="0" w:line="37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ind w:left="4" w:firstLine="1983"/>
        <w:spacing w:after="0" w:line="285"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No Termination, Abatement, etc.</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specifically provided in this Lease, Tenant shall remain bound</w:t>
      </w:r>
      <w:r>
        <w:rPr>
          <w:rFonts w:ascii="Arial" w:cs="Arial" w:eastAsia="Arial" w:hAnsi="Arial"/>
          <w:sz w:val="16"/>
          <w:szCs w:val="16"/>
          <w:b w:val="1"/>
          <w:bCs w:val="1"/>
          <w:color w:val="auto"/>
        </w:rPr>
        <w:t xml:space="preserve"> </w:t>
      </w:r>
      <w:r>
        <w:rPr>
          <w:rFonts w:ascii="Arial" w:cs="Arial" w:eastAsia="Arial" w:hAnsi="Arial"/>
          <w:sz w:val="16"/>
          <w:szCs w:val="16"/>
          <w:color w:val="auto"/>
        </w:rPr>
        <w:t>by this Lease in accordance with its terms and shall not seek or be entitled to any abatement, deduction, deferment or reduction of Rent, or set-off against the Rent. Except as may be otherwise specifically provided in this Lease, the respective obligations of Landlord and Tenant shall not be affected by reason of (i) any damage to or destruction of the Leased Property or any portion thereof from whatever cause or any Condemnation of the Leased Property, any Capital Improvement or any portion thereof; (ii) other than as a result of Landlord’s willful misconduct or gross negligence, the lawful or 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 proceedings affecting Landlord or any assignee or transferee of Landlord; or (v) for any other cause, whether similar or dissimilar to any of the foregoing, other than a discharge of Tenant from any such obligations as a matter of law. Tenant hereby specifically waives all rights arising from any occurrence whatsoever which may now or hereafter be conferred upon it by law (a) to modify, surrender or terminate this Lease or quit or surrender the Leased Property or any portion thereof, or (b) which may entitle Tenant to any abatement, deduction, reduction, suspension or deferment of or defense, counterclaim, claim or set off against the Rent or other sums payable by Tenant hereunder except in each case as may be otherwise specifically provided in this Lease. Notwithstanding the foregoing, nothing in this Article V shall preclude Tenant from bringing a separate action against Landlord for any matter described in the foregoing clauses (ii), (iii) or (v) and Tenant is not waiving other rights and remedies not expressly waived herein subject to Tenant’s indemnification obligations expressly set forth in this Lease and Section 41.3 of this Lease.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Lease or by termination of this Lease as to all or any portion of the Leased Property other than by reason of an Event of Default. Tenant’s agreement that, except as may be otherwise specifically provided in this Lease, any eviction by paramount title as described in item (ii) above shall not affect Tenant’s obligations under this Lease, shall not</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98" w:name="page99"/>
    <w:bookmarkEnd w:id="98"/>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Section 5.1, and Landlord, upon request by Tenant, shall assign Landlord’s rights under such policies to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assignment does not adversely affect Landlord’s rights under any such policy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Tenant shall indemnify, defend, protect and save Landlord harmless from and against any liability, cost or expense of any kind that may be imposed upon Landlord in connection with any such assignment except to the extent such liability, cost or expense arises from the gross negligence or willful misconduct of Landlord.</w:t>
      </w:r>
    </w:p>
    <w:p>
      <w:pPr>
        <w:spacing w:after="0" w:line="389" w:lineRule="exact"/>
        <w:rPr>
          <w:sz w:val="20"/>
          <w:szCs w:val="20"/>
          <w:color w:val="auto"/>
        </w:rPr>
      </w:pPr>
    </w:p>
    <w:p>
      <w:pPr>
        <w:ind w:left="4984"/>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ind w:left="1984"/>
        <w:spacing w:after="0"/>
        <w:tabs>
          <w:tab w:leader="none" w:pos="236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Ownership of the Leased Property</w:t>
      </w:r>
      <w:r>
        <w:rPr>
          <w:rFonts w:ascii="Arial" w:cs="Arial" w:eastAsia="Arial" w:hAnsi="Arial"/>
          <w:sz w:val="16"/>
          <w:szCs w:val="16"/>
          <w:b w:val="1"/>
          <w:bCs w:val="1"/>
          <w:color w:val="auto"/>
        </w:rPr>
        <w:t>.</w:t>
      </w:r>
    </w:p>
    <w:p>
      <w:pPr>
        <w:spacing w:after="0" w:line="229" w:lineRule="exact"/>
        <w:rPr>
          <w:sz w:val="20"/>
          <w:szCs w:val="20"/>
          <w:color w:val="auto"/>
        </w:rPr>
      </w:pPr>
    </w:p>
    <w:p>
      <w:pPr>
        <w:ind w:left="4" w:right="20" w:firstLine="1979"/>
        <w:spacing w:after="0" w:line="289" w:lineRule="auto"/>
        <w:tabs>
          <w:tab w:leader="none" w:pos="2366" w:val="left"/>
        </w:tabs>
        <w:numPr>
          <w:ilvl w:val="1"/>
          <w:numId w:val="87"/>
        </w:numPr>
        <w:rPr>
          <w:rFonts w:ascii="Arial" w:cs="Arial" w:eastAsia="Arial" w:hAnsi="Arial"/>
          <w:sz w:val="16"/>
          <w:szCs w:val="16"/>
          <w:color w:val="auto"/>
        </w:rPr>
      </w:pPr>
      <w:r>
        <w:rPr>
          <w:rFonts w:ascii="Arial" w:cs="Arial" w:eastAsia="Arial" w:hAnsi="Arial"/>
          <w:sz w:val="16"/>
          <w:szCs w:val="16"/>
          <w:color w:val="auto"/>
        </w:rPr>
        <w:t>Landlord and Tenant acknowledge and agree that they have executed and delivered this Lease with the understanding that (i) the Leased Property is the property of Landlord, (ii) Tenant has only the right to the possession and use of the Leased Property upon the terms and conditions of this Lease, (iii) this Lease is a “true lease” for all applicable legal and federal state and local tax purposes and is not a financing lease, capital lease, mortgage, equitable mortgage, deed of trust, trust agreement, security agreement or other financing or trust arrangement, and the economic realities of this Lease are those of a true lease, (iv) the business relationship created by this Lease and any related documents is and at all times shall remain that of landlord and tenant, (v) this Lease has been entered into by each party in reliance upon the mutual covenants, conditions and agreements contained herein, and (vi) none of the agreements contained herein is intended, nor shall the same be deemed or construed, to create a partnership between Landlord and Tenant, to make them joint venturers, to make Tenant an agent, legal representative, partner, subsidiary or employee of Landlord, or to make Landlord in any way responsible for the debts, obligations or losses of Tenant.</w:t>
      </w:r>
    </w:p>
    <w:p>
      <w:pPr>
        <w:spacing w:after="0" w:line="166" w:lineRule="exact"/>
        <w:rPr>
          <w:rFonts w:ascii="Arial" w:cs="Arial" w:eastAsia="Arial" w:hAnsi="Arial"/>
          <w:sz w:val="16"/>
          <w:szCs w:val="16"/>
          <w:color w:val="auto"/>
        </w:rPr>
      </w:pPr>
    </w:p>
    <w:p>
      <w:pPr>
        <w:ind w:left="2364" w:hanging="381"/>
        <w:spacing w:after="0"/>
        <w:tabs>
          <w:tab w:leader="none" w:pos="2364" w:val="left"/>
        </w:tabs>
        <w:numPr>
          <w:ilvl w:val="1"/>
          <w:numId w:val="87"/>
        </w:numPr>
        <w:rPr>
          <w:rFonts w:ascii="Arial" w:cs="Arial" w:eastAsia="Arial" w:hAnsi="Arial"/>
          <w:sz w:val="16"/>
          <w:szCs w:val="16"/>
          <w:color w:val="auto"/>
        </w:rPr>
      </w:pPr>
      <w:r>
        <w:rPr>
          <w:rFonts w:ascii="Arial" w:cs="Arial" w:eastAsia="Arial" w:hAnsi="Arial"/>
          <w:sz w:val="16"/>
          <w:szCs w:val="16"/>
          <w:color w:val="auto"/>
        </w:rPr>
        <w:t>Each of the parties hereto covenants and agrees not to (i) file any income tax return or other associated documents;</w:t>
      </w:r>
    </w:p>
    <w:p>
      <w:pPr>
        <w:spacing w:after="0" w:line="46" w:lineRule="exact"/>
        <w:rPr>
          <w:rFonts w:ascii="Arial" w:cs="Arial" w:eastAsia="Arial" w:hAnsi="Arial"/>
          <w:sz w:val="16"/>
          <w:szCs w:val="16"/>
          <w:color w:val="auto"/>
        </w:rPr>
      </w:pPr>
    </w:p>
    <w:p>
      <w:pPr>
        <w:ind w:left="4" w:right="40" w:hanging="4"/>
        <w:spacing w:after="0" w:line="288" w:lineRule="auto"/>
        <w:tabs>
          <w:tab w:leader="none" w:pos="269" w:val="left"/>
        </w:tabs>
        <w:numPr>
          <w:ilvl w:val="0"/>
          <w:numId w:val="88"/>
        </w:numPr>
        <w:rPr>
          <w:rFonts w:ascii="Arial" w:cs="Arial" w:eastAsia="Arial" w:hAnsi="Arial"/>
          <w:sz w:val="16"/>
          <w:szCs w:val="16"/>
          <w:color w:val="auto"/>
        </w:rPr>
      </w:pPr>
      <w:r>
        <w:rPr>
          <w:rFonts w:ascii="Arial" w:cs="Arial" w:eastAsia="Arial" w:hAnsi="Arial"/>
          <w:sz w:val="16"/>
          <w:szCs w:val="16"/>
          <w:color w:val="auto"/>
        </w:rPr>
        <w:t>file any other document with or submit any document to any governmental body or authority; (iii) enter into any written contractual arrangement with any Person; or (iv) release any financial statements of Tenant, in each case that takes a position other than that this Lease is a “true lease” for federal, state and local tax purposes with Landlord as owner of the Leased Property. The parties agree that the foregoing includes the agreement of the parties that (x) Landlord will be treated as the owner of such Leased Property eligible to claim depreciation deductions under Sections 167 or 168 of the Code with respect to such Leased Property, (y) Tenant will report its Rent payments as rent expense under Section 162 of the Code, and (z) Landlord will report the Rent payments as rental income under Section 61 of the Code, in each case except as otherwise required by a change in law or a “determination” within the meaning of Section 1313(a) of the Code (or similar provision of state or local law).</w:t>
      </w:r>
    </w:p>
    <w:p>
      <w:pPr>
        <w:spacing w:after="0" w:line="168" w:lineRule="exact"/>
        <w:rPr>
          <w:rFonts w:ascii="Arial" w:cs="Arial" w:eastAsia="Arial" w:hAnsi="Arial"/>
          <w:sz w:val="16"/>
          <w:szCs w:val="16"/>
          <w:color w:val="auto"/>
        </w:rPr>
      </w:pPr>
    </w:p>
    <w:p>
      <w:pPr>
        <w:ind w:left="4" w:right="40" w:firstLine="1979"/>
        <w:spacing w:after="0" w:line="342" w:lineRule="auto"/>
        <w:tabs>
          <w:tab w:leader="none" w:pos="2366" w:val="left"/>
        </w:tabs>
        <w:numPr>
          <w:ilvl w:val="1"/>
          <w:numId w:val="88"/>
        </w:numPr>
        <w:rPr>
          <w:rFonts w:ascii="Arial" w:cs="Arial" w:eastAsia="Arial" w:hAnsi="Arial"/>
          <w:sz w:val="16"/>
          <w:szCs w:val="16"/>
          <w:color w:val="auto"/>
        </w:rPr>
      </w:pPr>
      <w:r>
        <w:rPr>
          <w:rFonts w:ascii="Arial" w:cs="Arial" w:eastAsia="Arial" w:hAnsi="Arial"/>
          <w:sz w:val="16"/>
          <w:szCs w:val="16"/>
          <w:color w:val="auto"/>
        </w:rPr>
        <w:t>Landlord and Tenant acknowledge and agree that the Rent is the fair market rent for the use of the Leased Property and was agreed to by Landlord and Tenant on that basis, and the execution and delivery of, and the performance by Tenant of its obligations under, this</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99" w:name="page100"/>
    <w:bookmarkEnd w:id="99"/>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Lease does not constitute a transfer of all or any part of the Leased Property but rather the creation of the Leasehold Estate subject to the terms and conditions of this Lease.</w:t>
      </w:r>
    </w:p>
    <w:p>
      <w:pPr>
        <w:spacing w:after="0" w:line="170" w:lineRule="exact"/>
        <w:rPr>
          <w:sz w:val="20"/>
          <w:szCs w:val="20"/>
          <w:color w:val="auto"/>
        </w:rPr>
      </w:pPr>
    </w:p>
    <w:p>
      <w:pPr>
        <w:ind w:firstLine="1979"/>
        <w:spacing w:after="0" w:line="254" w:lineRule="auto"/>
        <w:tabs>
          <w:tab w:leader="none" w:pos="2369"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Tenant waives any claim or defense based upon the characterization of this Lease as anything other than a true lease for all applicable legal and federal, state and local tax purposes and as a lease of all of the Leased Property. Tenant stipulates and agrees (1) not to challenge the validity, enforceability or 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Section 3.4 or this Section 6.1, in each case except as otherwise required by a change in law or a “determination” within the meaning of Section 1313(a) of the Code (or similar provision of state or local law). The expressions of intent, the waivers, the representations and warranties, the covenants, the agreements and the stipulations set forth in this </w:t>
      </w:r>
      <w:r>
        <w:rPr>
          <w:rFonts w:ascii="Arial" w:cs="Arial" w:eastAsia="Arial" w:hAnsi="Arial"/>
          <w:sz w:val="18"/>
          <w:szCs w:val="18"/>
          <w:b w:val="1"/>
          <w:bCs w:val="1"/>
          <w:color w:val="auto"/>
        </w:rPr>
        <w:t>Section 6.1</w:t>
      </w:r>
      <w:r>
        <w:rPr>
          <w:rFonts w:ascii="Arial" w:cs="Arial" w:eastAsia="Arial" w:hAnsi="Arial"/>
          <w:sz w:val="18"/>
          <w:szCs w:val="18"/>
          <w:color w:val="auto"/>
        </w:rPr>
        <w:t xml:space="preserve"> are a material inducement to Landlord and Tenant entering into this Lease.</w:t>
      </w:r>
    </w:p>
    <w:p>
      <w:pPr>
        <w:spacing w:after="0" w:line="188" w:lineRule="exact"/>
        <w:rPr>
          <w:sz w:val="20"/>
          <w:szCs w:val="20"/>
          <w:color w:val="auto"/>
        </w:rPr>
      </w:pPr>
    </w:p>
    <w:p>
      <w:pPr>
        <w:ind w:firstLine="1983"/>
        <w:spacing w:after="0" w:line="286"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Tenant’s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during the entire Term, own (or lease) and maintain (or cause its Subsidiaries to own</w:t>
      </w:r>
      <w:r>
        <w:rPr>
          <w:rFonts w:ascii="Arial" w:cs="Arial" w:eastAsia="Arial" w:hAnsi="Arial"/>
          <w:sz w:val="16"/>
          <w:szCs w:val="16"/>
          <w:b w:val="1"/>
          <w:bCs w:val="1"/>
          <w:color w:val="auto"/>
        </w:rPr>
        <w:t xml:space="preserve"> </w:t>
      </w:r>
      <w:r>
        <w:rPr>
          <w:rFonts w:ascii="Arial" w:cs="Arial" w:eastAsia="Arial" w:hAnsi="Arial"/>
          <w:sz w:val="16"/>
          <w:szCs w:val="16"/>
          <w:color w:val="auto"/>
        </w:rPr>
        <w:t>(or lease) and maintain) on the Leased Property adequate and sufficient Tenant’s Property, and shall maintain (or cause its Subsidiaries to maintain) all of such Tenant’s Property in good order, condition and repair, in all cases as shall be necessary and appropriate in order to operate the Facility for the Primary Intended Use in compliance with all applicable licensure and certification requirements and in compliance with all applicable Legal Requirements, Insurance Requirements, and Gaming Regulations. If any of Tenant’s Property requires replacement in order to comply with the foregoing, Tenant shall replace (or cause a Subsidiary to replace) it with similar property of the same or better quality at Tenant’s (or such Subsidiary’s) sole cost and expense. Subject to the foregoing, Tenant and its Subsidiaries may sell, transfer, convey or otherwise dispose of Tenant’s Property (other than Gaming Licenses and subject to Section 6.3) in their discretion in the ordinary course of its business and Landlord shall have no rights to such Tenant’s Property in a manner that does not impair the compliance of the Facility with the Operating Standard. Tenant shall, upon Landlord’s request, from time to time but not more frequently than one time per Lease Year, provide Landlord with a list of the material Tenant’s Property located at the Facility. In the case of any such Tenant’s Property that is leased (rather than owned) by Tenant (or its Subsidiaries), Tenant shall use commercially reasonable efforts to ensure that the lease agreements pursuant to which Tenant (or its Subsidiaries) leases such Tenant’s Property are assignable to third parties in connection with any transfer by Tenant (or its Subsidiaries) to a replacement lessee or operator at the end of the Term. Tenant shall remove all of Tenant’s Property from the Leased Property at the end of the Term, except to the extent Tenant has transferred ownership of such Tenant’s Property to a Successor Tenant or Landlord. Any Tenant’s Property left on the Leased Property at the end of the Term whose ownership was not transferred to a Successor Tenant shall be deemed abandoned by Tenant and shall become the property of Landlord.</w:t>
      </w:r>
    </w:p>
    <w:p>
      <w:pPr>
        <w:spacing w:after="0" w:line="164" w:lineRule="exact"/>
        <w:rPr>
          <w:sz w:val="20"/>
          <w:szCs w:val="20"/>
          <w:color w:val="auto"/>
        </w:rPr>
      </w:pPr>
    </w:p>
    <w:p>
      <w:pPr>
        <w:ind w:right="80" w:firstLine="1983"/>
        <w:spacing w:after="0" w:line="303"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u w:val="single" w:color="auto"/>
          <w:color w:val="auto"/>
        </w:rPr>
        <w:t>Guarantors; Tenant’s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Tenant’s Parent and each of Tenant’s Subsidiaries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6.3</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a Guarantor under this Lease and shall execute and deliver to the Landlord the Guaranty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In addition, if any material Gaming License or other license or other material asset necessary to operate any portion of the Leased Property is owned by a Subsidiary, Tenant shall within two (2) Business Days after the date such Subsidiary acquires such Gaming License, other license or other material asset, (a)</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notify the Landlord thereof and (b) cause such Subsidiary (if it is not already a Guarantor) to become a Guarantor by executing the Guaranty in form and substance reasonably satisfactory to Landlord.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ind w:right="20" w:firstLine="1983"/>
        <w:spacing w:after="0" w:line="283"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u w:val="single" w:color="auto"/>
          <w:color w:val="auto"/>
        </w:rPr>
        <w:t>Condition of the Leased Property</w:t>
      </w:r>
      <w:r>
        <w:rPr>
          <w:rFonts w:ascii="Arial" w:cs="Arial" w:eastAsia="Arial" w:hAnsi="Arial"/>
          <w:sz w:val="16"/>
          <w:szCs w:val="16"/>
          <w:color w:val="auto"/>
        </w:rPr>
        <w:t>. Tenant acknowledges receipt and delivery of possession of the Leased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confirms that Tenant has examined and otherwise has knowledge of the condition of the Leased Property prior to the execution and delivery of this Lease and has found the same (except as included in the disclosures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be in good order and repair and, to the best of Tenant’s knowledge, free from Hazardous Substances not in compliance with Legal Requirements and satisfactory for its purposes hereunder, it being understood and acknowledged by Tenant that, immediately prior to Landlord’s Parent acquisition of the ownership interest in Everett Landlord and contemporaneous entry into this Lease, Tenant (or its Affiliates) was the owner of all of Landlord’s interest in and to the Leased Property and, accordingly, Tenant is charged with, and deemed to have, full and complete knowledge of all aspects of the condition and state of the Leased Property as of the Commencement Date. Regardless, however, of any examination or inspection made by Tenant and whether or not any patent or latent defect or condition was revealed or discovered thereby, Tenant is leasing the Leased Property “as is” in its present condition. Tenant waives any claim or action against Landlord in respect of the condition of the Leased Property including any defects or adverse conditions not discovered or otherwise known by Tenant as of the Commencement Date. </w:t>
      </w:r>
      <w:r>
        <w:rPr>
          <w:rFonts w:ascii="Arial" w:cs="Arial" w:eastAsia="Arial" w:hAnsi="Arial"/>
          <w:sz w:val="16"/>
          <w:szCs w:val="16"/>
          <w:b w:val="1"/>
          <w:bCs w:val="1"/>
          <w:color w:val="auto"/>
        </w:rPr>
        <w:t>LANDLORD MAKES NO WARRANTY OR REPRESENTATION OF ANY KIND, EXPRESS OR</w:t>
      </w:r>
    </w:p>
    <w:p>
      <w:pPr>
        <w:spacing w:after="0" w:line="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b w:val="1"/>
          <w:bCs w:val="1"/>
          <w:color w:val="auto"/>
        </w:rPr>
        <w:t>IMPLIED, IN RESPECT OF THE LEASED PROPERTY OR ANY PART THEREOF, INCLUDING AS TO ITS FITNESS FOR USE, DESIGN OR CONDITION FOR ANY PARTICULAR USE OR PURPOSE OR OTHERWISE, OR AS TO THE NATURE OR QUALITY OF THE MATERIAL OR WORKMANSHIP THEREIN, OR THE STATUS OF TITLE TO THE LEASED PROPERTY OR THE PHYSICAL CONDITION OR STATE OF REPAIR THEREOF, OR THE ZONING OR OTHER LAWS, ORDINANCES, BUILDING CODES, REGULATIONS, RULES AND ORDERS APPLICABLE THERETO OR TO ANY CAPITAL IMPROVEMENTS WHICH MAY BE NOW OR HEREAFTER CONTEMPLATED, THE IMPOSITIONS LEVIED IN RESPECT OF THE LEASED PROPERTY OR ANY PART THEREOF, OR THE USE THAT MAY BE MADE OF THE LEASED PROPERTY OR ANY PART THEREOF, THE INCOME TO BE DERIVED FROM THE FACILITY OR THE EXPENSE OF OPERATING THE SAME, OR THE EXISTENCE OF ANY HAZARDOUS SUBSTANCE ON THE LEASED PROPERTY OR ANY PART THEREOF, IT BEING AGREED THAT ALL SUCH RISKS, LATENT OR PATENT, ARE TO BE BORNE SOLELY BY TENANT INCLUDING ALL RESPONSIBILITY AND LIABILITY FOR ANY ENVIRONMENTAL REMEDIATION AND COMPLIANCE WITH ALL ENVIRONMENTAL LAWS.</w:t>
      </w:r>
    </w:p>
    <w:p>
      <w:pPr>
        <w:spacing w:after="0" w:line="192"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u w:val="single" w:color="auto"/>
          <w:color w:val="auto"/>
        </w:rPr>
        <w:t>Use of the Leased Property</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220" w:firstLine="1979"/>
        <w:spacing w:after="0" w:line="263" w:lineRule="auto"/>
        <w:tabs>
          <w:tab w:leader="none" w:pos="23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Tenant shall use or cause to be used the Leased Property and the improvements thereon of the Facility for its Primary Intended Use in accordance with the Operating Standard. Tenant shall not use the Leased Property or any portion thereof or any Capital Improvement thereto for any other use without the prior written consent of Landlord, which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01" w:name="page102"/>
    <w:bookmarkEnd w:id="101"/>
    <w:p>
      <w:pPr>
        <w:ind w:left="4"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Landlord may withhold in its sole discretion. Landlord acknowledges that operation of the Facility for its Primary Intended Use generally requires a Gaming License under applicable Gaming Regulations and that without such a license neither Landlord nor Landlord’s Parent may operate, control or participate in the conduct of the gaming and/or racing operations at the Facility.</w:t>
      </w:r>
    </w:p>
    <w:p>
      <w:pPr>
        <w:spacing w:after="0" w:line="184" w:lineRule="exact"/>
        <w:rPr>
          <w:sz w:val="20"/>
          <w:szCs w:val="20"/>
          <w:color w:val="auto"/>
        </w:rPr>
      </w:pPr>
    </w:p>
    <w:p>
      <w:pPr>
        <w:ind w:left="4" w:right="200" w:firstLine="1979"/>
        <w:spacing w:after="0" w:line="311" w:lineRule="auto"/>
        <w:tabs>
          <w:tab w:leader="none" w:pos="2373" w:val="left"/>
        </w:tabs>
        <w:numPr>
          <w:ilvl w:val="1"/>
          <w:numId w:val="91"/>
        </w:numPr>
        <w:rPr>
          <w:rFonts w:ascii="Arial" w:cs="Arial" w:eastAsia="Arial" w:hAnsi="Arial"/>
          <w:sz w:val="16"/>
          <w:szCs w:val="16"/>
          <w:color w:val="auto"/>
        </w:rPr>
      </w:pPr>
      <w:r>
        <w:rPr>
          <w:rFonts w:ascii="Arial" w:cs="Arial" w:eastAsia="Arial" w:hAnsi="Arial"/>
          <w:sz w:val="16"/>
          <w:szCs w:val="16"/>
          <w:color w:val="auto"/>
        </w:rPr>
        <w:t>Tenant shall not commit or suffer to be committed any material waste on the Leased Property (including any Capital Improvement thereto) or cause or permit any material nuisance thereon or to, except as required by law, take or suffer any material action or condition that will materially diminish the ability of the Leased Property to be used as a Gaming Facility after the expiration or earlier termination of the Term.</w:t>
      </w:r>
    </w:p>
    <w:p>
      <w:pPr>
        <w:spacing w:after="0" w:line="148" w:lineRule="exact"/>
        <w:rPr>
          <w:rFonts w:ascii="Arial" w:cs="Arial" w:eastAsia="Arial" w:hAnsi="Arial"/>
          <w:sz w:val="16"/>
          <w:szCs w:val="16"/>
          <w:color w:val="auto"/>
        </w:rPr>
      </w:pPr>
    </w:p>
    <w:p>
      <w:pPr>
        <w:ind w:left="2364" w:hanging="381"/>
        <w:spacing w:after="0"/>
        <w:tabs>
          <w:tab w:leader="none" w:pos="2364" w:val="left"/>
        </w:tabs>
        <w:numPr>
          <w:ilvl w:val="1"/>
          <w:numId w:val="91"/>
        </w:numPr>
        <w:rPr>
          <w:rFonts w:ascii="Arial" w:cs="Arial" w:eastAsia="Arial" w:hAnsi="Arial"/>
          <w:sz w:val="17"/>
          <w:szCs w:val="17"/>
          <w:color w:val="auto"/>
        </w:rPr>
      </w:pPr>
      <w:r>
        <w:rPr>
          <w:rFonts w:ascii="Arial" w:cs="Arial" w:eastAsia="Arial" w:hAnsi="Arial"/>
          <w:sz w:val="17"/>
          <w:szCs w:val="17"/>
          <w:color w:val="auto"/>
        </w:rPr>
        <w:t>Tenant shall neither suffer nor permit the Leased Property or any portion thereof to be used in such a manner as</w:t>
      </w:r>
    </w:p>
    <w:p>
      <w:pPr>
        <w:spacing w:after="0" w:line="34" w:lineRule="exact"/>
        <w:rPr>
          <w:rFonts w:ascii="Arial" w:cs="Arial" w:eastAsia="Arial" w:hAnsi="Arial"/>
          <w:sz w:val="17"/>
          <w:szCs w:val="17"/>
          <w:color w:val="auto"/>
        </w:rPr>
      </w:pPr>
    </w:p>
    <w:p>
      <w:pPr>
        <w:ind w:left="4" w:hanging="4"/>
        <w:spacing w:after="0" w:line="260" w:lineRule="auto"/>
        <w:tabs>
          <w:tab w:leader="none" w:pos="219" w:val="left"/>
        </w:tabs>
        <w:numPr>
          <w:ilvl w:val="0"/>
          <w:numId w:val="92"/>
        </w:numPr>
        <w:rPr>
          <w:rFonts w:ascii="Arial" w:cs="Arial" w:eastAsia="Arial" w:hAnsi="Arial"/>
          <w:sz w:val="18"/>
          <w:szCs w:val="18"/>
          <w:color w:val="auto"/>
        </w:rPr>
      </w:pPr>
      <w:r>
        <w:rPr>
          <w:rFonts w:ascii="Arial" w:cs="Arial" w:eastAsia="Arial" w:hAnsi="Arial"/>
          <w:sz w:val="18"/>
          <w:szCs w:val="18"/>
          <w:color w:val="auto"/>
        </w:rPr>
        <w:t>might reasonably tend to impair Landlord’s title thereto or to any portion thereof or (ii) may make possible a claim of adverse use or possession, or an implied dedication of the Leased Property or any portion thereof.</w:t>
      </w:r>
    </w:p>
    <w:p>
      <w:pPr>
        <w:spacing w:after="0" w:line="185" w:lineRule="exact"/>
        <w:rPr>
          <w:rFonts w:ascii="Arial" w:cs="Arial" w:eastAsia="Arial" w:hAnsi="Arial"/>
          <w:sz w:val="18"/>
          <w:szCs w:val="18"/>
          <w:color w:val="auto"/>
        </w:rPr>
      </w:pPr>
    </w:p>
    <w:p>
      <w:pPr>
        <w:ind w:left="4" w:right="60" w:firstLine="1979"/>
        <w:spacing w:after="0" w:line="287" w:lineRule="auto"/>
        <w:tabs>
          <w:tab w:leader="none" w:pos="2377" w:val="left"/>
        </w:tabs>
        <w:numPr>
          <w:ilvl w:val="1"/>
          <w:numId w:val="92"/>
        </w:numPr>
        <w:rPr>
          <w:rFonts w:ascii="Arial" w:cs="Arial" w:eastAsia="Arial" w:hAnsi="Arial"/>
          <w:sz w:val="16"/>
          <w:szCs w:val="16"/>
          <w:color w:val="auto"/>
        </w:rPr>
      </w:pPr>
      <w:r>
        <w:rPr>
          <w:rFonts w:ascii="Arial" w:cs="Arial" w:eastAsia="Arial" w:hAnsi="Arial"/>
          <w:sz w:val="16"/>
          <w:szCs w:val="16"/>
          <w:color w:val="auto"/>
        </w:rPr>
        <w:t>Except as a result of a Casualty Event, other Unavoidable Delay or a Discretionary Closure, Tenant shall continuously operate the Facility for the Primary Intended Use in accordance with the Operating Standard. Tenant in its discretion shall be permitted to cease operations at the Facility (a “</w:t>
      </w:r>
      <w:r>
        <w:rPr>
          <w:rFonts w:ascii="Arial" w:cs="Arial" w:eastAsia="Arial" w:hAnsi="Arial"/>
          <w:sz w:val="16"/>
          <w:szCs w:val="16"/>
          <w:b w:val="1"/>
          <w:bCs w:val="1"/>
          <w:color w:val="auto"/>
        </w:rPr>
        <w:t>Discretionary Closure</w:t>
      </w:r>
      <w:r>
        <w:rPr>
          <w:rFonts w:ascii="Arial" w:cs="Arial" w:eastAsia="Arial" w:hAnsi="Arial"/>
          <w:sz w:val="16"/>
          <w:szCs w:val="16"/>
          <w:color w:val="auto"/>
        </w:rPr>
        <w:t>”), provided that during any consecutive five-year period during the Term the aggregate number of days during which operations at the Facility have ceased due to a Discretionary Closure shall not exceed 365 days in the aggregate. Notwithstanding the foregoing, no Discretionary Closure shall be permitted to commence or continue if such Discretionary Closure is primarily intended to frustrate Landlord’s ability to operate the Leased Property for its Primary Intended Use at the end of the Term. Notwithstanding anything to the contrary contained herein, in the event there is a Discretionary Closure, (1) Rent under this Lease will not be subject to abatement in any respect as a result of such Discretionary Closure, (2) Tenant will still be required to perform its other obligations under this Lease, including maintaining the Leased Property and providing reasonably sufficient security to protect the Leased Property, and (3) from and after a Wynn Tenant Transfer, solely for purposes of calculating the Required CapEx and the FF&amp;E Reserve Funds, Net Revenue for the period of such Discretionary Closure shall instead be deemed to include an amount calculated based on the average monthly Net Revenue for the preceding twelve (12) month period (excluding any other periods of Discretionary Closure) ending on the last day of the last full calendar month immediately preceding the period of such Discretionary Closure.</w:t>
      </w:r>
    </w:p>
    <w:p>
      <w:pPr>
        <w:spacing w:after="0" w:line="167" w:lineRule="exact"/>
        <w:rPr>
          <w:rFonts w:ascii="Arial" w:cs="Arial" w:eastAsia="Arial" w:hAnsi="Arial"/>
          <w:sz w:val="16"/>
          <w:szCs w:val="16"/>
          <w:color w:val="auto"/>
        </w:rPr>
      </w:pPr>
    </w:p>
    <w:p>
      <w:pPr>
        <w:ind w:left="4" w:right="40" w:firstLine="1979"/>
        <w:spacing w:after="0" w:line="254" w:lineRule="auto"/>
        <w:tabs>
          <w:tab w:leader="none" w:pos="2363"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Tenant shall comply with, and perform and satisfy all of the obligations of Landlord under, all Property Documents and all PILOT and Community Documents (including all requirements, terms and conditions thereof) (i) that exist on the date hereof, or (ii) that are made after the date hereof in accordance with the terms of this Lease or as may otherwise be agreed to in writing by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Tenant shall not be required to comply with the provisions of any Property Document or any PILOT and Community Document to the extent that the required counterparty(ies) to such Property Document or such PILOT and Community Document have waived Tenant’s compliance therewith in writing. Landlord shall not enter into, amend or otherwise modify any easement, instrument or agreement that encumbers the Leased Property (including any Property Documents or any PILOT and Community Document) without Tenant’s consent, which shall not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that, Tenant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102" w:name="page103"/>
    <w:bookmarkEnd w:id="102"/>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 given reasonable opportunity to participate in the process leading to such agreement, amendment or other modification;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it is understood and agreed that it is reasonable for Tenant to withhold its consent to any such action if it will impose any material obligation on Tenant or materially reduce the value of Tenant’s interest in the Leased Property.</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ind w:right="240" w:firstLine="1983"/>
        <w:spacing w:after="0" w:line="258"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represents and warrants to the other that: (i) this Lease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Lease within the Commonwealth of Massachusetts; and (iii) neither this Lease nor any other document executed or to be executed in connection herewith violates the terms of any other agreement of such party.</w:t>
      </w:r>
    </w:p>
    <w:p>
      <w:pPr>
        <w:spacing w:after="0" w:line="183"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Compliance with Legal and Insurance Requirements, etc.</w:t>
      </w:r>
    </w:p>
    <w:p>
      <w:pPr>
        <w:spacing w:after="0" w:line="229" w:lineRule="exact"/>
        <w:rPr>
          <w:sz w:val="20"/>
          <w:szCs w:val="20"/>
          <w:color w:val="auto"/>
        </w:rPr>
      </w:pPr>
    </w:p>
    <w:p>
      <w:pPr>
        <w:ind w:firstLine="1979"/>
        <w:spacing w:after="0" w:line="267" w:lineRule="auto"/>
        <w:tabs>
          <w:tab w:leader="none" w:pos="2362" w:val="left"/>
        </w:tabs>
        <w:numPr>
          <w:ilvl w:val="0"/>
          <w:numId w:val="93"/>
        </w:numPr>
        <w:rPr>
          <w:rFonts w:ascii="Arial" w:cs="Arial" w:eastAsia="Arial" w:hAnsi="Arial"/>
          <w:sz w:val="17"/>
          <w:szCs w:val="17"/>
          <w:color w:val="auto"/>
        </w:rPr>
      </w:pPr>
      <w:r>
        <w:rPr>
          <w:rFonts w:ascii="Arial" w:cs="Arial" w:eastAsia="Arial" w:hAnsi="Arial"/>
          <w:sz w:val="17"/>
          <w:szCs w:val="17"/>
          <w:color w:val="auto"/>
        </w:rPr>
        <w:t>Subject to Article XII regarding permitted contests, Tenant, at its expense, shall promptly (i) comply in all material respects with all Legal Requirements and Insurance Requirements regarding the use, operation, maintenance, repair and restoration of the Leased Property (including all Capital Improvements thereto) and Tenant’s Property whether or not compliance therewith may require structural changes in any of the Leased Improvements or interfere with the use and enjoyment of the Leased Property and (ii) procure, maintain and comply in all material respects with all Gaming Regulations and Gaming Licenses,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In an emergency or in the event of a breach by Tenant of its obligations under this Section 8.2 which is not cured within any applicable cure period, Landlord may, but shall not be obligated to, enter upon the Leased Property and take such reasonable actions and incur such reasonable costs and expenses to effect such compliance as it deems advisable to protect its interest in the Leased Property, and Tenant shall reimburse Landlord for all such reasonable costs and expenses incurred by Landlord in connection with such actions. Tenant covenants and agrees that the Leased Property and Tenant’s Property shall not be used for any unlawful purpose. In the event that a Gaming Authority, regulatory agency, commission, board or other governmental body notifies Tenant in writing that it is in jeopardy of losing a Gaming License material to this Lease or the continued operation of the Facility, Tenant shall promptly notify Landlord. In such event, Tenant shall have the option to (i) sell or transfer, if permitted by applicable law, the Gaming License, and (ii) sell Tenant’s Property related to the Facility (other than Tenant FF&amp;E, which shall become Leased Property and shall cease to constitute Tenant’s Property) to a successor operator of the Facility determined by Landlord choosing one and Tenant choosing three (for a total of four) potential operators and Landlord indicating the reasonable, market terms under which it would agree to lease the Facility to such potential operators, which in Landlord’s reasonable discretion may contain reasonable variations in terms to the extent required to account for credit quality differences among the potential operators (</w:t>
      </w:r>
      <w:r>
        <w:rPr>
          <w:rFonts w:ascii="Arial" w:cs="Arial" w:eastAsia="Arial" w:hAnsi="Arial"/>
          <w:sz w:val="17"/>
          <w:szCs w:val="17"/>
          <w:u w:val="single" w:color="auto"/>
          <w:color w:val="auto"/>
        </w:rPr>
        <w:t>e.g.</w:t>
      </w:r>
      <w:r>
        <w:rPr>
          <w:rFonts w:ascii="Arial" w:cs="Arial" w:eastAsia="Arial" w:hAnsi="Arial"/>
          <w:sz w:val="17"/>
          <w:szCs w:val="17"/>
          <w:color w:val="auto"/>
        </w:rPr>
        <w:t>, Landlord may require different letter of credit terms and amounts, but may not set different rent terms) and may require that in no event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4" w:right="499" w:bottom="1440" w:gutter="0" w:footer="0" w:header="0"/>
        </w:sectPr>
      </w:pPr>
    </w:p>
    <w:bookmarkStart w:id="103" w:name="page104"/>
    <w:bookmarkEnd w:id="10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any such market terms be less than the market terms of this Lease. Tenant will then be entitled to auction off Tenant’s Property (other than Tenant FF&amp;E, which shall become Leased Property and shall cease to constitute Tenant’s Property) relating to the Facility and Landlord will thereafter be entitled to lease the Facility to the potential successor that is the successful bidder. In the event such operator satisfies the requirements of a Qualified Transferee, this Lease shall automatically terminate.</w:t>
      </w:r>
    </w:p>
    <w:p>
      <w:pPr>
        <w:spacing w:after="0" w:line="187" w:lineRule="exact"/>
        <w:rPr>
          <w:sz w:val="20"/>
          <w:szCs w:val="20"/>
          <w:color w:val="auto"/>
        </w:rPr>
      </w:pPr>
    </w:p>
    <w:p>
      <w:pPr>
        <w:ind w:firstLine="1979"/>
        <w:spacing w:after="0" w:line="286" w:lineRule="auto"/>
        <w:tabs>
          <w:tab w:leader="none" w:pos="2373" w:val="left"/>
        </w:tabs>
        <w:numPr>
          <w:ilvl w:val="0"/>
          <w:numId w:val="94"/>
        </w:numPr>
        <w:rPr>
          <w:rFonts w:ascii="Arial" w:cs="Arial" w:eastAsia="Arial" w:hAnsi="Arial"/>
          <w:sz w:val="16"/>
          <w:szCs w:val="16"/>
          <w:color w:val="auto"/>
        </w:rPr>
      </w:pPr>
      <w:r>
        <w:rPr>
          <w:rFonts w:ascii="Arial" w:cs="Arial" w:eastAsia="Arial" w:hAnsi="Arial"/>
          <w:sz w:val="16"/>
          <w:szCs w:val="16"/>
          <w:color w:val="auto"/>
        </w:rPr>
        <w:t>Landlord shall comply with any Gaming Regulations or other regulatory requirements required of it as owner of the Facility taking into account its Primary Intended Use (except to the extent Tenant fulfills or is required to fulfill any such requirements hereunder). In the event that a regulatory agency, commission, board or other governmental body notifies Landlord that it is in jeopardy of failing to comply with any such Gaming Regulation or other regulatory requirements material to the continued operation of the Facility for its Primary Intended Use, Landlord shall be given reasonable time to address the regulatory issue, after which period (but in all events prior to an actual cessation of the use of the Facility for its Primary Intended Use as a result of the failure by Landlord to comply with such regulatory requirements) Landlord shall be required to sell the Leased Property to a buyer that is in compliance with all Gaming Regulations (and Tenant shall be entitled to be one of the bidders) and this Lease will remain in effect. In the event during the period in which Landlord conducts such auction such regulatory agency notifies Landlord and Tenant that Tenant may not pay any portion of the Rent to Landlord, Tenant shall be entitled to fund such amount into an escrow account, to be released to Landlord or the party legally entitled thereto at or upon resolution of such regulatory issues and otherwise on terms reasonably satisfactory to the parties. Notwithstanding anything in the foregoing to the contrary, no transfer of Tenant’s Property used in the conduct of gaming (including the purported or attempted transfer of a Gaming License) or the operation of a Gaming Facility for its Primary Intended Use shall be effected or permitted without receipt of all necessary approvals and/or Gaming Licenses in accordance with applicable Gaming Regulations.</w:t>
      </w:r>
    </w:p>
    <w:p>
      <w:pPr>
        <w:spacing w:after="0" w:line="173" w:lineRule="exact"/>
        <w:rPr>
          <w:rFonts w:ascii="Arial" w:cs="Arial" w:eastAsia="Arial" w:hAnsi="Arial"/>
          <w:sz w:val="16"/>
          <w:szCs w:val="16"/>
          <w:color w:val="auto"/>
        </w:rPr>
      </w:pPr>
    </w:p>
    <w:p>
      <w:pPr>
        <w:ind w:right="40" w:firstLine="1979"/>
        <w:spacing w:after="0" w:line="259" w:lineRule="auto"/>
        <w:tabs>
          <w:tab w:leader="none" w:pos="23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connection with this Agreement, Tenant shall not take any action, directly or indirectly, that would result in a material violation of the Uniting and Strengthening America by Providing Appropriate Tools Required to Intercept and Obstruct Terrorism Act of 2001 (the “</w:t>
      </w:r>
      <w:r>
        <w:rPr>
          <w:rFonts w:ascii="Arial" w:cs="Arial" w:eastAsia="Arial" w:hAnsi="Arial"/>
          <w:sz w:val="18"/>
          <w:szCs w:val="18"/>
          <w:b w:val="1"/>
          <w:bCs w:val="1"/>
          <w:color w:val="auto"/>
        </w:rPr>
        <w:t>U.S.A. Patriot Act</w:t>
      </w:r>
      <w:r>
        <w:rPr>
          <w:rFonts w:ascii="Arial" w:cs="Arial" w:eastAsia="Arial" w:hAnsi="Arial"/>
          <w:sz w:val="18"/>
          <w:szCs w:val="18"/>
          <w:color w:val="auto"/>
        </w:rPr>
        <w:t>”), the Bank Secrecy Act of 1970 (the “</w:t>
      </w:r>
      <w:r>
        <w:rPr>
          <w:rFonts w:ascii="Arial" w:cs="Arial" w:eastAsia="Arial" w:hAnsi="Arial"/>
          <w:sz w:val="18"/>
          <w:szCs w:val="18"/>
          <w:b w:val="1"/>
          <w:bCs w:val="1"/>
          <w:color w:val="auto"/>
        </w:rPr>
        <w:t>Bank Secrecy Act</w:t>
      </w:r>
      <w:r>
        <w:rPr>
          <w:rFonts w:ascii="Arial" w:cs="Arial" w:eastAsia="Arial" w:hAnsi="Arial"/>
          <w:sz w:val="18"/>
          <w:szCs w:val="18"/>
          <w:color w:val="auto"/>
        </w:rPr>
        <w:t>”), or the regulations or orders issued by the Office of Foreign Assets Control of the United States Department of the Treasury (“</w:t>
      </w:r>
      <w:r>
        <w:rPr>
          <w:rFonts w:ascii="Arial" w:cs="Arial" w:eastAsia="Arial" w:hAnsi="Arial"/>
          <w:sz w:val="18"/>
          <w:szCs w:val="18"/>
          <w:b w:val="1"/>
          <w:bCs w:val="1"/>
          <w:color w:val="auto"/>
        </w:rPr>
        <w:t>OFAC</w:t>
      </w:r>
      <w:r>
        <w:rPr>
          <w:rFonts w:ascii="Arial" w:cs="Arial" w:eastAsia="Arial" w:hAnsi="Arial"/>
          <w:sz w:val="18"/>
          <w:szCs w:val="18"/>
          <w:color w:val="auto"/>
        </w:rPr>
        <w:t>”).</w:t>
      </w:r>
    </w:p>
    <w:p>
      <w:pPr>
        <w:spacing w:after="0" w:line="183" w:lineRule="exact"/>
        <w:rPr>
          <w:sz w:val="20"/>
          <w:szCs w:val="20"/>
          <w:color w:val="auto"/>
        </w:rPr>
      </w:pPr>
    </w:p>
    <w:p>
      <w:pPr>
        <w:ind w:right="80" w:firstLine="1983"/>
        <w:spacing w:after="0" w:line="291"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b w:val="1"/>
          <w:bCs w:val="1"/>
          <w:u w:val="single" w:color="auto"/>
          <w:color w:val="auto"/>
        </w:rPr>
        <w:t>Zoning and Uses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prior written consent of Landlord, which shall not be unreasonably withheld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action for which consent is sought could adversely affect the Primary Intended Use of the Facility (in which event Landlord may withhold its consent in its sole and absolute discretion), Tenant shall not (i) initiate or support any limiting change in the permitted uses of the Leased Property (or to the extent applicable, limiting zoning reclassification of the Leased Property); (ii) seek any variance under existing land use restrictions, laws, rules or regulations (or, to the extent applicable, zoning ordinances) applicable to the Leased Property or use or permit the use of the Leased Property; (iii) impose or permit or suffer the imposition of any restrictive covenants, easements or encumbrances (other than Permitted Leasehold Mortgages) upon the Leased Property in any manner that adversely affects in any material respect the value or utility of the Leased Property, or cause Landlord to incur any material incremental cost that would survive the expiration or termination of this Lease; (iv) execute or file any subdivision plat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104" w:name="page105"/>
    <w:bookmarkEnd w:id="104"/>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affecting the Leased Property, or institute, or permit the institution of, proceedings to alter any tax lot comprising the Leased Property; or (v) permit or suffer the Leased Property to be used by the public or any Person in such manner as might make possible a claim of adverse usage or possession or of any implied dedication or easement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proscription in this clause (v) is not intended to and shall not restrict Tenant in any way from complying with any obligation it may have under applicable Legal Requirements, including, without limitation, Gaming Regulations, to afford to the public access to the Leased Property).</w:t>
      </w:r>
    </w:p>
    <w:p>
      <w:pPr>
        <w:spacing w:after="0" w:line="184"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u w:val="single" w:color="auto"/>
          <w:color w:val="auto"/>
        </w:rPr>
        <w:t>Compliance with Ground Leases</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1979"/>
        <w:spacing w:after="0" w:line="268" w:lineRule="auto"/>
        <w:tabs>
          <w:tab w:leader="none" w:pos="2359"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This Lease, to the extent affecting and solely with respect to the Ground Leased Property, is and shall be subject and subordinate to all of the terms and conditions of the Ground Lease. Tenant hereby acknowledges that Tenant has reviewed and agreed to all of the terms and conditions of the Ground Lease. Tenant hereby agrees that Tenant shall not do, or fail to do, anything that would cause any violation of the Ground Lease. Without limiting the foregoing, (i) Tenant shall pay Landlord on demand as an Additional Charge hereunder all rent required to be paid by, and other monetary obligations of, Landlord as tenant under the Ground Lease (and, at Landlord’s option, Tenant shall make such payments directly to the Ground Lessor);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such Additional Charges payable by Tenant shall exclude any additional costs under the Ground Lease which are caused solely by Landlord’s default under the Ground Lease or modification of any terms of the Ground Lease after the Commencement Date without consent or fault of or omission by Tenant, (ii) perform all obligations of the Landlord under the Ground Lease as if it was the lessee thereto; (iii) to the extent Landlord is required to obtain the written consent of the lessor under the Ground Lease (the “</w:t>
      </w:r>
      <w:r>
        <w:rPr>
          <w:rFonts w:ascii="Arial" w:cs="Arial" w:eastAsia="Arial" w:hAnsi="Arial"/>
          <w:sz w:val="17"/>
          <w:szCs w:val="17"/>
          <w:b w:val="1"/>
          <w:bCs w:val="1"/>
          <w:color w:val="auto"/>
        </w:rPr>
        <w:t>Ground Lessor</w:t>
      </w:r>
      <w:r>
        <w:rPr>
          <w:rFonts w:ascii="Arial" w:cs="Arial" w:eastAsia="Arial" w:hAnsi="Arial"/>
          <w:sz w:val="17"/>
          <w:szCs w:val="17"/>
          <w:color w:val="auto"/>
        </w:rPr>
        <w:t>”) to alterations of or the subleasing of all or any portion of the Ground Leased Property pursuant to the Ground Lease, Tenant shall likewise obtain Ground Lessor’s written consent to alterations of or the subleasing of all or any portion of the Ground Leased Property (and Landlord will use commercially reasonable efforts to submit such requests to Ground Lessor and cooperate, at no cost or expense to Landlord, with the reasonable requests of Tenant and Ground Lessor to facilitate such requests), and (iv) Tenant shall carry and maintain general liability, automobile liability, property and casualty, worker’s compensation and employer’s liability insurance in amounts and with policy provisions, coverages and certificates as required of Landlord as tenant under the Ground Lease.</w:t>
      </w:r>
    </w:p>
    <w:p>
      <w:pPr>
        <w:spacing w:after="0" w:line="181" w:lineRule="exact"/>
        <w:rPr>
          <w:rFonts w:ascii="Arial" w:cs="Arial" w:eastAsia="Arial" w:hAnsi="Arial"/>
          <w:sz w:val="17"/>
          <w:szCs w:val="17"/>
          <w:color w:val="auto"/>
        </w:rPr>
      </w:pPr>
    </w:p>
    <w:p>
      <w:pPr>
        <w:ind w:firstLine="1979"/>
        <w:spacing w:after="0" w:line="289" w:lineRule="auto"/>
        <w:tabs>
          <w:tab w:leader="none" w:pos="2373"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the event of cancellation or termination of the Ground Lease for any reason whatsoever whether voluntary or involuntary (by operation of law or otherwise) prior to the expiration date of this Lease, including extensions and renewals granted thereunder, then, at Ground Lessor’s option, Tenant shall make full and complete attornment to Ground Lessor with respect to the obligations of Landlord to Ground Lessor in connection with the Ground Leased Property for the balance of the term of the Ground Lease (notwithstanding that this Lease shall have expired with respect to the Ground Leased Property as a result of the cancellation or termination of the Ground Lease). Tenant’s attornment shall be evidenced by a written agreement which shall provide that the Tenant is in direct privity of contract with Ground Lessor (i.e., that all obligations previously owed to Landlord under this Lease with respect to the Ground Lease or the Ground Leased Property shall be obligations owed to Ground Lessor for the balance of the term of this Lease, notwithstanding that this Lease shall have expired with respect to the Ground Leased Property as a result of the cancellation or termination of the Ground Lease) and which shall otherwise be in form and substance reasonably satisfactory to Ground Lessor. Tenant shall execute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105" w:name="page106"/>
    <w:bookmarkEnd w:id="105"/>
    <w:p>
      <w:pPr>
        <w:jc w:val="both"/>
        <w:ind w:left="4"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deliver such written attornment within thirty (30) days after request by Ground Lessor. Unless and until such time as an attornment agreement is executed by Tenant pursuant to this Section 8.4(b), nothing contained in this Lease shall create, or be construed as creating, any privity of contract or privity of estate between Ground Lessor and Tenant.</w:t>
      </w:r>
    </w:p>
    <w:p>
      <w:pPr>
        <w:spacing w:after="0" w:line="184" w:lineRule="exact"/>
        <w:rPr>
          <w:sz w:val="20"/>
          <w:szCs w:val="20"/>
          <w:color w:val="auto"/>
        </w:rPr>
      </w:pPr>
    </w:p>
    <w:p>
      <w:pPr>
        <w:ind w:left="1984"/>
        <w:spacing w:after="0"/>
        <w:tabs>
          <w:tab w:leader="none" w:pos="2344"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Nothing contained in this Lease amends, or shall be construed to amend, any provision of the Ground Lease.</w:t>
      </w:r>
    </w:p>
    <w:p>
      <w:pPr>
        <w:spacing w:after="0" w:line="221" w:lineRule="exact"/>
        <w:rPr>
          <w:sz w:val="20"/>
          <w:szCs w:val="20"/>
          <w:color w:val="auto"/>
        </w:rPr>
      </w:pPr>
    </w:p>
    <w:p>
      <w:pPr>
        <w:ind w:left="4" w:right="120" w:firstLine="1983"/>
        <w:spacing w:after="0" w:line="261" w:lineRule="auto"/>
        <w:rPr>
          <w:sz w:val="20"/>
          <w:szCs w:val="20"/>
          <w:color w:val="auto"/>
        </w:rPr>
      </w:pPr>
      <w:r>
        <w:rPr>
          <w:rFonts w:ascii="Arial" w:cs="Arial" w:eastAsia="Arial" w:hAnsi="Arial"/>
          <w:sz w:val="18"/>
          <w:szCs w:val="18"/>
          <w:b w:val="1"/>
          <w:bCs w:val="1"/>
          <w:color w:val="auto"/>
        </w:rPr>
        <w:t xml:space="preserve">8.5 </w:t>
      </w:r>
      <w:r>
        <w:rPr>
          <w:rFonts w:ascii="Arial" w:cs="Arial" w:eastAsia="Arial" w:hAnsi="Arial"/>
          <w:sz w:val="18"/>
          <w:szCs w:val="18"/>
          <w:b w:val="1"/>
          <w:bCs w:val="1"/>
          <w:u w:val="single" w:color="auto"/>
          <w:color w:val="auto"/>
        </w:rPr>
        <w:t>Third-Party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Upon Landlord’s reasonable request from time to time, but not more frequently than once each</w:t>
      </w:r>
      <w:r>
        <w:rPr>
          <w:rFonts w:ascii="Arial" w:cs="Arial" w:eastAsia="Arial" w:hAnsi="Arial"/>
          <w:sz w:val="18"/>
          <w:szCs w:val="18"/>
          <w:b w:val="1"/>
          <w:bCs w:val="1"/>
          <w:color w:val="auto"/>
        </w:rPr>
        <w:t xml:space="preserve"> </w:t>
      </w:r>
      <w:r>
        <w:rPr>
          <w:rFonts w:ascii="Arial" w:cs="Arial" w:eastAsia="Arial" w:hAnsi="Arial"/>
          <w:sz w:val="18"/>
          <w:szCs w:val="18"/>
          <w:color w:val="auto"/>
        </w:rPr>
        <w:t>year in connection with the Annual Certificate, Tenant shall provide Landlord with copies of any final third-party surveys, environmental, engineering, zoning, seismic or property condition reports (other than any which are subject to confidentiality or privilege) obtained by Tenant with respect to the Leased Property.</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ind w:left="1984"/>
        <w:spacing w:after="0"/>
        <w:tabs>
          <w:tab w:leader="none" w:pos="236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Maintenance and Repair</w:t>
      </w:r>
      <w:r>
        <w:rPr>
          <w:rFonts w:ascii="Arial" w:cs="Arial" w:eastAsia="Arial" w:hAnsi="Arial"/>
          <w:sz w:val="16"/>
          <w:szCs w:val="16"/>
          <w:b w:val="1"/>
          <w:bCs w:val="1"/>
          <w:color w:val="auto"/>
        </w:rPr>
        <w:t>.</w:t>
      </w:r>
    </w:p>
    <w:p>
      <w:pPr>
        <w:spacing w:after="0" w:line="229" w:lineRule="exact"/>
        <w:rPr>
          <w:sz w:val="20"/>
          <w:szCs w:val="20"/>
          <w:color w:val="auto"/>
        </w:rPr>
      </w:pPr>
    </w:p>
    <w:p>
      <w:pPr>
        <w:ind w:left="4" w:right="160" w:firstLine="1979"/>
        <w:spacing w:after="0" w:line="284" w:lineRule="auto"/>
        <w:tabs>
          <w:tab w:leader="none" w:pos="2363" w:val="left"/>
        </w:tabs>
        <w:numPr>
          <w:ilvl w:val="1"/>
          <w:numId w:val="96"/>
        </w:numPr>
        <w:rPr>
          <w:rFonts w:ascii="Arial" w:cs="Arial" w:eastAsia="Arial" w:hAnsi="Arial"/>
          <w:sz w:val="16"/>
          <w:szCs w:val="16"/>
          <w:color w:val="auto"/>
        </w:rPr>
      </w:pPr>
      <w:r>
        <w:rPr>
          <w:rFonts w:ascii="Arial" w:cs="Arial" w:eastAsia="Arial" w:hAnsi="Arial"/>
          <w:sz w:val="16"/>
          <w:szCs w:val="16"/>
          <w:color w:val="auto"/>
        </w:rPr>
        <w:t>Tenant, at its expense and without the prior consent of Landlord, shall (i) maintain the Leased Property and Tenant’s Property, and every portion thereof, and all private roadways, sidewalks and curbs appurtenant to the Leased Property, and which are under Tenant’s control in good order and repair whether or not the need for such repairs occurs as a result of Tenant’s use, any prior use, the elements or the age of the Leased Property and Tenant’s Property, and, with reasonable promptness, make all reasonably necessary and appropriate repairs thereto of every kind and nature, including those necessary to ensure continuing compliance with all Legal Requirements, whether interior or exterior, structural or non-structural, ordinary or extraordinary, foreseen or unforeseen or arising by reason of a condition existing prior to the Commencement Date and</w:t>
      </w:r>
    </w:p>
    <w:p>
      <w:pPr>
        <w:spacing w:after="0" w:line="4" w:lineRule="exact"/>
        <w:rPr>
          <w:rFonts w:ascii="Arial" w:cs="Arial" w:eastAsia="Arial" w:hAnsi="Arial"/>
          <w:sz w:val="16"/>
          <w:szCs w:val="16"/>
          <w:color w:val="auto"/>
        </w:rPr>
      </w:pPr>
    </w:p>
    <w:p>
      <w:pPr>
        <w:ind w:left="4" w:hanging="4"/>
        <w:spacing w:after="0" w:line="286" w:lineRule="auto"/>
        <w:tabs>
          <w:tab w:leader="none" w:pos="269"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make capital expenditures with respect to the Leased Property and Tenant’s Property constituting the installation or restoration and repair or other improvement of items, which installations, restorations and repairs and other improvements are capitalized in accordance with GAAP, in each case, on a cycle consistent with Tenant’s past practices;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an Unavoidable Delay occurs during the time during which Tenant is required to make the foregoing expenditures and such Unavoidable Delay actually prevents or delays Tenant’s performance of such installations, restorations, repairs or other improvements, then the relevant period in which Tenant was obligated to perform such installations, restorations, repairs or other improvements shall be extended, on a day-for-day basis, for the same amount of time that such Unavoidable Delay actually delayed Tenant’s ability to perform such installations, restorations, repairs or other improvements. All repairs shall be at least equivalent in quality to the quality of the Facility as of the Effective Date. Tenant agrees to update and refresh the Facility on a cycle consistent with past practices at the Facility. Tenant will not take or omit to take any action the taking or omission of which would reasonably be expected to materially impair the value or the usefulness of the Leased Property or any part thereof or any Capital Improvement thereto for its Primary Intended Use.</w:t>
      </w:r>
    </w:p>
    <w:p>
      <w:pPr>
        <w:spacing w:after="0" w:line="169" w:lineRule="exact"/>
        <w:rPr>
          <w:rFonts w:ascii="Arial" w:cs="Arial" w:eastAsia="Arial" w:hAnsi="Arial"/>
          <w:sz w:val="16"/>
          <w:szCs w:val="16"/>
          <w:color w:val="auto"/>
        </w:rPr>
      </w:pPr>
    </w:p>
    <w:p>
      <w:pPr>
        <w:ind w:left="4" w:right="640" w:firstLine="1979"/>
        <w:spacing w:after="0" w:line="277" w:lineRule="auto"/>
        <w:tabs>
          <w:tab w:leader="none" w:pos="2377" w:val="left"/>
        </w:tabs>
        <w:numPr>
          <w:ilvl w:val="1"/>
          <w:numId w:val="97"/>
        </w:numPr>
        <w:rPr>
          <w:rFonts w:ascii="Arial" w:cs="Arial" w:eastAsia="Arial" w:hAnsi="Arial"/>
          <w:sz w:val="18"/>
          <w:szCs w:val="18"/>
          <w:color w:val="auto"/>
        </w:rPr>
      </w:pPr>
      <w:r>
        <w:rPr>
          <w:rFonts w:ascii="Arial" w:cs="Arial" w:eastAsia="Arial" w:hAnsi="Arial"/>
          <w:sz w:val="18"/>
          <w:szCs w:val="18"/>
          <w:color w:val="auto"/>
        </w:rPr>
        <w:t>Landlord shall not under any circumstances be required to (i) build or rebuild any improvements on the Leased Property; (ii) make any repairs, replacements, alterations,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106" w:name="page107"/>
    <w:bookmarkEnd w:id="106"/>
    <w:p>
      <w:pPr>
        <w:ind w:left="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Lease or hereafter enacted.</w:t>
      </w:r>
    </w:p>
    <w:p>
      <w:pPr>
        <w:spacing w:after="0" w:line="149" w:lineRule="exact"/>
        <w:rPr>
          <w:sz w:val="20"/>
          <w:szCs w:val="20"/>
          <w:color w:val="auto"/>
        </w:rPr>
      </w:pPr>
    </w:p>
    <w:p>
      <w:pPr>
        <w:ind w:left="4" w:right="20" w:firstLine="1979"/>
        <w:spacing w:after="0" w:line="291" w:lineRule="auto"/>
        <w:tabs>
          <w:tab w:leader="none" w:pos="2366"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Nothing contained in this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 (ii) 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lien, claim or other encumbrance upon the estate of Landlord in the Leased Property, or any portion thereof or upon the estate of Landlord in any Capital Improvement thereto.</w:t>
      </w:r>
    </w:p>
    <w:p>
      <w:pPr>
        <w:spacing w:after="0" w:line="166" w:lineRule="exact"/>
        <w:rPr>
          <w:rFonts w:ascii="Arial" w:cs="Arial" w:eastAsia="Arial" w:hAnsi="Arial"/>
          <w:sz w:val="16"/>
          <w:szCs w:val="16"/>
          <w:color w:val="auto"/>
        </w:rPr>
      </w:pPr>
    </w:p>
    <w:p>
      <w:pPr>
        <w:ind w:left="4" w:right="180" w:firstLine="1979"/>
        <w:spacing w:after="0" w:line="257" w:lineRule="auto"/>
        <w:tabs>
          <w:tab w:leader="none" w:pos="237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Tenant shall, upon the expiration or earlier termination of the Term, vacate and surrender and relinquish in favor of Landlord all rights to the Leased Property (including all Capital Improvements, subject to the provisions of Article X), in each case with respect to the Facility, to Landlord in the condition in which such Leased Property was originally received from Landlord and Capital Improvements were originally introduced to the Facility, except as repaired, rebuilt, restored, altered or added to as permitted or required by the provisions of this Lease (including Section 14.2 and 15.1) and except for ordinary wear and tear.</w:t>
      </w:r>
    </w:p>
    <w:p>
      <w:pPr>
        <w:spacing w:after="0" w:line="187" w:lineRule="exact"/>
        <w:rPr>
          <w:rFonts w:ascii="Arial" w:cs="Arial" w:eastAsia="Arial" w:hAnsi="Arial"/>
          <w:sz w:val="18"/>
          <w:szCs w:val="18"/>
          <w:color w:val="auto"/>
        </w:rPr>
      </w:pPr>
    </w:p>
    <w:p>
      <w:pPr>
        <w:ind w:left="4" w:right="100" w:firstLine="1979"/>
        <w:spacing w:after="0" w:line="277" w:lineRule="auto"/>
        <w:tabs>
          <w:tab w:leader="none" w:pos="2366" w:val="left"/>
        </w:tabs>
        <w:numPr>
          <w:ilvl w:val="0"/>
          <w:numId w:val="98"/>
        </w:numPr>
        <w:rPr>
          <w:rFonts w:ascii="Arial" w:cs="Arial" w:eastAsia="Arial" w:hAnsi="Arial"/>
          <w:sz w:val="18"/>
          <w:szCs w:val="18"/>
          <w:color w:val="auto"/>
        </w:rPr>
      </w:pPr>
      <w:r>
        <w:rPr>
          <w:rFonts w:ascii="Arial" w:cs="Arial" w:eastAsia="Arial" w:hAnsi="Arial"/>
          <w:sz w:val="18"/>
          <w:szCs w:val="18"/>
          <w:color w:val="auto"/>
        </w:rPr>
        <w:t>From and after a Wynn Tenant Transfer, and without limiting Tenant’s obligations to maintain the Leased Property and Tenant’s Property under this Lease:</w:t>
      </w:r>
    </w:p>
    <w:p>
      <w:pPr>
        <w:spacing w:after="0" w:line="170" w:lineRule="exact"/>
        <w:rPr>
          <w:sz w:val="20"/>
          <w:szCs w:val="20"/>
          <w:color w:val="auto"/>
        </w:rPr>
      </w:pPr>
    </w:p>
    <w:p>
      <w:pPr>
        <w:ind w:left="4" w:right="20" w:firstLine="1979"/>
        <w:spacing w:after="0" w:line="293" w:lineRule="auto"/>
        <w:tabs>
          <w:tab w:leader="none" w:pos="2333" w:val="left"/>
        </w:tabs>
        <w:numPr>
          <w:ilvl w:val="1"/>
          <w:numId w:val="99"/>
        </w:numPr>
        <w:rPr>
          <w:rFonts w:ascii="Arial" w:cs="Arial" w:eastAsia="Arial" w:hAnsi="Arial"/>
          <w:sz w:val="16"/>
          <w:szCs w:val="16"/>
          <w:color w:val="auto"/>
        </w:rPr>
      </w:pPr>
      <w:r>
        <w:rPr>
          <w:rFonts w:ascii="Arial" w:cs="Arial" w:eastAsia="Arial" w:hAnsi="Arial"/>
          <w:sz w:val="16"/>
          <w:szCs w:val="16"/>
          <w:color w:val="auto"/>
        </w:rPr>
        <w:t>Tenant is required to expend the Required CapEx during each CapEx Testing Period. To enable Landlord to monitor and confirm compliance with the foregoing within thirty (30) days after the end of each calendar year (the “</w:t>
      </w:r>
      <w:r>
        <w:rPr>
          <w:rFonts w:ascii="Arial" w:cs="Arial" w:eastAsia="Arial" w:hAnsi="Arial"/>
          <w:sz w:val="16"/>
          <w:szCs w:val="16"/>
          <w:b w:val="1"/>
          <w:bCs w:val="1"/>
          <w:color w:val="auto"/>
        </w:rPr>
        <w:t>CapEx Certification Date</w:t>
      </w:r>
      <w:r>
        <w:rPr>
          <w:rFonts w:ascii="Arial" w:cs="Arial" w:eastAsia="Arial" w:hAnsi="Arial"/>
          <w:sz w:val="16"/>
          <w:szCs w:val="16"/>
          <w:color w:val="auto"/>
        </w:rPr>
        <w:t>”), commencing with the first full calendar year ending after the Wynn Tenant Transfer occurs, Tenant shall provide Landlord with an Officer’s Certificate (a “</w:t>
      </w:r>
      <w:r>
        <w:rPr>
          <w:rFonts w:ascii="Arial" w:cs="Arial" w:eastAsia="Arial" w:hAnsi="Arial"/>
          <w:sz w:val="16"/>
          <w:szCs w:val="16"/>
          <w:b w:val="1"/>
          <w:bCs w:val="1"/>
          <w:color w:val="auto"/>
        </w:rPr>
        <w:t>CapEx Testing</w:t>
      </w:r>
      <w:r>
        <w:rPr>
          <w:rFonts w:ascii="Arial" w:cs="Arial" w:eastAsia="Arial" w:hAnsi="Arial"/>
          <w:sz w:val="16"/>
          <w:szCs w:val="16"/>
          <w:color w:val="auto"/>
        </w:rPr>
        <w:t xml:space="preserve"> </w:t>
      </w:r>
      <w:r>
        <w:rPr>
          <w:rFonts w:ascii="Arial" w:cs="Arial" w:eastAsia="Arial" w:hAnsi="Arial"/>
          <w:sz w:val="16"/>
          <w:szCs w:val="16"/>
          <w:b w:val="1"/>
          <w:bCs w:val="1"/>
          <w:color w:val="auto"/>
        </w:rPr>
        <w:t>Period Certificate</w:t>
      </w:r>
      <w:r>
        <w:rPr>
          <w:rFonts w:ascii="Arial" w:cs="Arial" w:eastAsia="Arial" w:hAnsi="Arial"/>
          <w:sz w:val="16"/>
          <w:szCs w:val="16"/>
          <w:color w:val="auto"/>
        </w:rPr>
        <w:t>”) certifying in reasonable detail to (A) the aggregate amount expended by Tenant on Qualifying CapEx during the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preceding CapEx Testing Period and (B) the actual Net Revenue of the Leased Property during such CapEx Testing Period, together with evidence reasonably satisfactory to Landlord documenting the amount of the Qualifying CapEx during the CapEx Testing Period.</w:t>
      </w:r>
    </w:p>
    <w:p>
      <w:pPr>
        <w:spacing w:after="0" w:line="164" w:lineRule="exact"/>
        <w:rPr>
          <w:rFonts w:ascii="Arial" w:cs="Arial" w:eastAsia="Arial" w:hAnsi="Arial"/>
          <w:sz w:val="16"/>
          <w:szCs w:val="16"/>
          <w:color w:val="auto"/>
        </w:rPr>
      </w:pPr>
    </w:p>
    <w:p>
      <w:pPr>
        <w:ind w:left="4" w:right="120" w:firstLine="1979"/>
        <w:spacing w:after="0" w:line="287" w:lineRule="auto"/>
        <w:tabs>
          <w:tab w:leader="none" w:pos="2383" w:val="left"/>
        </w:tabs>
        <w:numPr>
          <w:ilvl w:val="1"/>
          <w:numId w:val="99"/>
        </w:numPr>
        <w:rPr>
          <w:rFonts w:ascii="Arial" w:cs="Arial" w:eastAsia="Arial" w:hAnsi="Arial"/>
          <w:sz w:val="16"/>
          <w:szCs w:val="16"/>
          <w:color w:val="auto"/>
        </w:rPr>
      </w:pPr>
      <w:r>
        <w:rPr>
          <w:rFonts w:ascii="Arial" w:cs="Arial" w:eastAsia="Arial" w:hAnsi="Arial"/>
          <w:sz w:val="16"/>
          <w:szCs w:val="16"/>
          <w:color w:val="auto"/>
        </w:rPr>
        <w:t>Tenant shall be required to deposit, or cause to be deposited, additional funds into the CapEx Reserve in an amount equal to the deficiency between the Required CapEx for a CapEx Testing Period and the aggregate amount expended on Qualifying CapEx during such CapEx Testing Period, with such deposit to occur no later than the date (the “</w:t>
      </w:r>
      <w:r>
        <w:rPr>
          <w:rFonts w:ascii="Arial" w:cs="Arial" w:eastAsia="Arial" w:hAnsi="Arial"/>
          <w:sz w:val="16"/>
          <w:szCs w:val="16"/>
          <w:b w:val="1"/>
          <w:bCs w:val="1"/>
          <w:color w:val="auto"/>
        </w:rPr>
        <w:t>Required CapEx Funding Deadline</w:t>
      </w:r>
      <w:r>
        <w:rPr>
          <w:rFonts w:ascii="Arial" w:cs="Arial" w:eastAsia="Arial" w:hAnsi="Arial"/>
          <w:sz w:val="16"/>
          <w:szCs w:val="16"/>
          <w:color w:val="auto"/>
        </w:rPr>
        <w:t>”) which is the earliest to occur of</w:t>
      </w:r>
    </w:p>
    <w:p>
      <w:pPr>
        <w:spacing w:after="0" w:line="2" w:lineRule="exact"/>
        <w:rPr>
          <w:rFonts w:ascii="Arial" w:cs="Arial" w:eastAsia="Arial" w:hAnsi="Arial"/>
          <w:sz w:val="16"/>
          <w:szCs w:val="16"/>
          <w:color w:val="auto"/>
        </w:rPr>
      </w:pPr>
    </w:p>
    <w:p>
      <w:pPr>
        <w:ind w:left="4" w:right="340" w:hanging="4"/>
        <w:spacing w:after="0" w:line="260" w:lineRule="auto"/>
        <w:tabs>
          <w:tab w:leader="none" w:pos="25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date that Tenant delivers a CapEx Testing Period Certificate indicating a deficiency, (y) the CapEx Certification Date if Tenant fails to timely deliver the CapEx Testing Period Certificate, in which event, until a</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107" w:name="page108"/>
    <w:bookmarkEnd w:id="10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CapEx Testing Period Certificate is actually delivered, Landlord shall determine the deficiency (and the Qualifying CapEx for any period for which a CapEx Testing Period Certificate has not previously been delivered shall be deemed to equal zero), and (z) after delivery of a CapEx Testing Period Certificate, the date that it is reasonably determined by the parties that a CapEx Testing Period Certificate inaccurately reflected that a deficiency did not exist (and in the event of any dispute regarding an alleged deficiency, either party shall be entitled to submit such dispute to the Experts for determination).</w:t>
      </w:r>
    </w:p>
    <w:p>
      <w:pPr>
        <w:spacing w:after="0" w:line="188" w:lineRule="exact"/>
        <w:rPr>
          <w:sz w:val="20"/>
          <w:szCs w:val="20"/>
          <w:color w:val="auto"/>
        </w:rPr>
      </w:pPr>
    </w:p>
    <w:p>
      <w:pPr>
        <w:ind w:right="80" w:firstLine="1979"/>
        <w:spacing w:after="0" w:line="287" w:lineRule="auto"/>
        <w:tabs>
          <w:tab w:leader="none" w:pos="242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Parties acknowledge that Tenant’s agreement to satisfy the Required CapEx during the CapEx Testing Period as required in this Lease is a material inducement to Landlord’s agreement to enter into this Lease, and, accordingly, if Tenant fails to expend Qualifying CapEx (or deposit the required funds into the CapEx Reserve) as and when required by this Lease (including for the avoidance of doubt, any failure to expend funds in the CapEx Reserve on Qualifying CapEx by the CapEx Grace Period as provided in Section 9.1(e)(iv)), then the same shall constitute an Event of Default hereunder subject to the notice and cure rights specified in Section 16.1(m), and without limitation of any of Landlord’s other rights and remedies, Landlord shall have the right in its discretion to exercise its rights and remedies under this Lease, including without limitation, (x) seek the remedy of specific performance to require Tenant to expend the Required CapEx (or to deposit funds into the CapEx Reserve and to utilize funds in the CapEx Reserve on Qualifying CapEx) and (y) upon the occurrence and during the continuance of an Event of Default, withdraw funds from the CapEx Reserve and apply such funds to the satisfaction of Tenant’s obligations under this Lease. Furthermore, for the avoidance of doubt, and without limitation of Guarantor’s obligations under the Guaranty, Tenant acknowledges and agrees that the obligation of Tenant to expend the Required CapEx (or deposit, or cause to be deposited, funds into the CapEx Reserve) as provided in this Lease in each case constitutes a part of the monetary obligations of Tenant under this Lease and shall be guaranteed by the Guarantor under the Guaranty (together with all other obligations of Tenant under this Lease).</w:t>
      </w:r>
    </w:p>
    <w:p>
      <w:pPr>
        <w:spacing w:after="0" w:line="167" w:lineRule="exact"/>
        <w:rPr>
          <w:rFonts w:ascii="Arial" w:cs="Arial" w:eastAsia="Arial" w:hAnsi="Arial"/>
          <w:sz w:val="16"/>
          <w:szCs w:val="16"/>
          <w:color w:val="auto"/>
        </w:rPr>
      </w:pPr>
    </w:p>
    <w:p>
      <w:pPr>
        <w:ind w:firstLine="1979"/>
        <w:spacing w:after="0" w:line="288" w:lineRule="auto"/>
        <w:tabs>
          <w:tab w:leader="none" w:pos="242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Lease, if Tenant fails to make at least the amount of expenditures required by this Section 9.1(e), then, so long as, as of the Required CapEx Funding Deadline, there are CapEx Reserve Funds on deposit in the CapEx Reserve in an aggregate amount at least equal to such deficiency, then Tenant shall not be deemed to be in breach or default of its obligations hereunder to satisfy the Required CapEx, provided that Tenant shall spend such amounts so deposited in the CapEx Reserve on Qualifying CapEx within six (6) months after the Required CapEx Funding Deadline (subject to extension in the event of an Unavoidable Delay during such six (6) month period, on a day-for-day basis, for the same amount of time that such Unavoidable Delay affects Tenant’s ability to perform the required Qualifying CapEx and subject further to any extension as provided for in Section 7.2(d)) (the “</w:t>
      </w:r>
      <w:r>
        <w:rPr>
          <w:rFonts w:ascii="Arial" w:cs="Arial" w:eastAsia="Arial" w:hAnsi="Arial"/>
          <w:sz w:val="16"/>
          <w:szCs w:val="16"/>
          <w:b w:val="1"/>
          <w:bCs w:val="1"/>
          <w:color w:val="auto"/>
        </w:rPr>
        <w:t>CapEx Grace Period</w:t>
      </w:r>
      <w:r>
        <w:rPr>
          <w:rFonts w:ascii="Arial" w:cs="Arial" w:eastAsia="Arial" w:hAnsi="Arial"/>
          <w:sz w:val="16"/>
          <w:szCs w:val="16"/>
          <w:color w:val="auto"/>
        </w:rPr>
        <w:t>”). For the avoidance of doubt, any funds disbursed from the CapEx Reserve and spent on required Qualifying CapEx as described in this Section shall be applied to the Required CapEx for the period for which such funds were deposited (and shall be deemed to be the funds that have been in the CapEx Reserve for the longest period of time) and shall not be applied to the Required CapEx for the subsequent period in which they are actually spent.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108" w:name="page109"/>
    <w:bookmarkEnd w:id="108"/>
    <w:p>
      <w:pPr>
        <w:ind w:left="-40" w:firstLine="1979"/>
        <w:spacing w:after="0" w:line="275" w:lineRule="auto"/>
        <w:tabs>
          <w:tab w:leader="none" w:pos="2329"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 (x) shall, if required by this Section 9.1(e)(v) and (y) may, at its election, at any other time, deposit, or cause to be deposited, funds (the “</w:t>
      </w:r>
      <w:r>
        <w:rPr>
          <w:rFonts w:ascii="Arial" w:cs="Arial" w:eastAsia="Arial" w:hAnsi="Arial"/>
          <w:sz w:val="17"/>
          <w:szCs w:val="17"/>
          <w:b w:val="1"/>
          <w:bCs w:val="1"/>
          <w:color w:val="auto"/>
        </w:rPr>
        <w:t>CapEx Reserve Funds</w:t>
      </w:r>
      <w:r>
        <w:rPr>
          <w:rFonts w:ascii="Arial" w:cs="Arial" w:eastAsia="Arial" w:hAnsi="Arial"/>
          <w:sz w:val="17"/>
          <w:szCs w:val="17"/>
          <w:color w:val="auto"/>
        </w:rPr>
        <w:t>”) into a segregated eligible account held by an eligible institution (the “</w:t>
      </w:r>
      <w:r>
        <w:rPr>
          <w:rFonts w:ascii="Arial" w:cs="Arial" w:eastAsia="Arial" w:hAnsi="Arial"/>
          <w:sz w:val="17"/>
          <w:szCs w:val="17"/>
          <w:b w:val="1"/>
          <w:bCs w:val="1"/>
          <w:color w:val="auto"/>
        </w:rPr>
        <w:t>CapEx Reserve</w:t>
      </w:r>
      <w:r>
        <w:rPr>
          <w:rFonts w:ascii="Arial" w:cs="Arial" w:eastAsia="Arial" w:hAnsi="Arial"/>
          <w:sz w:val="17"/>
          <w:szCs w:val="17"/>
          <w:color w:val="auto"/>
        </w:rPr>
        <w:t>”). All interest on CapEx Reserve Funds shall be for the benefit of Tenant and added to and become a part of the CapEx Reserve and shall be disbursed in the same manner as other monies deposited in the CapEx Reserve. Tenant shall be responsible for payment of any federal, state or local income or other tax applicable to the interest earned on the CapEx Reserve Funds credited or paid to Tenant.</w:t>
      </w:r>
    </w:p>
    <w:p>
      <w:pPr>
        <w:spacing w:after="0" w:line="176" w:lineRule="exact"/>
        <w:rPr>
          <w:rFonts w:ascii="Arial" w:cs="Arial" w:eastAsia="Arial" w:hAnsi="Arial"/>
          <w:sz w:val="17"/>
          <w:szCs w:val="17"/>
          <w:color w:val="auto"/>
        </w:rPr>
      </w:pPr>
    </w:p>
    <w:p>
      <w:pPr>
        <w:ind w:left="-40" w:right="20" w:firstLine="1979"/>
        <w:spacing w:after="0" w:line="270" w:lineRule="auto"/>
        <w:tabs>
          <w:tab w:leader="none" w:pos="237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Tenant shall be entitled to use CapEx Reserve Funds solely for the purpose of paying for (or reimbursing Tenant for) the cost of Qualifying CapEx. So long as no Event of Default exists, Tenant shall be entitled to receive within ten (10) days of submitting a request in writing directly to Landlord a disbursement of CapEx Reserve Funds from the CapEx Reserve to pay for Qualifying CapEx or a reimbursement for Qualifying CapEx, and any such request shall specify the amount of the requested disbursement and a general description of the type of Qualifying CapEx to be paid or reimbursed using such CapEx Reserve Funds. So long as no Event of Default exists, any CapEx Reserve Funds remaining in the CapEx Reserve following the satisfaction of the Required CapEx for which such CapEx Reserve Funds were deposited shall be returned by Landlord or the eligible institution to Tenant. In the event that as of the expiration or earlier termination of the Lease the Required CapEx for which such CapEx Reserve Funds were deposited has not be satisfied, then Landlord shall be entitled to receive and retain such CapEx Reserve Funds to the extent not satisfied and any remainder shall be released to and retained by Tenant.</w:t>
      </w:r>
    </w:p>
    <w:p>
      <w:pPr>
        <w:spacing w:after="0" w:line="180" w:lineRule="exact"/>
        <w:rPr>
          <w:rFonts w:ascii="Arial" w:cs="Arial" w:eastAsia="Arial" w:hAnsi="Arial"/>
          <w:sz w:val="17"/>
          <w:szCs w:val="17"/>
          <w:color w:val="auto"/>
        </w:rPr>
      </w:pPr>
    </w:p>
    <w:p>
      <w:pPr>
        <w:ind w:left="2420" w:hanging="481"/>
        <w:spacing w:after="0"/>
        <w:tabs>
          <w:tab w:leader="none" w:pos="2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This Section 9.1(e) shall have no force or effect prior to a Wynn Tenant Transfer.</w:t>
      </w:r>
    </w:p>
    <w:p>
      <w:pPr>
        <w:spacing w:after="0" w:line="221" w:lineRule="exact"/>
        <w:rPr>
          <w:sz w:val="20"/>
          <w:szCs w:val="20"/>
          <w:color w:val="auto"/>
        </w:rPr>
      </w:pPr>
    </w:p>
    <w:p>
      <w:pPr>
        <w:ind w:left="1940"/>
        <w:spacing w:after="0"/>
        <w:tabs>
          <w:tab w:leader="none" w:pos="23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u w:val="single" w:color="auto"/>
          <w:color w:val="auto"/>
        </w:rPr>
        <w:t>FF&amp;E Reserve</w:t>
      </w:r>
      <w:r>
        <w:rPr>
          <w:rFonts w:ascii="Arial" w:cs="Arial" w:eastAsia="Arial" w:hAnsi="Arial"/>
          <w:sz w:val="16"/>
          <w:szCs w:val="16"/>
          <w:b w:val="1"/>
          <w:bCs w:val="1"/>
          <w:color w:val="auto"/>
        </w:rPr>
        <w:t>.</w:t>
      </w:r>
    </w:p>
    <w:p>
      <w:pPr>
        <w:spacing w:after="0" w:line="225" w:lineRule="exact"/>
        <w:rPr>
          <w:sz w:val="20"/>
          <w:szCs w:val="20"/>
          <w:color w:val="auto"/>
        </w:rPr>
      </w:pPr>
    </w:p>
    <w:p>
      <w:pPr>
        <w:ind w:left="-40" w:right="20" w:firstLine="1979"/>
        <w:spacing w:after="0" w:line="273" w:lineRule="auto"/>
        <w:tabs>
          <w:tab w:leader="none" w:pos="232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From and after a Wynn Tenant Transfer, Tenant shall establish a reserve account (the “</w:t>
      </w:r>
      <w:r>
        <w:rPr>
          <w:rFonts w:ascii="Arial" w:cs="Arial" w:eastAsia="Arial" w:hAnsi="Arial"/>
          <w:sz w:val="17"/>
          <w:szCs w:val="17"/>
          <w:b w:val="1"/>
          <w:bCs w:val="1"/>
          <w:color w:val="auto"/>
        </w:rPr>
        <w:t>FF&amp;E Reserve Account</w:t>
      </w:r>
      <w:r>
        <w:rPr>
          <w:rFonts w:ascii="Arial" w:cs="Arial" w:eastAsia="Arial" w:hAnsi="Arial"/>
          <w:sz w:val="17"/>
          <w:szCs w:val="17"/>
          <w:color w:val="auto"/>
        </w:rPr>
        <w:t>”), with a bank or similar institution reasonably acceptable to Landlord, to cover the cost of replacements, renewals and additions to the FF&amp;E at the Facility. Within thirty (30) days after the end of each calendar year (commencing with the first full calendar year ending after a Wynn Tenant Transfer), Tenant shall provide Landlord with evidence satisfactory to Landlord in the reasonable exercise of Landlord’s discretion that Tenant has in such calendar year transferred into the FF&amp;E Reserve Account an aggregate amount equal to at least 1.5% of its actual Net Revenue from the Facility for such calendar year (the “</w:t>
      </w:r>
      <w:r>
        <w:rPr>
          <w:rFonts w:ascii="Arial" w:cs="Arial" w:eastAsia="Arial" w:hAnsi="Arial"/>
          <w:sz w:val="17"/>
          <w:szCs w:val="17"/>
          <w:b w:val="1"/>
          <w:bCs w:val="1"/>
          <w:color w:val="auto"/>
        </w:rPr>
        <w:t>FF&amp;E Reserve Funds</w:t>
      </w:r>
      <w:r>
        <w:rPr>
          <w:rFonts w:ascii="Arial" w:cs="Arial" w:eastAsia="Arial" w:hAnsi="Arial"/>
          <w:sz w:val="17"/>
          <w:szCs w:val="17"/>
          <w:color w:val="auto"/>
        </w:rPr>
        <w:t>”). If Tenant fails to so transfer such amount and fails within sixty (60) days after receipt of a written demand from Landlord to cure such deficiency, then the same shall be deemed an Event of Default hereunder.</w:t>
      </w:r>
    </w:p>
    <w:p>
      <w:pPr>
        <w:spacing w:after="0" w:line="171" w:lineRule="exact"/>
        <w:rPr>
          <w:rFonts w:ascii="Arial" w:cs="Arial" w:eastAsia="Arial" w:hAnsi="Arial"/>
          <w:sz w:val="17"/>
          <w:szCs w:val="17"/>
          <w:color w:val="auto"/>
        </w:rPr>
      </w:pPr>
    </w:p>
    <w:p>
      <w:pPr>
        <w:ind w:left="-40" w:right="40" w:firstLine="1979"/>
        <w:spacing w:after="0" w:line="261" w:lineRule="auto"/>
        <w:tabs>
          <w:tab w:leader="none" w:pos="232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Tenant shall prepare an annual estimate (the “</w:t>
      </w:r>
      <w:r>
        <w:rPr>
          <w:rFonts w:ascii="Arial" w:cs="Arial" w:eastAsia="Arial" w:hAnsi="Arial"/>
          <w:sz w:val="18"/>
          <w:szCs w:val="18"/>
          <w:b w:val="1"/>
          <w:bCs w:val="1"/>
          <w:color w:val="auto"/>
        </w:rPr>
        <w:t>FF&amp;E Estimate</w:t>
      </w:r>
      <w:r>
        <w:rPr>
          <w:rFonts w:ascii="Arial" w:cs="Arial" w:eastAsia="Arial" w:hAnsi="Arial"/>
          <w:sz w:val="18"/>
          <w:szCs w:val="18"/>
          <w:color w:val="auto"/>
        </w:rPr>
        <w:t>”) of the expenditures necessary for replacements, renewals and additions to the FF&amp;E of the Facility during the ensuing calendar year and shall deliver the FF&amp;E Estimate to Landlord concurrently with the delivery of the annual capital and operating budget as described in Section 23.1(b)(vi). The FF&amp;E Estimate shall also indicate the estimated time schedule for making such replacements, renewals and additions.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480" w:top="274" w:right="499" w:bottom="1440" w:gutter="0" w:footer="0" w:header="0"/>
        </w:sectPr>
      </w:pPr>
    </w:p>
    <w:bookmarkStart w:id="109" w:name="page110"/>
    <w:bookmarkEnd w:id="109"/>
    <w:p>
      <w:pPr>
        <w:ind w:right="160" w:firstLine="1979"/>
        <w:spacing w:after="0" w:line="290" w:lineRule="auto"/>
        <w:tabs>
          <w:tab w:leader="none" w:pos="2359" w:val="left"/>
        </w:tabs>
        <w:numPr>
          <w:ilvl w:val="0"/>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 shall use funds contained in the FF&amp;E Reserve Account to undertake replacements, renewals and additions to the Facility’s FF&amp;E. At the end of each calendar year, any amounts remaining in the FF&amp;E Reserve Account shall be carried forward to the next calendar year. Proceeds from the sale of FF&amp;E no longer necessary to the operation of the Facility shall be transferred to the FF&amp;E Reserve Account. The FF&amp;E Reserve Account shall be an interest-bearing account, and any interest that accrues thereon shall be retained in the FF&amp;E Reserve Account. Neither (i) the proceeds from the disposition of FF&amp;E nor (ii) interest that accrues on amounts held in the FF&amp;E Reserve Account shall result in any reduction in the required transfers to the FF&amp;E Reserve Account set forth in Section 9.2(a). Concurrently with the Financial Statements delivered pursuant to Section 23.1(b)(i) and Section 23.1(b)(ii), Tenant shall provide Landlord with copies of the bank generated account statements received by Tenant with respect to the FF&amp;E Reserve Account for the most recently ended calendar month for which account statements are available.</w:t>
      </w:r>
    </w:p>
    <w:p>
      <w:pPr>
        <w:spacing w:after="0" w:line="165" w:lineRule="exact"/>
        <w:rPr>
          <w:rFonts w:ascii="Arial" w:cs="Arial" w:eastAsia="Arial" w:hAnsi="Arial"/>
          <w:sz w:val="16"/>
          <w:szCs w:val="16"/>
          <w:color w:val="auto"/>
        </w:rPr>
      </w:pPr>
    </w:p>
    <w:p>
      <w:pPr>
        <w:ind w:firstLine="1979"/>
        <w:spacing w:after="0" w:line="268" w:lineRule="auto"/>
        <w:tabs>
          <w:tab w:leader="none" w:pos="236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Tenant grants to Landlord a first-priority security interest in the CapEx Reserve and all CapEx Reserve Funds and the FF&amp;E Reserve Account and all FF&amp;E Reserve Funds in each case as additional security for performance of Tenant’s obligations under this Lease during the existence of an Event of Default. Landlord shall have the right to collaterally assign the security interest granted to Landlord in the CapEx Reserve and CapEx Reserve Funds and FF&amp;E Reserve Account and FF&amp;E Reserve Funds to any Facility Mortgagee. Notwithstanding anything to the contrary contained in </w:t>
      </w:r>
      <w:r>
        <w:rPr>
          <w:rFonts w:ascii="Arial" w:cs="Arial" w:eastAsia="Arial" w:hAnsi="Arial"/>
          <w:sz w:val="17"/>
          <w:szCs w:val="17"/>
          <w:u w:val="single" w:color="auto"/>
          <w:color w:val="auto"/>
        </w:rPr>
        <w:t>Section 9.1(e)(v)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9.1(e)(vi)</w:t>
      </w:r>
      <w:r>
        <w:rPr>
          <w:rFonts w:ascii="Arial" w:cs="Arial" w:eastAsia="Arial" w:hAnsi="Arial"/>
          <w:sz w:val="17"/>
          <w:szCs w:val="17"/>
          <w:color w:val="auto"/>
        </w:rPr>
        <w:t>, following the execution of this Lease, Landlord, Tenant and the applicable account holding institution (the “</w:t>
      </w:r>
      <w:r>
        <w:rPr>
          <w:rFonts w:ascii="Arial" w:cs="Arial" w:eastAsia="Arial" w:hAnsi="Arial"/>
          <w:sz w:val="17"/>
          <w:szCs w:val="17"/>
          <w:b w:val="1"/>
          <w:bCs w:val="1"/>
          <w:color w:val="auto"/>
        </w:rPr>
        <w:t>Eligible Institution</w:t>
      </w:r>
      <w:r>
        <w:rPr>
          <w:rFonts w:ascii="Arial" w:cs="Arial" w:eastAsia="Arial" w:hAnsi="Arial"/>
          <w:sz w:val="17"/>
          <w:szCs w:val="17"/>
          <w:color w:val="auto"/>
        </w:rPr>
        <w:t>”) shall promptly enter into a customary and reasonable deposit account control agreement with respect to the FF&amp;E Reserve Account and the CapEx Reserve (the “</w:t>
      </w:r>
      <w:r>
        <w:rPr>
          <w:rFonts w:ascii="Arial" w:cs="Arial" w:eastAsia="Arial" w:hAnsi="Arial"/>
          <w:sz w:val="17"/>
          <w:szCs w:val="17"/>
          <w:b w:val="1"/>
          <w:bCs w:val="1"/>
          <w:color w:val="auto"/>
        </w:rPr>
        <w:t>Restricted Reserve Accounts</w:t>
      </w:r>
      <w:r>
        <w:rPr>
          <w:rFonts w:ascii="Arial" w:cs="Arial" w:eastAsia="Arial" w:hAnsi="Arial"/>
          <w:sz w:val="17"/>
          <w:szCs w:val="17"/>
          <w:color w:val="auto"/>
        </w:rPr>
        <w:t xml:space="preserve">”) which shall provide that (x) Landlord has “control” over the account within the meaning of Section 9-104 of the New York Uniform Commercial Code, (y) the Eligible Institution shall disburse funds to Tenant pursuant to a request provided (as applicable) in accordance with </w:t>
      </w:r>
      <w:r>
        <w:rPr>
          <w:rFonts w:ascii="Arial" w:cs="Arial" w:eastAsia="Arial" w:hAnsi="Arial"/>
          <w:sz w:val="17"/>
          <w:szCs w:val="17"/>
          <w:u w:val="single" w:color="auto"/>
          <w:color w:val="auto"/>
        </w:rPr>
        <w:t>Section 9.1(e)(v)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9.1(e)(vi)</w:t>
      </w:r>
      <w:r>
        <w:rPr>
          <w:rFonts w:ascii="Arial" w:cs="Arial" w:eastAsia="Arial" w:hAnsi="Arial"/>
          <w:sz w:val="17"/>
          <w:szCs w:val="17"/>
          <w:color w:val="auto"/>
        </w:rPr>
        <w:t xml:space="preserve"> (as applicable) except during a Reserve Control Trigger Period and (z) during the Reserve Control Trigger Period, Eligible Institution shall only make disbursements from the account upon written direction from Landlord. During the Reserve Control Trigger Period, unless the Landlord is otherwise exercising remedies with respect to any Event of Default hereunder, Landlord shall request disbursements of funds from the Restricted Reserve Accounts to Tenant within five (5) Business Days of (i) Tenant’s delivery of such request(as applicable) in connection with </w:t>
      </w:r>
      <w:r>
        <w:rPr>
          <w:rFonts w:ascii="Arial" w:cs="Arial" w:eastAsia="Arial" w:hAnsi="Arial"/>
          <w:sz w:val="17"/>
          <w:szCs w:val="17"/>
          <w:u w:val="single" w:color="auto"/>
          <w:color w:val="auto"/>
        </w:rPr>
        <w:t>Section 9.1(e)(vi)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9.1(e)(vii)</w:t>
      </w:r>
      <w:r>
        <w:rPr>
          <w:rFonts w:ascii="Arial" w:cs="Arial" w:eastAsia="Arial" w:hAnsi="Arial"/>
          <w:sz w:val="17"/>
          <w:szCs w:val="17"/>
          <w:color w:val="auto"/>
        </w:rPr>
        <w:t xml:space="preserve"> (as applicable) and (ii) Tenant’s satisfaction of its obligations hereunder.</w:t>
      </w:r>
    </w:p>
    <w:p>
      <w:pPr>
        <w:spacing w:after="0" w:line="184" w:lineRule="exact"/>
        <w:rPr>
          <w:rFonts w:ascii="Arial" w:cs="Arial" w:eastAsia="Arial" w:hAnsi="Arial"/>
          <w:sz w:val="17"/>
          <w:szCs w:val="17"/>
          <w:color w:val="auto"/>
        </w:rPr>
      </w:pPr>
    </w:p>
    <w:p>
      <w:pPr>
        <w:ind w:left="2360" w:hanging="381"/>
        <w:spacing w:after="0"/>
        <w:tabs>
          <w:tab w:leader="none" w:pos="2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Section 9.2 shall have no force or effect prior to a Wynn Tenant Transfer.</w:t>
      </w:r>
    </w:p>
    <w:p>
      <w:pPr>
        <w:spacing w:after="0" w:line="221" w:lineRule="exact"/>
        <w:rPr>
          <w:sz w:val="20"/>
          <w:szCs w:val="20"/>
          <w:color w:val="auto"/>
        </w:rPr>
      </w:pPr>
    </w:p>
    <w:p>
      <w:pPr>
        <w:ind w:firstLine="1983"/>
        <w:spacing w:after="0" w:line="277" w:lineRule="auto"/>
        <w:rPr>
          <w:sz w:val="20"/>
          <w:szCs w:val="20"/>
          <w:color w:val="auto"/>
        </w:rPr>
      </w:pPr>
      <w:r>
        <w:rPr>
          <w:rFonts w:ascii="Arial" w:cs="Arial" w:eastAsia="Arial" w:hAnsi="Arial"/>
          <w:sz w:val="17"/>
          <w:szCs w:val="17"/>
          <w:b w:val="1"/>
          <w:bCs w:val="1"/>
          <w:color w:val="auto"/>
        </w:rPr>
        <w:t xml:space="preserve">9.3 </w:t>
      </w:r>
      <w:r>
        <w:rPr>
          <w:rFonts w:ascii="Arial" w:cs="Arial" w:eastAsia="Arial" w:hAnsi="Arial"/>
          <w:sz w:val="17"/>
          <w:szCs w:val="17"/>
          <w:b w:val="1"/>
          <w:bCs w:val="1"/>
          <w:u w:val="single" w:color="auto"/>
          <w:color w:val="auto"/>
        </w:rPr>
        <w:t>Encroachments, Restrictions, Mineral Leases, etc.</w:t>
      </w:r>
      <w:r>
        <w:rPr>
          <w:rFonts w:ascii="Arial" w:cs="Arial" w:eastAsia="Arial" w:hAnsi="Arial"/>
          <w:sz w:val="17"/>
          <w:szCs w:val="17"/>
          <w:b w:val="1"/>
          <w:bCs w:val="1"/>
          <w:color w:val="auto"/>
        </w:rPr>
        <w:t xml:space="preserve"> </w:t>
      </w:r>
      <w:r>
        <w:rPr>
          <w:rFonts w:ascii="Arial" w:cs="Arial" w:eastAsia="Arial" w:hAnsi="Arial"/>
          <w:sz w:val="17"/>
          <w:szCs w:val="17"/>
          <w:color w:val="auto"/>
        </w:rPr>
        <w:t>If any of the Leased Improvements shall, at any time, encroach</w:t>
      </w:r>
      <w:r>
        <w:rPr>
          <w:rFonts w:ascii="Arial" w:cs="Arial" w:eastAsia="Arial" w:hAnsi="Arial"/>
          <w:sz w:val="17"/>
          <w:szCs w:val="17"/>
          <w:b w:val="1"/>
          <w:bCs w:val="1"/>
          <w:color w:val="auto"/>
        </w:rPr>
        <w:t xml:space="preserve"> </w:t>
      </w:r>
      <w:r>
        <w:rPr>
          <w:rFonts w:ascii="Arial" w:cs="Arial" w:eastAsia="Arial" w:hAnsi="Arial"/>
          <w:sz w:val="17"/>
          <w:szCs w:val="17"/>
          <w:color w:val="auto"/>
        </w:rPr>
        <w:t>upon any property, street or right-of-way, or shall 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10" w:name="page111"/>
    <w:bookmarkEnd w:id="11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minerals, then promptly upon the request of Landlord or any Person affected by any such encroachment, violation or impairment, Tenant shall, subject to its right to contest the existence of any such encroachment, violation or impairment, protect, indemnify, save harmless and defend Landlord from and against, all losses, liabilities, obligations, claims, damages, penalties, causes of action, costs and expenses (including reasonable attorneys’, consultants’ and experts’ fees and expenses) based on or arising by reason of any such encroachment, violation or impairment. In the event of an adverse final determination with respect to any such encroachment, violation or impairment, either (a) each of Tenant and Landlord shall be entitled to obtain valid and effective waivers or settlements of all claims, liabilities and damages resulting from each such encroachment, violation or impairment, whether the same shall affect Landlord or Tenant or (b) Tenant shall (i) make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(ii)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 Tenant’s obligations under this Section 9.3 shall be in addition to and shall in no way discharge or diminish any obligation of any insurer under any policy of title or other insurance and, to the extent the recovery thereof is not necessary to compensate Landlord for any damages incurred by any such encroachment, violation or impairment. Landlord agrees to use reasonable efforts to seek recovery under any policy of title or other insurance under which Landlord is an insured party for all losses, liabilities, obligations, claims, damages, penalties, causes of action, costs and expenses (including reasonable attorneys’, consultants’ and experts’ fees and expenses) based on or arising by reason of any such encroachment, violation or impairment as set forth in this Section 9.3; provided, however, that in no event shall Landlord be obligated to institute any litigation, arbitration or other legal proceedings in connection therewith unless Landlord is reasonably satisfied that Tenant has the financial resources needed to fund such litigation and Tenant and Landlord have agreed upon the terms and conditions on which such funding will be made available by Tenant, including, but not limited to, the mutual approval of a litigation budget.</w:t>
      </w:r>
    </w:p>
    <w:p>
      <w:pPr>
        <w:spacing w:after="0" w:line="38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X</w:t>
      </w:r>
    </w:p>
    <w:p>
      <w:pPr>
        <w:spacing w:after="0" w:line="117"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u w:val="single" w:color="auto"/>
          <w:color w:val="auto"/>
        </w:rPr>
        <w:t>Construction of Capital Improvements to the Leased Property.</w:t>
      </w:r>
    </w:p>
    <w:p>
      <w:pPr>
        <w:spacing w:after="0" w:line="229" w:lineRule="exact"/>
        <w:rPr>
          <w:sz w:val="20"/>
          <w:szCs w:val="20"/>
          <w:color w:val="auto"/>
        </w:rPr>
      </w:pPr>
    </w:p>
    <w:p>
      <w:pPr>
        <w:ind w:right="60" w:firstLine="1979"/>
        <w:spacing w:after="0" w:line="290" w:lineRule="auto"/>
        <w:tabs>
          <w:tab w:leader="none" w:pos="235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Tenant shall, with respect to the Facility, have the right to make a Capital Improvement, including, without limitation, any Capital Improvement required by Section 8.2 or Section 9.1(a) or (e), without the consent of Landlord if the Capital Improvement (i) does not involve the removal of any material existing structures (unless Tenant reasonably promptly proceeds to replace such removed structures with structures of at least reasonably comparable value or utility), (ii) does not have a material adverse effect on the structural integrity of any existing Leased Improvements (other than as contemplated to be maintained or improved in connection with such Capital Improvement), (iii) is not reasonably likely, in the reasonable opinion of Tenant, to reduce the value of the Facility when completed, (iv) is consistent with the Primary Intended Use and (v) does not have a total budgeted cost (excluding furniture, trade fixtures and equipment (including Gaming equipment)) in excess of One Hundred Fifty Million and No/100 Dollars ($150,000,000) (subject to adjustment for the CPI Increase). Any Capital Improvement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11" w:name="page112"/>
    <w:bookmarkEnd w:id="111"/>
    <w:p>
      <w:pPr>
        <w:ind w:right="12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described satisfying the requirements of clause (i) through (v) above are referred to as “</w:t>
      </w:r>
      <w:r>
        <w:rPr>
          <w:rFonts w:ascii="Arial" w:cs="Arial" w:eastAsia="Arial" w:hAnsi="Arial"/>
          <w:sz w:val="17"/>
          <w:szCs w:val="17"/>
          <w:b w:val="1"/>
          <w:bCs w:val="1"/>
          <w:color w:val="auto"/>
        </w:rPr>
        <w:t>Permitted Capital Improvements</w:t>
      </w:r>
      <w:r>
        <w:rPr>
          <w:rFonts w:ascii="Arial" w:cs="Arial" w:eastAsia="Arial" w:hAnsi="Arial"/>
          <w:sz w:val="17"/>
          <w:szCs w:val="17"/>
          <w:color w:val="auto"/>
        </w:rPr>
        <w:t>”. For any Permitted Capital Improvement, Tenant shall, prior to commencing construction of such Capital Improvement, provide to Landlord a written description of such Capital Improvement and on an ongoing basis supply Landlord with related documentation and information as Landlord may reasonably request (including plans and specifications of any such Capital Improvements (excluding Cosmetic Alterations)).</w:t>
      </w:r>
    </w:p>
    <w:p>
      <w:pPr>
        <w:spacing w:after="0" w:line="165" w:lineRule="exact"/>
        <w:rPr>
          <w:sz w:val="20"/>
          <w:szCs w:val="20"/>
          <w:color w:val="auto"/>
        </w:rPr>
      </w:pPr>
    </w:p>
    <w:p>
      <w:pPr>
        <w:ind w:right="120" w:firstLine="1979"/>
        <w:spacing w:after="0" w:line="291" w:lineRule="auto"/>
        <w:tabs>
          <w:tab w:leader="none" w:pos="236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Any Capital Improvement that is not a Permitted Capital Improvement (“</w:t>
      </w:r>
      <w:r>
        <w:rPr>
          <w:rFonts w:ascii="Arial" w:cs="Arial" w:eastAsia="Arial" w:hAnsi="Arial"/>
          <w:sz w:val="16"/>
          <w:szCs w:val="16"/>
          <w:b w:val="1"/>
          <w:bCs w:val="1"/>
          <w:color w:val="auto"/>
        </w:rPr>
        <w:t>Landlord Approved Capital</w:t>
      </w:r>
      <w:r>
        <w:rPr>
          <w:rFonts w:ascii="Arial" w:cs="Arial" w:eastAsia="Arial" w:hAnsi="Arial"/>
          <w:sz w:val="16"/>
          <w:szCs w:val="16"/>
          <w:color w:val="auto"/>
        </w:rPr>
        <w:t xml:space="preserve"> </w:t>
      </w:r>
      <w:r>
        <w:rPr>
          <w:rFonts w:ascii="Arial" w:cs="Arial" w:eastAsia="Arial" w:hAnsi="Arial"/>
          <w:sz w:val="16"/>
          <w:szCs w:val="16"/>
          <w:b w:val="1"/>
          <w:bCs w:val="1"/>
          <w:color w:val="auto"/>
        </w:rPr>
        <w:t>Improvement</w:t>
      </w:r>
      <w:r>
        <w:rPr>
          <w:rFonts w:ascii="Arial" w:cs="Arial" w:eastAsia="Arial" w:hAnsi="Arial"/>
          <w:sz w:val="16"/>
          <w:szCs w:val="16"/>
          <w:color w:val="auto"/>
        </w:rPr>
        <w:t>”), shall be subject to Landlord’s review and approval, which approval shall not be unreasonably withheld, conditioned or delayed. If</w:t>
      </w:r>
      <w:r>
        <w:rPr>
          <w:rFonts w:ascii="Arial" w:cs="Arial" w:eastAsia="Arial" w:hAnsi="Arial"/>
          <w:sz w:val="16"/>
          <w:szCs w:val="16"/>
          <w:b w:val="1"/>
          <w:bCs w:val="1"/>
          <w:color w:val="auto"/>
        </w:rPr>
        <w:t xml:space="preserve"> </w:t>
      </w:r>
      <w:r>
        <w:rPr>
          <w:rFonts w:ascii="Arial" w:cs="Arial" w:eastAsia="Arial" w:hAnsi="Arial"/>
          <w:sz w:val="16"/>
          <w:szCs w:val="16"/>
          <w:color w:val="auto"/>
        </w:rPr>
        <w:t>Tenant desires to make any Landlord Approved Capital Improvement, Tenant shall submit to Landlord in reasonable detail a general description of the proposal, the projected cost of construction and, other than with respect to Cosmetic Alterations, plans and specifications (which plans and specifications shall be prepared in a high-grade professional manner), permits, licenses, contracts and other information concerning the proposal as Landlord may reasonably request. Such description shall indicate the use or uses to which such Capital Improvement will be put and the impact, if any, on current and forecasted gross revenues and operating income attributable thereto. It shall be reasonable for Landlord to condition its approval of any Landlord Approved Capital Improvement upon any or all of the following terms and conditions:</w:t>
      </w:r>
    </w:p>
    <w:p>
      <w:pPr>
        <w:spacing w:after="0" w:line="55" w:lineRule="exact"/>
        <w:rPr>
          <w:rFonts w:ascii="Arial" w:cs="Arial" w:eastAsia="Arial" w:hAnsi="Arial"/>
          <w:sz w:val="16"/>
          <w:szCs w:val="16"/>
          <w:color w:val="auto"/>
        </w:rPr>
      </w:pPr>
    </w:p>
    <w:p>
      <w:pPr>
        <w:ind w:left="440" w:right="80" w:firstLine="419"/>
        <w:spacing w:after="0" w:line="277" w:lineRule="auto"/>
        <w:tabs>
          <w:tab w:leader="none" w:pos="121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Capital Improvements other than Cosmetic Alterations, such construction shall be effected pursuant to detailed plans and specifications approved by Landlord, which approval shall not be unreasonably withheld, conditioned or delayed;</w:t>
      </w:r>
    </w:p>
    <w:p>
      <w:pPr>
        <w:spacing w:after="0" w:line="62" w:lineRule="exact"/>
        <w:rPr>
          <w:rFonts w:ascii="Arial" w:cs="Arial" w:eastAsia="Arial" w:hAnsi="Arial"/>
          <w:sz w:val="18"/>
          <w:szCs w:val="18"/>
          <w:color w:val="auto"/>
        </w:rPr>
      </w:pPr>
    </w:p>
    <w:p>
      <w:pPr>
        <w:ind w:left="440" w:right="140" w:firstLine="419"/>
        <w:spacing w:after="0" w:line="263" w:lineRule="auto"/>
        <w:tabs>
          <w:tab w:leader="none" w:pos="126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Capital Improvements other than Cosmetic Alterations, such construction shall be conducted under the supervision of a licensed architect or engineer selected by Tenant and approved by Landlord, which approval shall not be unreasonably withheld, conditioned or delayed;</w:t>
      </w:r>
    </w:p>
    <w:p>
      <w:pPr>
        <w:spacing w:after="0" w:line="75" w:lineRule="exact"/>
        <w:rPr>
          <w:rFonts w:ascii="Arial" w:cs="Arial" w:eastAsia="Arial" w:hAnsi="Arial"/>
          <w:sz w:val="18"/>
          <w:szCs w:val="18"/>
          <w:color w:val="auto"/>
        </w:rPr>
      </w:pPr>
    </w:p>
    <w:p>
      <w:pPr>
        <w:ind w:left="440" w:right="200" w:firstLine="419"/>
        <w:spacing w:after="0" w:line="257" w:lineRule="auto"/>
        <w:tabs>
          <w:tab w:leader="none" w:pos="131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Landlord’s receipt, from the general contractor and, if reasonably requested by Landlord, a major subcontractor(s) of a performance and payment bond (or, if Tenant elects in lieu of performance and payment bond covering any major subcontractor, Sub-guard insurance, which policy shall be in form reasonably satisfactory to Landlord and which shall include a financial interest endorsement naming Landlord as a beneficiary) for the full value of such construction, which such bond shall name Landlord as an additional obligee and otherwise be in form and substance and issued by a Person reasonably satisfactory to Landlord;</w:t>
      </w:r>
    </w:p>
    <w:p>
      <w:pPr>
        <w:spacing w:after="0" w:line="79" w:lineRule="exact"/>
        <w:rPr>
          <w:rFonts w:ascii="Arial" w:cs="Arial" w:eastAsia="Arial" w:hAnsi="Arial"/>
          <w:sz w:val="18"/>
          <w:szCs w:val="18"/>
          <w:color w:val="auto"/>
        </w:rPr>
      </w:pPr>
    </w:p>
    <w:p>
      <w:pPr>
        <w:ind w:left="440" w:firstLine="419"/>
        <w:spacing w:after="0" w:line="277" w:lineRule="auto"/>
        <w:tabs>
          <w:tab w:leader="none" w:pos="130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Such construction shall not be undertaken unless Tenant demonstrates to the reasonable satisfaction of Landlord the financial ability to complete the construction without materially adversely affecting its cash flow position or financial viability; and</w:t>
      </w:r>
    </w:p>
    <w:p>
      <w:pPr>
        <w:spacing w:after="0" w:line="62" w:lineRule="exact"/>
        <w:rPr>
          <w:rFonts w:ascii="Arial" w:cs="Arial" w:eastAsia="Arial" w:hAnsi="Arial"/>
          <w:sz w:val="18"/>
          <w:szCs w:val="18"/>
          <w:color w:val="auto"/>
        </w:rPr>
      </w:pPr>
    </w:p>
    <w:p>
      <w:pPr>
        <w:ind w:left="440" w:right="300" w:firstLine="419"/>
        <w:spacing w:after="0" w:line="277" w:lineRule="auto"/>
        <w:tabs>
          <w:tab w:leader="none" w:pos="125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Capital Improvement will result in the Leased Property becoming a “limited use” property for purposes of United States federal income taxes.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0" w:right="459" w:bottom="1440" w:gutter="0" w:footer="0" w:header="0"/>
        </w:sectPr>
      </w:pPr>
    </w:p>
    <w:bookmarkStart w:id="112" w:name="page113"/>
    <w:bookmarkEnd w:id="112"/>
    <w:p>
      <w:pPr>
        <w:ind w:right="380" w:firstLine="198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 </w:t>
      </w:r>
      <w:r>
        <w:rPr>
          <w:rFonts w:ascii="Arial" w:cs="Arial" w:eastAsia="Arial" w:hAnsi="Arial"/>
          <w:sz w:val="18"/>
          <w:szCs w:val="18"/>
          <w:b w:val="1"/>
          <w:bCs w:val="1"/>
          <w:u w:val="single" w:color="auto"/>
          <w:color w:val="auto"/>
        </w:rPr>
        <w:t>Construction Requirements for All Capital 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 not Landlord’s review and approval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for all Capital Improvements:</w:t>
      </w:r>
    </w:p>
    <w:p>
      <w:pPr>
        <w:spacing w:after="0" w:line="166" w:lineRule="exact"/>
        <w:rPr>
          <w:sz w:val="20"/>
          <w:szCs w:val="20"/>
          <w:color w:val="auto"/>
        </w:rPr>
      </w:pPr>
    </w:p>
    <w:p>
      <w:pPr>
        <w:ind w:right="220" w:firstLine="1979"/>
        <w:spacing w:after="0" w:line="296" w:lineRule="auto"/>
        <w:tabs>
          <w:tab w:leader="none" w:pos="236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Such construction shall not be commenced until Tenant shall have procured and paid for all municipal and other governmental permits and authorizations required to be obtained prior to such commencement (if any), including those permits and authorizations required pursuant to any Gaming Regulations, and Landlord shall join in the application for such permits or authorizations whenever such action is necessary;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any such joinder shall be at no cost or expense to Landlord; and (ii) any plans required to be filed in connection with any such application in respect of any Landlord Approved Capital Improvement have been so approved by Landlord;</w:t>
      </w:r>
    </w:p>
    <w:p>
      <w:pPr>
        <w:spacing w:after="0" w:line="161" w:lineRule="exact"/>
        <w:rPr>
          <w:rFonts w:ascii="Arial" w:cs="Arial" w:eastAsia="Arial" w:hAnsi="Arial"/>
          <w:sz w:val="16"/>
          <w:szCs w:val="16"/>
          <w:color w:val="auto"/>
        </w:rPr>
      </w:pPr>
    </w:p>
    <w:p>
      <w:pPr>
        <w:ind w:right="20" w:firstLine="1979"/>
        <w:spacing w:after="0" w:line="270" w:lineRule="auto"/>
        <w:tabs>
          <w:tab w:leader="none" w:pos="237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the case of any Capital Improvements that consist of adding new structures or enlarging existing structures or cost more than Seventy Five Million Dollars ($75,000,000) (subject to adjustment for the CPI Increase), (i) such construction shall not, and Tenant’s licensed architect or engineer shall certify to Landlord that such architect or engineer believes that the design of such construction (as illustrated through the applicable corresponding construction documents) shall not, impair the structural strength of any component of the Facility or overburden the electrical, water, plumbing, HVAC or other building systems of any such component in a manner that would violate applicable building codes or prudent industry practices, and (ii) (x) for each Landlord Approved Capital Improvement, Tenant’s general contractor shall certify to Landlord that such general contractor believes that such construction is in compliance with such design and corresponding construction documents and (y) for each Permitted Capital Improvement, Tenant shall certify to Landlord that Tenant believes that such construction is in compliance with such design and corresponding construction documents;</w:t>
      </w:r>
    </w:p>
    <w:p>
      <w:pPr>
        <w:spacing w:after="0" w:line="180" w:lineRule="exact"/>
        <w:rPr>
          <w:rFonts w:ascii="Arial" w:cs="Arial" w:eastAsia="Arial" w:hAnsi="Arial"/>
          <w:sz w:val="17"/>
          <w:szCs w:val="17"/>
          <w:color w:val="auto"/>
        </w:rPr>
      </w:pPr>
    </w:p>
    <w:p>
      <w:pPr>
        <w:ind w:right="80" w:firstLine="1979"/>
        <w:spacing w:after="0" w:line="296" w:lineRule="auto"/>
        <w:tabs>
          <w:tab w:leader="none" w:pos="236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the case of Permitted Capital Improvements (excluding Cosmetic Alterations), (i) such construction shall not, and Tenant shall certify to Landlord that Tenant believes that the design of such construction (as illustrated through the applicable corresponding construction documents) shall not, impair the structural strength of any component of the Facility or overburden the electrical, water, plumbing, HVAC or other building systems of any such component in a manner that would violate applicable building codes or prudent industry practices, and (ii) Tenant shall certify to Landlord that Tenant believes that such construction is in compliance with such design and corresponding construction documents;</w:t>
      </w:r>
    </w:p>
    <w:p>
      <w:pPr>
        <w:spacing w:after="0" w:line="161" w:lineRule="exact"/>
        <w:rPr>
          <w:rFonts w:ascii="Arial" w:cs="Arial" w:eastAsia="Arial" w:hAnsi="Arial"/>
          <w:sz w:val="16"/>
          <w:szCs w:val="16"/>
          <w:color w:val="auto"/>
        </w:rPr>
      </w:pPr>
    </w:p>
    <w:p>
      <w:pPr>
        <w:ind w:right="20" w:firstLine="1979"/>
        <w:spacing w:after="0" w:line="296" w:lineRule="auto"/>
        <w:tabs>
          <w:tab w:leader="none" w:pos="237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 In the case of Landlord Approved Capital Improvements (excluding Cosmetic Alterations), Tenant’s licensed architect or engineer shall certify to Landlord that such architect or engineer believes, to the best of such architect’s or engineer’s knowledge, and (ii) in the case of Permitted Capital Improvements (excluding Cosmetic Alterations), Tenant shall certify to Landlord that Tenant believes, to the best of Tenant’s knowledge, that the detailed plans and specifications conform to, and comply with, in all material respects all applicable building, subdivision and zoning codes, laws, ordinances and regulations imposed by all governmental authorities having jurisdiction over the Leased Property of the Facility;</w:t>
      </w:r>
    </w:p>
    <w:p>
      <w:pPr>
        <w:spacing w:after="0" w:line="161" w:lineRule="exact"/>
        <w:rPr>
          <w:rFonts w:ascii="Arial" w:cs="Arial" w:eastAsia="Arial" w:hAnsi="Arial"/>
          <w:sz w:val="16"/>
          <w:szCs w:val="16"/>
          <w:color w:val="auto"/>
        </w:rPr>
      </w:pPr>
    </w:p>
    <w:p>
      <w:pPr>
        <w:ind w:firstLine="1979"/>
        <w:spacing w:after="0" w:line="308" w:lineRule="auto"/>
        <w:tabs>
          <w:tab w:leader="none" w:pos="236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During and following completion of such construction, the parking and other amenities which are located in the Facility or on the Land of the Facility shall remain adequate for the operation of the Facility for its Primary Intended Use and in no event shall such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0" w:right="459" w:bottom="1440" w:gutter="0" w:footer="0" w:header="0"/>
        </w:sectPr>
      </w:pPr>
    </w:p>
    <w:bookmarkStart w:id="113" w:name="page114"/>
    <w:bookmarkEnd w:id="113"/>
    <w:p>
      <w:pPr>
        <w:jc w:val="both"/>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parking be less than that which is required by law (including any variances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 to the extent additional parking is not already a part of a Capital Improvement, Tenant may construct additional parking on the Land; or (ii) Tenant may acquire or lease off-site parking to serve the Facility as long as such parking shall be reasonably proximate to, and dedicated to, or otherwise made available to serve, the Facility;</w:t>
      </w:r>
    </w:p>
    <w:p>
      <w:pPr>
        <w:spacing w:after="0" w:line="149" w:lineRule="exact"/>
        <w:rPr>
          <w:sz w:val="20"/>
          <w:szCs w:val="20"/>
          <w:color w:val="auto"/>
        </w:rPr>
      </w:pPr>
    </w:p>
    <w:p>
      <w:pPr>
        <w:ind w:right="80" w:firstLine="1979"/>
        <w:spacing w:after="0" w:line="286" w:lineRule="auto"/>
        <w:tabs>
          <w:tab w:leader="none" w:pos="233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All work done in connection with such construction shall be done (i) promptly, (ii) using materials and in a manner that results in such Capital Improvement being in a condition and of a quality that is at least as good as the remaining areas of the Facility and (iii) in conformity with all Legal Requirements, including, without limitation, any applicable minority or women owned business requirements; and</w:t>
      </w:r>
    </w:p>
    <w:p>
      <w:pPr>
        <w:spacing w:after="0" w:line="165" w:lineRule="exact"/>
        <w:rPr>
          <w:rFonts w:ascii="Arial" w:cs="Arial" w:eastAsia="Arial" w:hAnsi="Arial"/>
          <w:sz w:val="17"/>
          <w:szCs w:val="17"/>
          <w:color w:val="auto"/>
        </w:rPr>
      </w:pPr>
    </w:p>
    <w:p>
      <w:pPr>
        <w:ind w:right="40" w:firstLine="1979"/>
        <w:spacing w:after="0" w:line="257" w:lineRule="auto"/>
        <w:tabs>
          <w:tab w:leader="none" w:pos="237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applicable in accordance with customary and prudent industry standards or otherwise obtained by Tenant in connection with such construction, promptly following the completion of any Landlord Approved Capital Improvement, Tenant shall deliver to Landlord “as built” drawings of such addition (or written confirmation from the relevant general contractor or architect that such Capital Improvement has been built in accordance with the plans and specifications), certified as accurate by the licensed architect or engineer selected by Tenant to supervise such work, and copies of any new or revised certificates of occupancy.</w:t>
      </w:r>
    </w:p>
    <w:p>
      <w:pPr>
        <w:spacing w:after="0" w:line="184" w:lineRule="exact"/>
        <w:rPr>
          <w:sz w:val="20"/>
          <w:szCs w:val="20"/>
          <w:color w:val="auto"/>
        </w:rPr>
      </w:pPr>
    </w:p>
    <w:p>
      <w:pPr>
        <w:ind w:firstLine="1983"/>
        <w:spacing w:after="0" w:line="268"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b w:val="1"/>
          <w:bCs w:val="1"/>
          <w:u w:val="single" w:color="auto"/>
          <w:color w:val="auto"/>
        </w:rPr>
        <w:t>Landlord’s Right of First Offer to Fund</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have the option to request that Landlord fund or finance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construction and acquisition of any Capital Improvement that includes Long-Lived Assets (along with reasonably related fees and expenses, such as title fees, costs of permits, legal fees and other similar transaction related costs) if the cost of such Capital Improvements constituting Long-Lived Assets is expected to be in excess of Fifty Million Dollars ($50,000,000) (subject to the CPI Increase), and Tenant shall provide to Landlord (i) a reasonably detailed description of the proposed Capital Improvement, (ii) the then-projected cost of construction of the proposed Capital Improvement, (iii) copies of the plans and specifications, permits, licenses, contracts and preliminary studies concerning the proposed Capital Improvement, to the extent then-available, and (iv) reasonable evidence that such proposed Capital Improvement will, upon completion, comply with all applicable Legal Requirements, and (v) such other information reasonably requested by Landlord. Landlord may, but shall be under no obligation to, provide the funds necessary to meet the request. Within thirty (30) days of receipt of a request to fund a proposed Capital Improvement pursuant to this Section 10.3, Landlord shall notify Tenant as to whether it will fund all or a portion of such proposed Capital Improvement and, if so, the terms and conditions upon which it would do so (including the terms with respect to any increases in Rent hereunder due to such Capital Improvements). If Landlord agrees to fund such proposed Capital Improvement, Tenant shall have twenty (20) Business Days to accept or reject Landlord’s funding proposal. If Landlord declines to fund a proposed Capital Improvement (or declines to provide Tenant written notice within such twenty (20) Business Day period of the terms of its proposal to fund such Capital Improvements), Tenant shall be permitted to secure outside financing or utilize then existing available financing for such Capital Improvement for a six-month period, after which six-month period (if Tenant has not secured outside financing or determined to utilize then existing available financing) Tenant shall again be required to first seek funding from Landlord. If Landlord agrees to fund all or a portion of a proposed Capital Improvement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114" w:name="page115"/>
    <w:bookmarkEnd w:id="114"/>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 rejects the terms thereof, Tenant shall be permitted to either use then existing available financing or seek outside financing for such Capital Improvement for a six-month period. If Tenant constructs a Capital Improvement with its then existing available financing or outside financing obtained in accordance with this Section 10.3, except as may otherwise be expressly provided in this Lease to the contrary, (A) during the Term, such Capital Improvements shall be deemed part of the Leased Property and the Facility solely for the purpose of calculating Net Income and Net Revenue hereunder and shall for all other purposes be Tenant’s Property and (B) following expiration or termination of the Term, shall be either, at the option of Landlord, purchased by Landlord for fair market value or, if not purchased by Landlord, Tenant shall be entitled to either remove such Tenant Capital Improvements, provided that the Leased Property is restored in a manner reasonably satisfactory to Landlord, or receive fair value for such Tenant Capital Improvements in accordance with Article XXXVI. If Landlord agrees to fund a proposed Capital Improvement and Tenant accepts the terms thereof, such Capital Improvements shall be deemed part of the Leased Property and the Facility for all purposes and Tenant shall provide Landlord with the following prior to any advance of funds:</w:t>
      </w:r>
    </w:p>
    <w:p>
      <w:pPr>
        <w:spacing w:after="0" w:line="77" w:lineRule="exact"/>
        <w:rPr>
          <w:sz w:val="20"/>
          <w:szCs w:val="20"/>
          <w:color w:val="auto"/>
        </w:rPr>
      </w:pPr>
    </w:p>
    <w:p>
      <w:pPr>
        <w:ind w:left="440" w:right="100" w:firstLine="419"/>
        <w:spacing w:after="0" w:line="263" w:lineRule="auto"/>
        <w:tabs>
          <w:tab w:leader="none" w:pos="12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information, certificates, licenses, permits or documents reasonably requested by Landlord which are necessary and obtainable to confirm that Tenant will be able to use the Capital Improvement upon completion thereof in accordance with the Primary Intended Use, including all required federal, state or local government licenses and approvals;</w:t>
      </w:r>
    </w:p>
    <w:p>
      <w:pPr>
        <w:spacing w:after="0" w:line="75" w:lineRule="exact"/>
        <w:rPr>
          <w:rFonts w:ascii="Arial" w:cs="Arial" w:eastAsia="Arial" w:hAnsi="Arial"/>
          <w:sz w:val="18"/>
          <w:szCs w:val="18"/>
          <w:color w:val="auto"/>
        </w:rPr>
      </w:pPr>
    </w:p>
    <w:p>
      <w:pPr>
        <w:ind w:left="440" w:firstLine="419"/>
        <w:spacing w:after="0" w:line="277" w:lineRule="auto"/>
        <w:tabs>
          <w:tab w:leader="none" w:pos="125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Officer’s Certificate and, if requested, a certificate from Tenant’s architect providing appropriate backup information, setting forth in reasonable detail the projected or actual costs related to such Capital Improvements;</w:t>
      </w:r>
    </w:p>
    <w:p>
      <w:pPr>
        <w:spacing w:after="0" w:line="62" w:lineRule="exact"/>
        <w:rPr>
          <w:rFonts w:ascii="Arial" w:cs="Arial" w:eastAsia="Arial" w:hAnsi="Arial"/>
          <w:sz w:val="18"/>
          <w:szCs w:val="18"/>
          <w:color w:val="auto"/>
        </w:rPr>
      </w:pPr>
    </w:p>
    <w:p>
      <w:pPr>
        <w:ind w:left="440" w:right="200" w:firstLine="419"/>
        <w:spacing w:after="0" w:line="311" w:lineRule="auto"/>
        <w:tabs>
          <w:tab w:leader="none" w:pos="124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 amendment to this Lease (and any development or funding agreement agreed to in accordance with this Section 10.3), in a form reasonably agreed to by Landlord and Tenant, which may include, among other things, an increase in the Rent in amounts as agreed upon by the parties hereto pursuant to the agreed funding proposal terms described above and other provisions as may be necessary or appropriate;</w:t>
      </w:r>
    </w:p>
    <w:p>
      <w:pPr>
        <w:spacing w:after="0" w:line="40" w:lineRule="exact"/>
        <w:rPr>
          <w:rFonts w:ascii="Arial" w:cs="Arial" w:eastAsia="Arial" w:hAnsi="Arial"/>
          <w:sz w:val="16"/>
          <w:szCs w:val="16"/>
          <w:color w:val="auto"/>
        </w:rPr>
      </w:pPr>
    </w:p>
    <w:p>
      <w:pPr>
        <w:ind w:left="440" w:right="160" w:firstLine="419"/>
        <w:spacing w:after="0" w:line="308" w:lineRule="auto"/>
        <w:tabs>
          <w:tab w:leader="none" w:pos="125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deed conveying title to Landlord to any land acquired for the purpose of constructing the Capital Improvement free and clear of any liens or encumbrances except those approved by Landlord, and accompanied by an ALTA survey thereof satisfactory to Landlord;</w:t>
      </w:r>
    </w:p>
    <w:p>
      <w:pPr>
        <w:spacing w:after="0" w:line="38" w:lineRule="exact"/>
        <w:rPr>
          <w:rFonts w:ascii="Arial" w:cs="Arial" w:eastAsia="Arial" w:hAnsi="Arial"/>
          <w:sz w:val="17"/>
          <w:szCs w:val="17"/>
          <w:color w:val="auto"/>
        </w:rPr>
      </w:pPr>
    </w:p>
    <w:p>
      <w:pPr>
        <w:ind w:left="440" w:right="160" w:firstLine="419"/>
        <w:spacing w:after="0" w:line="275" w:lineRule="auto"/>
        <w:tabs>
          <w:tab w:leader="none" w:pos="124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for each advance, endorsements to any outstanding policy of title insurance covering the Leased Property or commitments therefor reasonably satisfactory in form and substance to Landlord (i) updating the same without any additional exception except those that do not materially affect the value of such land and do not interfere with the use of the Leased Property or as may be approved by Landlord, which approval shall not be unreasonably withheld, and (ii) increasing the coverage thereof by an amount equal to the cost of the Capital Improvement, except to the extent covered by the owner’s policy of title insurance referred to in paragraph (f) below;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115" w:name="page116"/>
    <w:bookmarkEnd w:id="115"/>
    <w:p>
      <w:pPr>
        <w:ind w:left="440" w:right="40" w:firstLine="419"/>
        <w:spacing w:after="0" w:line="257" w:lineRule="auto"/>
        <w:tabs>
          <w:tab w:leader="none" w:pos="1223"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appropriate, an owner’s policy of title insurance insuring the fair market value of fee simple title to any land and improvements conveyed to Landlord free and clear of all liens and encumbrances except those that do not materially affect the value of such land and do not interfere with the use of the Leased Property or are approved by Landlord, which approval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requirement in this paragraph (f) is not satisfied (or waived by Landlord), Tenant shall be entitled to seek third party financing or use available financing in lieu of seeking such advance from Landlord;</w:t>
      </w:r>
    </w:p>
    <w:p>
      <w:pPr>
        <w:spacing w:after="0" w:line="79" w:lineRule="exact"/>
        <w:rPr>
          <w:rFonts w:ascii="Arial" w:cs="Arial" w:eastAsia="Arial" w:hAnsi="Arial"/>
          <w:sz w:val="18"/>
          <w:szCs w:val="18"/>
          <w:color w:val="auto"/>
        </w:rPr>
      </w:pPr>
    </w:p>
    <w:p>
      <w:pPr>
        <w:ind w:left="440" w:right="100" w:firstLine="419"/>
        <w:spacing w:after="0" w:line="257" w:lineRule="auto"/>
        <w:tabs>
          <w:tab w:leader="none" w:pos="12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if requested by Landlord, an appraisal by a member of the Appraisal Institute of the Leased Property indicating that the fair market value of the Leased Property upon completion of the Capital Improvement will exceed the fair market value of the Leased Property immediately prior thereto by an amount not less than ninety-five percent (95%) of the cost of the Capital Improvement,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requirement in this paragraph (g) is not satisfied (or waived by Landlord), Tenant shall be entitled to seek third party financing or use available financing in lieu of seeking such advance from Landlord; and</w:t>
      </w:r>
    </w:p>
    <w:p>
      <w:pPr>
        <w:spacing w:after="0" w:line="79" w:lineRule="exact"/>
        <w:rPr>
          <w:rFonts w:ascii="Arial" w:cs="Arial" w:eastAsia="Arial" w:hAnsi="Arial"/>
          <w:sz w:val="18"/>
          <w:szCs w:val="18"/>
          <w:color w:val="auto"/>
        </w:rPr>
      </w:pPr>
    </w:p>
    <w:p>
      <w:pPr>
        <w:ind w:left="440" w:right="240" w:firstLine="419"/>
        <w:spacing w:after="0" w:line="277" w:lineRule="auto"/>
        <w:tabs>
          <w:tab w:leader="none" w:pos="12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such other billing statements, invoices, certificates, endorsements, opinions, site assessments, surveys, resolutions, ratifications, lien releases and waivers and other instruments and information reasonably required by Landlord.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17" w:lineRule="exact"/>
        <w:rPr>
          <w:sz w:val="20"/>
          <w:szCs w:val="20"/>
          <w:color w:val="auto"/>
        </w:rPr>
      </w:pPr>
    </w:p>
    <w:p>
      <w:pPr>
        <w:ind w:firstLine="1983"/>
        <w:spacing w:after="0" w:line="286"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b w:val="1"/>
          <w:bCs w:val="1"/>
          <w:u w:val="single" w:color="auto"/>
          <w:color w:val="auto"/>
        </w:rPr>
        <w:t>Liens</w:t>
      </w:r>
      <w:r>
        <w:rPr>
          <w:rFonts w:ascii="Arial" w:cs="Arial" w:eastAsia="Arial" w:hAnsi="Arial"/>
          <w:sz w:val="16"/>
          <w:szCs w:val="16"/>
          <w:color w:val="auto"/>
        </w:rPr>
        <w:t>. Subject to the provisions of Article XII relating to permitted contests, Tenant will not directly or indirectly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create or allow to remain and will promptly discharge at its expense any lien, encumbrance, attachment, title retention agreement or claim upon the Leased Property or any Capital Improvement thereto or any attachment, levy, claim or encumbrance in respect of the Rent, excluding, however, (i) this Lease; (ii) the matters that existed as of the Commencement Date with respect to the Facility and disclosed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(iii) restrictions, liens and other encumbrances which are consented to in writing by Landlord (such consent not to be unreasonably withheld, conditioned or delayed); (iv) the Property Documents; (v) subleases permitted by Article XXII; (vi) liens for Impositions not yet delinquent or being contested in accordance with Article XII,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 has provided appropriate reserves as required under GAAP and any foreclosure or similar remedies with respect to such Impositions have not been instituted and no notice as to the institution or commencement thereof has been issued except to the extent such institution or commencement is stayed no later than the earlier of (x) ten (10) Business Days after such notice is issued or (y) five (5) Business Days prior to the institution or commencement thereof; (vii) liens of mechanics, laborers, materialmen, suppliers or vendors for sums either disputed or not yet due,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the payment of such sums shall not be postponed under any related contract for more than sixty (60) days after the completion of the action giving rise to such lien unless being contested in accordance with Article XII and such reserve or other appropriate provisions as shall be required by law or GAAP shall have been made therefor and no foreclosure or similar remedies with respect to such liens has been instituted and no notice as to the institution or commencement thereof have been issued except to the extent such institution or commencement is stayed no later than the earlier of (x) ten (10) Business Days after such notice is issued or (y) five (5) Business Days prior to the institution or commencement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116" w:name="page117"/>
    <w:bookmarkEnd w:id="11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thereof; or (2) any such liens are in the process of being contested as permitted by Article XII; (viii) any liens created by Landlord; (ix) liens related to equipment leases or equipment financing for Tenant’s Property which are used or useful in Tenant’s business on the Leased Property and consistent with the Operating Standard, and do not impair in any material respect Landlord’s rights under Section 36.1,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payment of any sums due under such equipment leases or equipment financing shall either (1) be paid as and when due in accordance with the terms thereof, or (2) be in the process of being contested as permitted by Article XII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lien holder’s removal of any such Tenant’s Property from the Leased Property shall be made in accordance with the requirements set forth in this Section 11.1; (x) liens granted as security for the obligations of Tenant and its Affiliates under a Debt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no event shall the foregoing be deemed or construed to permit Tenant to encumber its leasehold interest (or a subtenant to encumber its subleasehold interest) in the Leased Property (other than, in each case, to a Permitted Leasehold Mortgagee, for which no consent shall be required), without the prior written consent of Landlord, which consent may be granted or withheld in Landlord’s sole discretion;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Tenant shall be required to provide Landlord with fully executed copies of any and all Permitted Leasehold Mortgages and related principal Debt Agreements; (xi) easements,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taken as a whole; and (xii) liens granted as security for the obligations of Landlord and its Affiliates under any Facility Mortgage. For the avoidance of doubt, the parties acknowledge and agree that Tenant has not granted any liens in favor of Landlord as security for its obligations hereunder (except to the extent contemplated in the final paragraph of this Section 11.1) and nothing contained herein shall be deemed or construed to prohibit the issuance of a lien on the Equity Interests in Tenant (it being agreed that any foreclosure by a lien holder on such interests in Tenant shall be subject to the restriction on Change in Control set forth in Article XXII) or to prohibit Tenant from pledging its Accounts and other Tenant’s Property and other property of Tenant, including fixtures and equipment installed by Tenant at the Facility, as collateral in connection with financings from equipment lenders (or to Permitted Leasehold Mortgagees);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 shall in no event pledge to any Person that is not granted a Permitted Leasehold Mortgage hereunder any of the Gaming Licenses or other of Tenant’s Property to the extent that such Tenant’s Property cannot be removed from the Leased Property without damaging or impairing the Leased Property (other than in a de minimis manner). For the further avoidance of doubt, by way of example, Tenant shall not grant to any lender (other than a Permitted Leasehold Mortgagee) a lien on, and any and all lien holders (including a Permitted Leasehold Mortgagee) shall not have the right to remove, carpeting, internal wiring, elevators, or escalators at the Leased Property, but lien holders may have the right to remove (and Tenant shall have the right to grant a lien on) manual or electronic gaming machines and other Gaming Equipment (including, without limitation, electronic equipment used to monitor and/or operate gaming machines and other gaming equipment) and electronic or other equipment used to operate player affinity systems, even if the removal thereof from the Leased Property could result in damage;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any such damage is repaired by the lien holder or Tenant in accordance with the terms of this Lease.</w:t>
      </w:r>
    </w:p>
    <w:p>
      <w:pPr>
        <w:spacing w:after="0" w:line="168" w:lineRule="exact"/>
        <w:rPr>
          <w:sz w:val="20"/>
          <w:szCs w:val="20"/>
          <w:color w:val="auto"/>
        </w:rPr>
      </w:pPr>
    </w:p>
    <w:p>
      <w:pPr>
        <w:ind w:right="100" w:firstLine="1983"/>
        <w:spacing w:after="0" w:line="277" w:lineRule="auto"/>
        <w:rPr>
          <w:sz w:val="20"/>
          <w:szCs w:val="20"/>
          <w:color w:val="auto"/>
        </w:rPr>
      </w:pPr>
      <w:r>
        <w:rPr>
          <w:rFonts w:ascii="Arial" w:cs="Arial" w:eastAsia="Arial" w:hAnsi="Arial"/>
          <w:sz w:val="18"/>
          <w:szCs w:val="18"/>
          <w:color w:val="auto"/>
        </w:rPr>
        <w:t>Landlord and Tenant intend that this Lease be an indivisible true lease that affords the parties hereto the rights and remedies of landlord and tenant hereunder and does not represent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117" w:name="page118"/>
    <w:bookmarkEnd w:id="117"/>
    <w:p>
      <w:pPr>
        <w:ind w:left="4"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financing arrangement. This Lease is not an attempt by Landlord or Tenant to evade the operation of any aspect of the law applicable to any of the Leased Property. Except as otherwise required by a change in tax law or any change in accounting rules or regulations or a “determination” within the meaning of Section 1313(a) of the Code (or similar provision of state or local law), Landlord and Tenant hereby acknowledge and agree that this Lease shall be treated as an operating lease for all purposes and not as a synthetic lease, financing lease or loan and that Landlord shall be entitled to all the benefits of ownership of the Leased Property, including depreciation for all federal, state and local tax purposes.</w:t>
      </w:r>
    </w:p>
    <w:p>
      <w:pPr>
        <w:spacing w:after="0" w:line="161" w:lineRule="exact"/>
        <w:rPr>
          <w:sz w:val="20"/>
          <w:szCs w:val="20"/>
          <w:color w:val="auto"/>
        </w:rPr>
      </w:pPr>
    </w:p>
    <w:p>
      <w:pPr>
        <w:ind w:left="4" w:firstLine="1983"/>
        <w:spacing w:after="0" w:line="285" w:lineRule="auto"/>
        <w:rPr>
          <w:sz w:val="20"/>
          <w:szCs w:val="20"/>
          <w:color w:val="auto"/>
        </w:rPr>
      </w:pPr>
      <w:r>
        <w:rPr>
          <w:rFonts w:ascii="Arial" w:cs="Arial" w:eastAsia="Arial" w:hAnsi="Arial"/>
          <w:sz w:val="16"/>
          <w:szCs w:val="16"/>
          <w:color w:val="auto"/>
        </w:rPr>
        <w:t>If, notwithstanding (a) the form and substance of this Lease and (b) the intent of the parties, and the language contained herein providing that this Lease shall at all times be construed, interpreted and applied to create an indivisible lease of all of the Leased Property, any court of competent jurisdiction finds that this Lease is a financing arrangement, this Lease shall be considered a secured financing agreement and Landlord’s title to the Leased Property shall constitute a perfected first priority lien in Landlord’s favor on the Leased Property to secure the payment and performance of all the obligations of Tenant hereunder (and to that end, Tenant hereby grants, assigns, transfers, conveys and confirms to the Landlord a security interest in all of Tenant’s right, title and interest in or to any and all of the Leased Property, as security for the prompt and complete payment and performance when due of Tenant’s obligations hereunder). Tenant authorizes Landlord, at the expense of Tenant, to make any filings or take other actions as Landlord reasonably determines are necessary or advisable in order to effect fully this Lease or to more fully perfect or renew the rights of the Landlord, including, without limitation, irrevocably authorizing Landlord to file in any UCC jurisdiction any initial financial statements and amendments thereto that indicate collateral as being the Leased Property, and to subordinate to the Landlord the lien of any Permitted Leasehold Mortgagee, with respect to the Leased Property (it being understood that nothing herein shall affect the rights of a Permitted Leasehold Mortgagee under Article XVII hereof). At any time and from time to time upon the request of the Landlord, and at the expense of the Tenant, Tenant shall promptly execute, acknowledge and deliver such further documents and do such other acts as the Landlord may reasonably request in order to effect fully this Lease or to more fully perfect or renew the rights of the Landlord with respect to the Leased Property. Upon the exercise by the Landlord of any power, right, privilege or remedy pursuant to this Lease which requires any consent, approval, recording, qualification or authorization of any governmental authority, Tenant will execute and deliver, or will cause the execution and delivery of, all applications, certifications, instruments and other documents and papers that Landlord may be required to obtain from Tenant for such consent, approval, recording, qualification or authorization.</w:t>
      </w:r>
    </w:p>
    <w:p>
      <w:pPr>
        <w:spacing w:after="0" w:line="38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XII</w:t>
      </w:r>
    </w:p>
    <w:p>
      <w:pPr>
        <w:spacing w:after="0" w:line="117" w:lineRule="exact"/>
        <w:rPr>
          <w:sz w:val="20"/>
          <w:szCs w:val="20"/>
          <w:color w:val="auto"/>
        </w:rPr>
      </w:pPr>
    </w:p>
    <w:p>
      <w:pPr>
        <w:ind w:left="4" w:right="120" w:firstLine="1983"/>
        <w:spacing w:after="0" w:line="287"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b w:val="1"/>
          <w:bCs w:val="1"/>
          <w:u w:val="single" w:color="auto"/>
          <w:color w:val="auto"/>
        </w:rPr>
        <w:t>Permitted Contests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upon prior written notice to Landlord, on its own or in Landlord’s name, at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expense, may contest, by appropriate legal proceedings conducted in good faith and with due diligence, the amount, validity or application, in whole or in part, of any licensure or certification decision (including pursuant to any Gaming Regulation), Imposition, Legal Requirement, Insurance Requirement, lien (but not liens granted to Landlord pursuant to this Lease), attachment, levy, encumbrance, charge or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 w:lineRule="exact"/>
        <w:rPr>
          <w:sz w:val="20"/>
          <w:szCs w:val="20"/>
          <w:color w:val="auto"/>
        </w:rPr>
      </w:pPr>
    </w:p>
    <w:p>
      <w:pPr>
        <w:ind w:left="4" w:right="160" w:hanging="4"/>
        <w:spacing w:after="0" w:line="260" w:lineRule="auto"/>
        <w:tabs>
          <w:tab w:leader="none" w:pos="21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an unpaid Imposition, lien, attachment, levy, encumbrance, charge or claim, the commencement and continuation of such proceedings shall suspend the collection thereof from</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118" w:name="page119"/>
    <w:bookmarkEnd w:id="11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 and from the Leased Property or any Capital Improvement thereto; (ii) neither the Leased Property or any Capital Improvement thereto, the Rent therefrom nor any part or interest in either thereof would be in any danger of being sold, forfeited, attached or lost pending the outcome of such proceedings; (iii) in the case of a Legal Requirement, neither Landlord nor Tenant would be in any danger of civil or criminal liability for failure to comply therewith pending the outcome of such proceedings; (iv) if any such contest shall involve a sum of money or potential loss in excess of Two Million Five Hundred Thousand Dollars ($2,500,000), upon request of Landlord, Tenant shall deliver to Landlord an opinion of counsel reasonably acceptable to Landlord to the effect set forth in clauses (i), (ii) and (iii) above, to the extent applicable (it being agreed that the matters set forth in clause (i) can be addressed by Tenant paying the contested amount prior to any such contest); (v) in the case of a Legal Requirement, Imposition, lien, encumbrance or charge, Tenant shall give such reasonable security as may be required by Landlord to prevent any sale or forfeiture of the Leased Property or any Capital Improvement thereto or the Rent by reason of such non-payment or noncompliance; (vi) in the case of an Insurance Requirement, the coverage required by Article XIII shall be maintained; (vii) Tenant shall keep Landlord reasonably informed as to the status of the proceedings; and (viii) if such contest be finally resolved against Landlord or Tenant, Tenant shall promptly pay the amount required to be paid, together with all interest and penalties accrued thereon, or comply with the applicable Legal Requirement or Insurance Requirement. Landlord, at Tenant’s expense, shall execute and deliver to Tenant such authorizations and other documents as may reasonably be required in any such contest, and, if reasonably requested by Tenant or if Landlord so desires, Landlord shall join as a party therein. The provisions of this Article XII shall not be construed to permit Tenant to contest the payment of Rent or any other amount (other than Impositions or Additional Charges which Tenant may from time to time be required to impound with Landlord) payable by Tenant to Landlord hereunder. 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written notice to Landlord of Tenant’s preference that Landlord not join in such proceeding.</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117" w:lineRule="exact"/>
        <w:rPr>
          <w:sz w:val="20"/>
          <w:szCs w:val="20"/>
          <w:color w:val="auto"/>
        </w:rPr>
      </w:pPr>
    </w:p>
    <w:p>
      <w:pPr>
        <w:ind w:right="120" w:firstLine="1983"/>
        <w:spacing w:after="0" w:line="289"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b w:val="1"/>
          <w:bCs w:val="1"/>
          <w:u w:val="single" w:color="auto"/>
          <w:color w:val="auto"/>
        </w:rPr>
        <w:t>General Insurance Requirements</w:t>
      </w:r>
      <w:r>
        <w:rPr>
          <w:rFonts w:ascii="Arial" w:cs="Arial" w:eastAsia="Arial" w:hAnsi="Arial"/>
          <w:sz w:val="16"/>
          <w:szCs w:val="16"/>
          <w:color w:val="auto"/>
        </w:rPr>
        <w:t>. During the Term, Tenant shall at all times keep the Leased Property,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located in or on the Leased Property, including Capital Improvements, the Fixtures and Tenant’s Property, insured with the kinds and amounts of insurance described below. Each element of insurance described in this Article XIII shall be maintained with respect to the Leased Property and Tenant’s Property and operations thereon. Such insurance shall be written by companies permitted to conduct business in the Commonwealth of Massachusetts. All third party liability type policies must name Landlord as an “additional insured.” All property policies shall name Landlord as “loss payee” for its interests in the Facility. All business interruption policies shall name Landlord as “loss payee” with respect to Rent only. Property losses shall be payable to Landlord and/or Tenant as provided in Article XIV. In addition, the policies, as appropriate, shall name as an “additional insured” and/or “loss payee” each Permitted Leasehold Mortgagee and as an “additional insured” or “loss payee” the holder of any mortgage, deed of trust or other security agreement (“</w:t>
      </w:r>
      <w:r>
        <w:rPr>
          <w:rFonts w:ascii="Arial" w:cs="Arial" w:eastAsia="Arial" w:hAnsi="Arial"/>
          <w:sz w:val="16"/>
          <w:szCs w:val="16"/>
          <w:b w:val="1"/>
          <w:bCs w:val="1"/>
          <w:color w:val="auto"/>
        </w:rPr>
        <w:t>Facility Mortgagee</w:t>
      </w:r>
      <w:r>
        <w:rPr>
          <w:rFonts w:ascii="Arial" w:cs="Arial" w:eastAsia="Arial" w:hAnsi="Arial"/>
          <w:sz w:val="16"/>
          <w:szCs w:val="16"/>
          <w:color w:val="auto"/>
        </w:rPr>
        <w:t>”) securing any indebtedness or any other Encumbrance placed on the Leased Property in accordance with the provisions of Article XXXI (“</w:t>
      </w:r>
      <w:r>
        <w:rPr>
          <w:rFonts w:ascii="Arial" w:cs="Arial" w:eastAsia="Arial" w:hAnsi="Arial"/>
          <w:sz w:val="16"/>
          <w:szCs w:val="16"/>
          <w:b w:val="1"/>
          <w:bCs w:val="1"/>
          <w:color w:val="auto"/>
        </w:rPr>
        <w:t>Facility Mortgage</w:t>
      </w:r>
      <w:r>
        <w:rPr>
          <w:rFonts w:ascii="Arial" w:cs="Arial" w:eastAsia="Arial" w:hAnsi="Arial"/>
          <w:sz w:val="16"/>
          <w:szCs w:val="16"/>
          <w:color w:val="auto"/>
        </w:rPr>
        <w:t>”) by way of a standard form of mortgagee’s loss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119" w:name="page120"/>
    <w:bookmarkEnd w:id="11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payable endorsement. Except as otherwise set forth herein, any property insurance loss adjustment settlement with respect to the Leased Property shall require the written consent of Landlord and Tenant unless the amount of the loss net of the applicable deductible is less than Twenty Million Dollars ($20,000,000.00) in which event no consent of Landlord shall be required. Evidence of insurance shall be deposited with Landlord and, if requested, with any Facility Mortgagee(s). The insurance policies required to be carried by Tenant hereunder shall insure against all the following risks with respect to the Facility:</w:t>
      </w:r>
    </w:p>
    <w:p>
      <w:pPr>
        <w:spacing w:after="0" w:line="80" w:lineRule="exact"/>
        <w:rPr>
          <w:sz w:val="20"/>
          <w:szCs w:val="20"/>
          <w:color w:val="auto"/>
        </w:rPr>
      </w:pPr>
    </w:p>
    <w:p>
      <w:pPr>
        <w:ind w:left="440" w:right="40" w:firstLine="419"/>
        <w:spacing w:after="0" w:line="286" w:lineRule="auto"/>
        <w:tabs>
          <w:tab w:leader="none" w:pos="124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Loss or damage by fire, vandalism, collapse and malicious mischief, extended coverage perils commonly known as “All Risk,” and all physical loss perils normally included in such All Risk insurance, including, but not limited to, sprinkler leakage and windstorm (including named storm) and terrorism, in an amount not less than the insurable value on a Maximum Foreseeable Loss (as defined below in Section 13.2) basis and including a building ordinance coverage endorsement;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 shall have the right (i) to limit maximum insurance coverage for loss or damage by earthquake (including earth movement) to a minimum amount of One Hundred Million Dollars ($100,000,000) or as may be reasonably requested by Landlord and commercially available, and (ii) to limit maximum insurance coverage for loss or damage by windstorm (including but not limited to named windstorms) to a minimum amount of One Hundred Million Dollars ($100,000,000) or as may be reasonably requested by Landlord and commercially available;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the premium cost of any or all of earthquake, flood, windstorm (including named windstorm) or terrorism coverages are available only for a premium that is more than 2.5 times the average premium paid by Tenant (or prior operator of Facility) over the preceding three years for the insurance policy contemplated by this Section 13.1(a), then Tenant shall be entitled and required to purchase the maximum insurance coverage it reasonably deems most efficient and prudent to purchase and Tenant shall not be required to spend additional funds to purchase additional coverages insuring against such risks;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some property coverages might be sub-limited in an amount less than the Maximum Foreseeable Loss as long as the sub-limits are commercially reasonable and prudent as reasonably deemed by Tenant;</w:t>
      </w:r>
    </w:p>
    <w:p>
      <w:pPr>
        <w:spacing w:after="0" w:line="62" w:lineRule="exact"/>
        <w:rPr>
          <w:rFonts w:ascii="Arial" w:cs="Arial" w:eastAsia="Arial" w:hAnsi="Arial"/>
          <w:sz w:val="16"/>
          <w:szCs w:val="16"/>
          <w:color w:val="auto"/>
        </w:rPr>
      </w:pPr>
    </w:p>
    <w:p>
      <w:pPr>
        <w:ind w:left="440" w:right="180" w:firstLine="419"/>
        <w:spacing w:after="0" w:line="277" w:lineRule="auto"/>
        <w:tabs>
          <w:tab w:leader="none" w:pos="125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Loss or damage by explosion of steam boilers, pressure vessels or similar apparatus, now or hereafter installed in the Facility, in such limits with respect to any one accident as may be reasonably requested by Landlord from time to time;</w:t>
      </w:r>
    </w:p>
    <w:p>
      <w:pPr>
        <w:spacing w:after="0" w:line="62" w:lineRule="exact"/>
        <w:rPr>
          <w:rFonts w:ascii="Arial" w:cs="Arial" w:eastAsia="Arial" w:hAnsi="Arial"/>
          <w:sz w:val="18"/>
          <w:szCs w:val="18"/>
          <w:color w:val="auto"/>
        </w:rPr>
      </w:pPr>
    </w:p>
    <w:p>
      <w:pPr>
        <w:ind w:left="440" w:right="80" w:firstLine="419"/>
        <w:spacing w:after="0" w:line="311" w:lineRule="auto"/>
        <w:tabs>
          <w:tab w:leader="none" w:pos="124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Flood (when any of the improvements comprising the Leased Property of the Facility is located in whole or in part within a designated 100-year flood plain area) in an amount not less than the lesser of (i) probable maximum loss of a 250 year event, and (ii) One Hundred Million Dollars ($100,000,000), and such other hazards and in such amounts as may be customary for comparable properties in the area;</w:t>
      </w:r>
    </w:p>
    <w:p>
      <w:pPr>
        <w:spacing w:after="0" w:line="40" w:lineRule="exact"/>
        <w:rPr>
          <w:rFonts w:ascii="Arial" w:cs="Arial" w:eastAsia="Arial" w:hAnsi="Arial"/>
          <w:sz w:val="16"/>
          <w:szCs w:val="16"/>
          <w:color w:val="auto"/>
        </w:rPr>
      </w:pPr>
    </w:p>
    <w:p>
      <w:pPr>
        <w:ind w:left="440" w:right="160" w:firstLine="419"/>
        <w:spacing w:after="0" w:line="259" w:lineRule="auto"/>
        <w:tabs>
          <w:tab w:leader="none" w:pos="125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Loss of rental value in an amount not less than twelve (12) months’ Rent payable hereunder or business interruption in an amount not less than twelve (12) months of income and normal operating expenses including 90-days ordinary payroll and Rent payable hereunder with an extended period of indemnity coverage of at least ninety (90) days necessitated by the occurrence of any of the hazards described in Sections 13.1(a), 13.1(b) or 13.1(c);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120" w:name="page121"/>
    <w:bookmarkEnd w:id="120"/>
    <w:p>
      <w:pPr>
        <w:ind w:left="440" w:right="80" w:firstLine="419"/>
        <w:spacing w:after="0" w:line="257" w:lineRule="auto"/>
        <w:tabs>
          <w:tab w:leader="none" w:pos="1243" w:val="left"/>
        </w:tabs>
        <w:numPr>
          <w:ilvl w:val="1"/>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Claims for personal injury or property damage under a policy of comprehensive general public liability insurance including but not limited to coverage for terrorism, premises/operations, blanket contractual liability, liquor liability, special events or activities to the extent insurable, independent contractors and personal injury with amounts not less than One Hundred Million Dollars ($100,000,000) each occurrence and One Hundred Million Dollars ($100,000,000) in the annual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requirements may be satisfied through the purchase of a primary general liability policy and excess liability policies;</w:t>
      </w:r>
    </w:p>
    <w:p>
      <w:pPr>
        <w:spacing w:after="0" w:line="79" w:lineRule="exact"/>
        <w:rPr>
          <w:rFonts w:ascii="Arial" w:cs="Arial" w:eastAsia="Arial" w:hAnsi="Arial"/>
          <w:sz w:val="18"/>
          <w:szCs w:val="18"/>
          <w:color w:val="auto"/>
        </w:rPr>
      </w:pPr>
    </w:p>
    <w:p>
      <w:pPr>
        <w:ind w:left="440" w:right="240" w:firstLine="419"/>
        <w:spacing w:after="0" w:line="286" w:lineRule="auto"/>
        <w:tabs>
          <w:tab w:leader="none" w:pos="122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Claims for bodily injury and property damage under a policy of business automobile liability including garage and garage keepers liability and containing provisions and endorsements in accordance with state legal requirements, with primary limits not less than One Million Dollars ($1,000,000) per accident and excess limits provided in the excess liability policies referred to above;</w:t>
      </w:r>
    </w:p>
    <w:p>
      <w:pPr>
        <w:spacing w:after="0" w:line="57" w:lineRule="exact"/>
        <w:rPr>
          <w:rFonts w:ascii="Arial" w:cs="Arial" w:eastAsia="Arial" w:hAnsi="Arial"/>
          <w:sz w:val="17"/>
          <w:szCs w:val="17"/>
          <w:color w:val="auto"/>
        </w:rPr>
      </w:pPr>
    </w:p>
    <w:p>
      <w:pPr>
        <w:ind w:left="1240" w:hanging="381"/>
        <w:spacing w:after="0"/>
        <w:tabs>
          <w:tab w:leader="none" w:pos="124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During such time as Tenant is constructing any improvements, Tenant, at its sole cost and expense, shall carry, or cause to be carried</w:t>
      </w:r>
    </w:p>
    <w:p>
      <w:pPr>
        <w:spacing w:after="0" w:line="46" w:lineRule="exact"/>
        <w:rPr>
          <w:rFonts w:ascii="Arial" w:cs="Arial" w:eastAsia="Arial" w:hAnsi="Arial"/>
          <w:sz w:val="16"/>
          <w:szCs w:val="16"/>
          <w:color w:val="auto"/>
        </w:rPr>
      </w:pPr>
    </w:p>
    <w:p>
      <w:pPr>
        <w:ind w:left="440" w:right="120" w:hanging="4"/>
        <w:spacing w:after="0" w:line="253"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workers’ compensation insurance and employers’ liability insurance covering all persons employed in connection with the improvements in statutory limits, (ii) a completed operations endorsement to the commercial general liability insurance policy referred to above, and (iii) builder’s risk insurance, completed value form (or its equivalent), covering all physical loss, in an amount and subject to policy conditions satisfactory to Landlord;</w:t>
      </w:r>
    </w:p>
    <w:p>
      <w:pPr>
        <w:spacing w:after="0" w:line="80" w:lineRule="exact"/>
        <w:rPr>
          <w:rFonts w:ascii="Arial" w:cs="Arial" w:eastAsia="Arial" w:hAnsi="Arial"/>
          <w:sz w:val="18"/>
          <w:szCs w:val="18"/>
          <w:color w:val="auto"/>
        </w:rPr>
      </w:pPr>
    </w:p>
    <w:p>
      <w:pPr>
        <w:ind w:left="440" w:firstLine="419"/>
        <w:spacing w:after="0" w:line="269" w:lineRule="auto"/>
        <w:tabs>
          <w:tab w:leader="none" w:pos="125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During the Term, Tenant shall maintain or cause to be maintained environmental impairment liability (“</w:t>
      </w:r>
      <w:r>
        <w:rPr>
          <w:rFonts w:ascii="Arial" w:cs="Arial" w:eastAsia="Arial" w:hAnsi="Arial"/>
          <w:sz w:val="17"/>
          <w:szCs w:val="17"/>
          <w:b w:val="1"/>
          <w:bCs w:val="1"/>
          <w:color w:val="auto"/>
        </w:rPr>
        <w:t>EIL</w:t>
      </w:r>
      <w:r>
        <w:rPr>
          <w:rFonts w:ascii="Arial" w:cs="Arial" w:eastAsia="Arial" w:hAnsi="Arial"/>
          <w:sz w:val="17"/>
          <w:szCs w:val="17"/>
          <w:color w:val="auto"/>
        </w:rPr>
        <w:t>”) pollution liability insurance on the Leased Property in the form of a pollution legal liability or pollution and remedial legal liability (or similar product) (“</w:t>
      </w:r>
      <w:r>
        <w:rPr>
          <w:rFonts w:ascii="Arial" w:cs="Arial" w:eastAsia="Arial" w:hAnsi="Arial"/>
          <w:sz w:val="17"/>
          <w:szCs w:val="17"/>
          <w:b w:val="1"/>
          <w:bCs w:val="1"/>
          <w:color w:val="auto"/>
        </w:rPr>
        <w:t>PLL</w:t>
      </w:r>
      <w:r>
        <w:rPr>
          <w:rFonts w:ascii="Arial" w:cs="Arial" w:eastAsia="Arial" w:hAnsi="Arial"/>
          <w:sz w:val="17"/>
          <w:szCs w:val="17"/>
          <w:color w:val="auto"/>
        </w:rPr>
        <w:t>”) insurance policy. Such PLL insurance shall cover the Facility and provide coverage for on and off site cleanup costs for new and historical pollution conditions, and shall include coverage for first- and third- party bodily injury and property damage claims related to pollution conditions. The PLL policy in effect on the date hereof shall run to expiration and shall be renewed (or replaced with a policy of similar or superior terms and conditions as the existing policy) in five (5) year policy period intervals. The PLL policy will have a per claim limit of no less than Fifteen Million Dollars ($15,000,000) and an aggregate policy limit of no less than Fifteen Million Dollars ($15,000,000), with a self-insured retention or deductible of no greater than One Hundred Thousand Dollars ($100,000). Such policy shall include coverage for claims for microbial matter and legionella, with the same combined single limits as referenced above, with a self-insured retention or deductible of no greater than One Million Dollars ($1,000,000). Any Underground Storage Tanks (USTs) located on the Leased Property shall be covered on the PLL policy, or be covered as a separate UST policy that shall be maintained during the Term; and</w:t>
      </w:r>
    </w:p>
    <w:p>
      <w:pPr>
        <w:spacing w:after="0" w:line="77" w:lineRule="exact"/>
        <w:rPr>
          <w:rFonts w:ascii="Arial" w:cs="Arial" w:eastAsia="Arial" w:hAnsi="Arial"/>
          <w:sz w:val="17"/>
          <w:szCs w:val="17"/>
          <w:color w:val="auto"/>
        </w:rPr>
      </w:pPr>
    </w:p>
    <w:p>
      <w:pPr>
        <w:ind w:left="440" w:right="500" w:firstLine="419"/>
        <w:spacing w:after="0" w:line="277" w:lineRule="auto"/>
        <w:tabs>
          <w:tab w:leader="none" w:pos="121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During the Term, Tenant shall maintain or cause to be maintained cyber liability insurance, with limits not less than Fifty Million Dollars ($50,000,000) per claim.</w:t>
      </w:r>
    </w:p>
    <w:p>
      <w:pPr>
        <w:spacing w:after="0" w:line="166" w:lineRule="exact"/>
        <w:rPr>
          <w:sz w:val="20"/>
          <w:szCs w:val="20"/>
          <w:color w:val="auto"/>
        </w:rPr>
      </w:pPr>
    </w:p>
    <w:p>
      <w:pPr>
        <w:ind w:right="120" w:firstLine="1983"/>
        <w:spacing w:after="0" w:line="282"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u w:val="single" w:color="auto"/>
          <w:color w:val="auto"/>
        </w:rPr>
        <w:t>Maximum Foreseeable Loss</w:t>
      </w:r>
      <w:r>
        <w:rPr>
          <w:rFonts w:ascii="Arial" w:cs="Arial" w:eastAsia="Arial" w:hAnsi="Arial"/>
          <w:sz w:val="18"/>
          <w:szCs w:val="18"/>
          <w:color w:val="auto"/>
        </w:rPr>
        <w:t>. The term “</w:t>
      </w:r>
      <w:r>
        <w:rPr>
          <w:rFonts w:ascii="Arial" w:cs="Arial" w:eastAsia="Arial" w:hAnsi="Arial"/>
          <w:sz w:val="18"/>
          <w:szCs w:val="18"/>
          <w:b w:val="1"/>
          <w:bCs w:val="1"/>
          <w:color w:val="auto"/>
        </w:rPr>
        <w:t>Maximum Foreseeable Loss</w:t>
      </w:r>
      <w:r>
        <w:rPr>
          <w:rFonts w:ascii="Arial" w:cs="Arial" w:eastAsia="Arial" w:hAnsi="Arial"/>
          <w:sz w:val="18"/>
          <w:szCs w:val="18"/>
          <w:color w:val="auto"/>
        </w:rPr>
        <w:t>” shall mean the largest monetary loss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one area that may be expected to result from a single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121" w:name="page122"/>
    <w:bookmarkEnd w:id="12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fire with protection impaired, the control of the fire mainly dependent on physical barriers or separations and a delayed manual firefighting by public and/or private fire brigades. If Landlord reasonably believes that the Maximum Foreseeable Loss has increased at any time during the Term, it shall have the right (unless Tenant and Landlord agree otherwise) to have such Maximum Foreseeable Loss redetermined by an impartial national insurance company reasonably acceptable to both parties (the “</w:t>
      </w:r>
      <w:r>
        <w:rPr>
          <w:rFonts w:ascii="Arial" w:cs="Arial" w:eastAsia="Arial" w:hAnsi="Arial"/>
          <w:sz w:val="17"/>
          <w:szCs w:val="17"/>
          <w:b w:val="1"/>
          <w:bCs w:val="1"/>
          <w:color w:val="auto"/>
        </w:rPr>
        <w:t>Impartial Appraiser</w:t>
      </w:r>
      <w:r>
        <w:rPr>
          <w:rFonts w:ascii="Arial" w:cs="Arial" w:eastAsia="Arial" w:hAnsi="Arial"/>
          <w:sz w:val="17"/>
          <w:szCs w:val="17"/>
          <w:color w:val="auto"/>
        </w:rPr>
        <w:t>”), or, if the parties cannot agree on an Impartial Appraiser, then by an Expert appointed in accordance with Section 34.1 hereof. The determination of the Impartial Appraiser (or the Expert, as the case may be) shall be final and binding on the parties hereto, and Tenant shall forthwith adjust the amount of the insurance carried pursuant to this Article XIII to the amount so determined by the Impartial Appraiser (or the Expert, as the case may be). Each party shall pay one-half (1/2) of the fee, if any, of the Impartial Appraiser. If Landlord pays the Impartial Appraiser, fifty percent (50%) of such costs shall be Additional Charges hereunder and if Tenant pays such Impartial Appraiser, fifty percent (50%) of such costs shall be a credit against the next Rent payment hereunder. If Tenant has undertaken any structural alterations or additions to the Leased Property having a cost or value in excess of One Hundred Million Dollars ($100,000,000), Landlord may at Tenant’s expense have the Maximum Foreseeable Loss redetermined at any time after such improvements are made, regardless of when the Maximum Foreseeable Loss was last determined.</w:t>
      </w:r>
    </w:p>
    <w:p>
      <w:pPr>
        <w:spacing w:after="0" w:line="175" w:lineRule="exact"/>
        <w:rPr>
          <w:sz w:val="20"/>
          <w:szCs w:val="20"/>
          <w:color w:val="auto"/>
        </w:rPr>
      </w:pPr>
    </w:p>
    <w:p>
      <w:pPr>
        <w:ind w:right="40" w:firstLine="1983"/>
        <w:spacing w:after="0" w:line="266"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Additional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insurance described above, Tenant shall at all times maintain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workers’ compensation coverage and any other coverage required by Legal Requirements for all Persons employed by Tenant on the Leased Property in accordance with Legal Requirements.</w:t>
      </w:r>
    </w:p>
    <w:p>
      <w:pPr>
        <w:spacing w:after="0" w:line="176" w:lineRule="exact"/>
        <w:rPr>
          <w:sz w:val="20"/>
          <w:szCs w:val="20"/>
          <w:color w:val="auto"/>
        </w:rPr>
      </w:pPr>
    </w:p>
    <w:p>
      <w:pPr>
        <w:ind w:right="340" w:firstLine="1983"/>
        <w:spacing w:after="0" w:line="289" w:lineRule="auto"/>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7"/>
          <w:szCs w:val="17"/>
          <w:b w:val="1"/>
          <w:bCs w:val="1"/>
          <w:u w:val="single" w:color="auto"/>
          <w:color w:val="auto"/>
        </w:rPr>
        <w:t>Waiver of Subrogation</w:t>
      </w:r>
      <w:r>
        <w:rPr>
          <w:rFonts w:ascii="Arial" w:cs="Arial" w:eastAsia="Arial" w:hAnsi="Arial"/>
          <w:sz w:val="17"/>
          <w:szCs w:val="17"/>
          <w:b w:val="1"/>
          <w:bCs w:val="1"/>
          <w:color w:val="auto"/>
        </w:rPr>
        <w:t xml:space="preserve">. </w:t>
      </w:r>
      <w:r>
        <w:rPr>
          <w:rFonts w:ascii="Arial" w:cs="Arial" w:eastAsia="Arial" w:hAnsi="Arial"/>
          <w:sz w:val="17"/>
          <w:szCs w:val="17"/>
          <w:color w:val="auto"/>
        </w:rPr>
        <w:t>All insurance policies carried by either party covering the Leased Property or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including, without limitation, contents, fire and liability insurance, shall expressly waive any right of subrogation on the part of the insurer against the other party. Each party, respectively, shall pay any additional costs or charges for obtaining such waiver.</w:t>
      </w:r>
    </w:p>
    <w:p>
      <w:pPr>
        <w:spacing w:after="0" w:line="158" w:lineRule="exact"/>
        <w:rPr>
          <w:sz w:val="20"/>
          <w:szCs w:val="20"/>
          <w:color w:val="auto"/>
        </w:rPr>
      </w:pPr>
    </w:p>
    <w:p>
      <w:pPr>
        <w:ind w:right="60" w:firstLine="1983"/>
        <w:spacing w:after="0" w:line="269" w:lineRule="auto"/>
        <w:rPr>
          <w:sz w:val="20"/>
          <w:szCs w:val="20"/>
          <w:color w:val="auto"/>
        </w:rPr>
      </w:pPr>
      <w:r>
        <w:rPr>
          <w:rFonts w:ascii="Arial" w:cs="Arial" w:eastAsia="Arial" w:hAnsi="Arial"/>
          <w:sz w:val="17"/>
          <w:szCs w:val="17"/>
          <w:b w:val="1"/>
          <w:bCs w:val="1"/>
          <w:color w:val="auto"/>
        </w:rPr>
        <w:t xml:space="preserve">13.5 </w:t>
      </w:r>
      <w:r>
        <w:rPr>
          <w:rFonts w:ascii="Arial" w:cs="Arial" w:eastAsia="Arial" w:hAnsi="Arial"/>
          <w:sz w:val="17"/>
          <w:szCs w:val="17"/>
          <w:b w:val="1"/>
          <w:bCs w:val="1"/>
          <w:u w:val="single" w:color="auto"/>
          <w:color w:val="auto"/>
        </w:rPr>
        <w:t>Policy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All of the policies of insurance referred to in this Article XIII shall be written in form</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satisfactory to Landlord and issued by insurance companies qualified and authorized to do business in Massachusetts with a minimum policyholder rating of “A-” and a financial rating of “VII” in the most recent version of Best’s Key Rating Guide, or a minimum rating of “BBB” from Standard &amp; Poor’s or equivalent. Tenant shall pay all of the premiums therefor, and deliver certificates thereof to Landlord prior to 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 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written notice before the policy or policies in question shall be altered, allowed to expire or cancelled. Notwithstanding any provision of this Article XIII to the contrary, Landlord acknowledges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122" w:name="page123"/>
    <w:bookmarkEnd w:id="122"/>
    <w:p>
      <w:pPr>
        <w:jc w:val="both"/>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agrees that the coverage required to be maintained by Tenant may be provided under one or more policies with various deductibles or self-insurance retentions by Tenant or its Affiliates, subject to Landlord’s approval not to be unreasonably withheld. Upon written request by Landlord, Tenant shall provide Landlord copies of the property insurance policies when issued by the insurers providing such coverage.</w:t>
      </w:r>
    </w:p>
    <w:p>
      <w:pPr>
        <w:spacing w:after="0" w:line="161" w:lineRule="exact"/>
        <w:rPr>
          <w:sz w:val="20"/>
          <w:szCs w:val="20"/>
          <w:color w:val="auto"/>
        </w:rPr>
      </w:pPr>
    </w:p>
    <w:p>
      <w:pPr>
        <w:ind w:right="40" w:firstLine="1983"/>
        <w:spacing w:after="0" w:line="274" w:lineRule="auto"/>
        <w:rPr>
          <w:sz w:val="20"/>
          <w:szCs w:val="20"/>
          <w:color w:val="auto"/>
        </w:rPr>
      </w:pPr>
      <w:r>
        <w:rPr>
          <w:rFonts w:ascii="Arial" w:cs="Arial" w:eastAsia="Arial" w:hAnsi="Arial"/>
          <w:sz w:val="17"/>
          <w:szCs w:val="17"/>
          <w:b w:val="1"/>
          <w:bCs w:val="1"/>
          <w:color w:val="auto"/>
        </w:rPr>
        <w:t xml:space="preserve">13.6 </w:t>
      </w:r>
      <w:r>
        <w:rPr>
          <w:rFonts w:ascii="Arial" w:cs="Arial" w:eastAsia="Arial" w:hAnsi="Arial"/>
          <w:sz w:val="17"/>
          <w:szCs w:val="17"/>
          <w:b w:val="1"/>
          <w:bCs w:val="1"/>
          <w:u w:val="single" w:color="auto"/>
          <w:color w:val="auto"/>
        </w:rPr>
        <w:t>Increase in Limits</w:t>
      </w:r>
      <w:r>
        <w:rPr>
          <w:rFonts w:ascii="Arial" w:cs="Arial" w:eastAsia="Arial" w:hAnsi="Arial"/>
          <w:sz w:val="17"/>
          <w:szCs w:val="17"/>
          <w:b w:val="1"/>
          <w:bCs w:val="1"/>
          <w:color w:val="auto"/>
        </w:rPr>
        <w:t xml:space="preserve">. </w:t>
      </w:r>
      <w:r>
        <w:rPr>
          <w:rFonts w:ascii="Arial" w:cs="Arial" w:eastAsia="Arial" w:hAnsi="Arial"/>
          <w:sz w:val="17"/>
          <w:szCs w:val="17"/>
          <w:color w:val="auto"/>
        </w:rPr>
        <w:t>If, from time to time after the Commencement Date, Landlord determines in the exercise of its</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business judgment that the limits of the personal injury or property damage-public liability insurance then carried pursuant to Section 13.1(e) hereof are insufficient, Landlord may give Tenant Notice of acceptable limits for the insurance to be carried; provided that in no event will Tenant be required to carry insurance in an amount which exceeds the product of (i) the amounts set forth in Section 13.1(e) hereof and (ii) the CPI Increase; and subject to the foregoing limitation, within ninety (90) days after the receipt of such Notice, the insurance shall thereafter be carried with limits as prescribed by Landlord until further increase pursuant to the provisions of this Section 13.6.</w:t>
      </w:r>
    </w:p>
    <w:p>
      <w:pPr>
        <w:spacing w:after="0" w:line="173" w:lineRule="exact"/>
        <w:rPr>
          <w:sz w:val="20"/>
          <w:szCs w:val="20"/>
          <w:color w:val="auto"/>
        </w:rPr>
      </w:pPr>
    </w:p>
    <w:p>
      <w:pPr>
        <w:ind w:right="60" w:firstLine="1983"/>
        <w:spacing w:after="0" w:line="273" w:lineRule="auto"/>
        <w:rPr>
          <w:sz w:val="20"/>
          <w:szCs w:val="20"/>
          <w:color w:val="auto"/>
        </w:rPr>
      </w:pPr>
      <w:r>
        <w:rPr>
          <w:rFonts w:ascii="Arial" w:cs="Arial" w:eastAsia="Arial" w:hAnsi="Arial"/>
          <w:sz w:val="17"/>
          <w:szCs w:val="17"/>
          <w:b w:val="1"/>
          <w:bCs w:val="1"/>
          <w:color w:val="auto"/>
        </w:rPr>
        <w:t xml:space="preserve">13.7 </w:t>
      </w:r>
      <w:r>
        <w:rPr>
          <w:rFonts w:ascii="Arial" w:cs="Arial" w:eastAsia="Arial" w:hAnsi="Arial"/>
          <w:sz w:val="17"/>
          <w:szCs w:val="17"/>
          <w:b w:val="1"/>
          <w:bCs w:val="1"/>
          <w:u w:val="single" w:color="auto"/>
          <w:color w:val="auto"/>
        </w:rPr>
        <w:t>Blanket Policy</w:t>
      </w:r>
      <w:r>
        <w:rPr>
          <w:rFonts w:ascii="Arial" w:cs="Arial" w:eastAsia="Arial" w:hAnsi="Arial"/>
          <w:sz w:val="17"/>
          <w:szCs w:val="17"/>
          <w:b w:val="1"/>
          <w:bCs w:val="1"/>
          <w:color w:val="auto"/>
        </w:rPr>
        <w:t xml:space="preserve">. </w:t>
      </w:r>
      <w:r>
        <w:rPr>
          <w:rFonts w:ascii="Arial" w:cs="Arial" w:eastAsia="Arial" w:hAnsi="Arial"/>
          <w:sz w:val="17"/>
          <w:szCs w:val="17"/>
          <w:color w:val="auto"/>
        </w:rPr>
        <w:t>Any blanket insurance policy shall specifically allocate to the Leased Property the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coverage from time to time required hereunder or shall otherwise provide similar protection as would a separate policy insuring only the Leased Property hereof, subject to review and reasonable approval by Landlord based on the schedule of locations and values, and such other documentation reasonably requested by Landlord. Further, to the extent the policies are maintained pursuant to a blanket insurance policy that covers more than one location within a one thousand foot radius of the Leased Property (the “Radius”), the limits of such blanket insurance policy shall be sufficient to maintain property and terrorism coverage as set forth in this Section for the Leased Property and any and all other locations combined within the Radius that are covered by such blanket insurance policy calculated on a total insured value basis.</w:t>
      </w:r>
    </w:p>
    <w:p>
      <w:pPr>
        <w:spacing w:after="0" w:line="172" w:lineRule="exact"/>
        <w:rPr>
          <w:sz w:val="20"/>
          <w:szCs w:val="20"/>
          <w:color w:val="auto"/>
        </w:rPr>
      </w:pPr>
    </w:p>
    <w:p>
      <w:pPr>
        <w:ind w:firstLine="1983"/>
        <w:spacing w:after="0" w:line="272" w:lineRule="auto"/>
        <w:rPr>
          <w:sz w:val="20"/>
          <w:szCs w:val="20"/>
          <w:color w:val="auto"/>
        </w:rPr>
      </w:pPr>
      <w:r>
        <w:rPr>
          <w:rFonts w:ascii="Arial" w:cs="Arial" w:eastAsia="Arial" w:hAnsi="Arial"/>
          <w:sz w:val="17"/>
          <w:szCs w:val="17"/>
          <w:b w:val="1"/>
          <w:bCs w:val="1"/>
          <w:color w:val="auto"/>
        </w:rPr>
        <w:t xml:space="preserve">13.8 </w:t>
      </w:r>
      <w:r>
        <w:rPr>
          <w:rFonts w:ascii="Arial" w:cs="Arial" w:eastAsia="Arial" w:hAnsi="Arial"/>
          <w:sz w:val="17"/>
          <w:szCs w:val="17"/>
          <w:b w:val="1"/>
          <w:bCs w:val="1"/>
          <w:u w:val="single" w:color="auto"/>
          <w:color w:val="auto"/>
        </w:rPr>
        <w:t>No Separate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not, on Tenant’s own initiative or pursuant to the request or requirement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party, (i) take out separate insurance concurrent in form or contributing in the event of loss with that required in this Article XIII to be furnished by, or which may reasonably be required to be furnished by, Tenant or (ii) increase the amounts of any then-existing insurance by securing an additional policy or additional policies, unless all parties having an insurable interest in the subject matter of the insurance, including in all cases Landlord and all Facility Mortgagees, are included therein as additional insureds and the loss is payable under such insurance in the same manner as losses are payable under this Lease. Notwithstanding the foregoing, nothing herein shall prohibit Tenant from insuring against risks not required to be insured hereby, and as to such insurance, Landlord and any Facility Mortgagee need not be included therein as additional insureds, nor must the loss thereunder be payable in the same manner as losses are payable hereunder.</w:t>
      </w:r>
    </w:p>
    <w:p>
      <w:pPr>
        <w:spacing w:after="0" w:line="172" w:lineRule="exact"/>
        <w:rPr>
          <w:sz w:val="20"/>
          <w:szCs w:val="20"/>
          <w:color w:val="auto"/>
        </w:rPr>
      </w:pPr>
    </w:p>
    <w:p>
      <w:pPr>
        <w:ind w:firstLine="1983"/>
        <w:spacing w:after="0" w:line="347" w:lineRule="auto"/>
        <w:rPr>
          <w:sz w:val="20"/>
          <w:szCs w:val="20"/>
          <w:color w:val="auto"/>
        </w:rPr>
      </w:pPr>
      <w:r>
        <w:rPr>
          <w:rFonts w:ascii="Arial" w:cs="Arial" w:eastAsia="Arial" w:hAnsi="Arial"/>
          <w:sz w:val="16"/>
          <w:szCs w:val="16"/>
          <w:b w:val="1"/>
          <w:bCs w:val="1"/>
          <w:color w:val="auto"/>
        </w:rPr>
        <w:t xml:space="preserve">13.9 </w:t>
      </w:r>
      <w:r>
        <w:rPr>
          <w:rFonts w:ascii="Arial" w:cs="Arial" w:eastAsia="Arial" w:hAnsi="Arial"/>
          <w:sz w:val="16"/>
          <w:szCs w:val="16"/>
          <w:b w:val="1"/>
          <w:bCs w:val="1"/>
          <w:u w:val="single" w:color="auto"/>
          <w:color w:val="auto"/>
        </w:rPr>
        <w:t>Captive Insurance Company Requirements</w:t>
      </w:r>
      <w:r>
        <w:rPr>
          <w:rFonts w:ascii="Arial" w:cs="Arial" w:eastAsia="Arial" w:hAnsi="Arial"/>
          <w:sz w:val="16"/>
          <w:szCs w:val="16"/>
          <w:color w:val="auto"/>
        </w:rPr>
        <w:t>. With respect to any captive insurance company providing the terrorism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insurance required pursuant to Section 13.1 above, such captive insurance company must meet the requirements set forth on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attached hereto.</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123" w:name="page124"/>
    <w:bookmarkEnd w:id="1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XIV</w:t>
      </w:r>
    </w:p>
    <w:p>
      <w:pPr>
        <w:spacing w:after="0" w:line="117" w:lineRule="exact"/>
        <w:rPr>
          <w:sz w:val="20"/>
          <w:szCs w:val="20"/>
          <w:color w:val="auto"/>
        </w:rPr>
      </w:pPr>
    </w:p>
    <w:p>
      <w:pPr>
        <w:ind w:left="4" w:right="20" w:firstLine="1983"/>
        <w:spacing w:after="0" w:line="268" w:lineRule="auto"/>
        <w:rPr>
          <w:sz w:val="20"/>
          <w:szCs w:val="20"/>
          <w:color w:val="auto"/>
        </w:rPr>
      </w:pPr>
      <w:r>
        <w:rPr>
          <w:rFonts w:ascii="Arial" w:cs="Arial" w:eastAsia="Arial" w:hAnsi="Arial"/>
          <w:sz w:val="17"/>
          <w:szCs w:val="17"/>
          <w:b w:val="1"/>
          <w:bCs w:val="1"/>
          <w:color w:val="auto"/>
        </w:rPr>
        <w:t xml:space="preserve">14.1 </w:t>
      </w:r>
      <w:r>
        <w:rPr>
          <w:rFonts w:ascii="Arial" w:cs="Arial" w:eastAsia="Arial" w:hAnsi="Arial"/>
          <w:sz w:val="17"/>
          <w:szCs w:val="17"/>
          <w:b w:val="1"/>
          <w:bCs w:val="1"/>
          <w:u w:val="single" w:color="auto"/>
          <w:color w:val="auto"/>
        </w:rPr>
        <w:t>Property Insurance Proceeds</w:t>
      </w:r>
      <w:r>
        <w:rPr>
          <w:rFonts w:ascii="Arial" w:cs="Arial" w:eastAsia="Arial" w:hAnsi="Arial"/>
          <w:sz w:val="17"/>
          <w:szCs w:val="17"/>
          <w:color w:val="auto"/>
        </w:rPr>
        <w:t>. All proceeds (except business interruption insurance proceeds not allocated to rent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expenses) payable by reason of any property loss or damage to the Leased Property, or any portion thereof, under any property policy of insurance required to be carried hereunder shall be paid to an escrow account held by a third party depositary reasonably acceptable to Landlord and Tenant (pursuant to an escrow agreement acceptable to the parties and intended to implement the terms hereof) and made available to Tenant upon request for the reasonable out-of-pocket costs of preservation, stabilization, emergency restoration, business interruption, reconstruction and repair, as the case may be, of any damage to or destruction of the Leased Property, or any portion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portion of such proceeds that are attributable to Tenant’s obligation to pay Rent and Additional Charges shall be applied against Rents and Additional Charges due and payable by Tenant hereunder as Rent and Additional Charges become due and payable;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the total amount of proceeds payable net of the applicable deductibles is Twenty Five Million Dollars ($25,000,000) or less, and if no Event of Default has occurred and is continuing, the proceeds shall be paid directly to Tenant and, subject to the limitations set forth in this Article XIV used for the repair of any damage to the Leased Property, it being understood and agreed that Tenant shall have no obligation to rebuild any Tenant Capital Improvement, provided that the Leased Property is rebuilt in a manner at least substantially similar to the condition of the Leased Property that existed prior to the related casualty and with materials and workmanship of like kind and quality or as otherwise in a manner reasonably satisfactory to Landlord. Any excess proceeds of insurance remaining after the completion of the restoration or reconstruction of the Leased Property as described in the preceding sentence shall be provided to Tenant. Tenant shall have the right to prosecute and settle insurance claims,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Tenant shall consult with and involve Landlord in the process of adjusting any insurance claims under this Article XIV and any final settlement with the insurance company shall be subject to Landlord’s consent, such consent not to be unreasonably withheld.</w:t>
      </w:r>
    </w:p>
    <w:p>
      <w:pPr>
        <w:spacing w:after="0" w:line="177"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u w:val="single" w:color="auto"/>
          <w:color w:val="auto"/>
        </w:rPr>
        <w:t>Tenant’s Obligations Following Casualty</w:t>
      </w:r>
      <w:r>
        <w:rPr>
          <w:rFonts w:ascii="Arial" w:cs="Arial" w:eastAsia="Arial" w:hAnsi="Arial"/>
          <w:sz w:val="16"/>
          <w:szCs w:val="16"/>
          <w:b w:val="1"/>
          <w:bCs w:val="1"/>
          <w:color w:val="auto"/>
        </w:rPr>
        <w:t>.</w:t>
      </w:r>
    </w:p>
    <w:p>
      <w:pPr>
        <w:spacing w:after="0" w:line="229" w:lineRule="exact"/>
        <w:rPr>
          <w:sz w:val="20"/>
          <w:szCs w:val="20"/>
          <w:color w:val="auto"/>
        </w:rPr>
      </w:pPr>
    </w:p>
    <w:p>
      <w:pPr>
        <w:ind w:left="4" w:right="100" w:firstLine="1979"/>
        <w:spacing w:after="0" w:line="286" w:lineRule="auto"/>
        <w:tabs>
          <w:tab w:leader="none" w:pos="236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If the Facility and/or any Tenant Capital Improvements to the Facility are damaged, whether or not from a risk covered by insurance carried by Tenant, except as otherwise provided herein, (i) Tenant shall restore such Leased Property (excluding any Tenant Capital Improvement, it being understood and agreed that Tenant shall not be required to repair any Tenant Capital Improvement, provided that the Leased Property is rebuilt in a manner reasonably satisfactory to Landlord), to substantially the same condition as existed immediately before such damage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damage shall not terminate this Lease.</w:t>
      </w:r>
    </w:p>
    <w:p>
      <w:pPr>
        <w:spacing w:after="0" w:line="210" w:lineRule="exact"/>
        <w:rPr>
          <w:rFonts w:ascii="Arial" w:cs="Arial" w:eastAsia="Arial" w:hAnsi="Arial"/>
          <w:sz w:val="18"/>
          <w:szCs w:val="18"/>
          <w:color w:val="auto"/>
        </w:rPr>
      </w:pPr>
    </w:p>
    <w:p>
      <w:pPr>
        <w:ind w:left="4" w:right="100" w:firstLine="1979"/>
        <w:spacing w:after="0" w:line="259" w:lineRule="auto"/>
        <w:tabs>
          <w:tab w:leader="none" w:pos="237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Tenant restores the affected Leased Property and the cost of the repair or restoration exceeds the amount of proceeds received from the insurance required to be carried hereunder, Tenant shall provide Landlord with evidence reasonably acceptable to Landlord that Tenant has available to it any excess amounts needed to restore the Facility. Such excess amounts necessary to restore the Facility shall be paid by Tenant.</w:t>
      </w:r>
    </w:p>
    <w:p>
      <w:pPr>
        <w:spacing w:after="0" w:line="186" w:lineRule="exact"/>
        <w:rPr>
          <w:rFonts w:ascii="Arial" w:cs="Arial" w:eastAsia="Arial" w:hAnsi="Arial"/>
          <w:sz w:val="18"/>
          <w:szCs w:val="18"/>
          <w:color w:val="auto"/>
        </w:rPr>
      </w:pPr>
    </w:p>
    <w:p>
      <w:pPr>
        <w:ind w:left="4" w:firstLine="1979"/>
        <w:spacing w:after="0" w:line="277" w:lineRule="auto"/>
        <w:tabs>
          <w:tab w:leader="none" w:pos="236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Tenant has not restored the affected Leased Property and gaming operations have not recommenced by the date that is the third anniversary of the date of any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4"/>
          </w:cols>
          <w:pgMar w:left="436" w:top="270" w:right="4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casualty, all remaining insurance proceeds shall be paid to and retained by Landlord free and clear of any claim by or through Tenant.</w:t>
      </w:r>
    </w:p>
    <w:p>
      <w:pPr>
        <w:spacing w:after="0" w:line="225" w:lineRule="exact"/>
        <w:rPr>
          <w:sz w:val="20"/>
          <w:szCs w:val="20"/>
          <w:color w:val="auto"/>
        </w:rPr>
      </w:pPr>
    </w:p>
    <w:p>
      <w:pPr>
        <w:ind w:right="20" w:firstLine="1979"/>
        <w:spacing w:after="0" w:line="257" w:lineRule="auto"/>
        <w:tabs>
          <w:tab w:leader="none" w:pos="237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neither Landlord nor Tenant is required or elects to repair and restore the Leased Property, all insurance proceeds, other than proceeds reasonably attributed to any Tenant Capital Improvements (and, subject to no Event of Default having occurred and being continuing, any business interruption proceeds in excess of Tenant’s Rent and Additional Charges obligations hereunder), which proceeds shall be and remain the property of Tenant, shall be paid to and retained by Landlord free and clear of any claim by or through Tenant except as otherwise specifically provided below in this Article XIV.</w:t>
      </w:r>
    </w:p>
    <w:p>
      <w:pPr>
        <w:spacing w:after="0" w:line="184" w:lineRule="exact"/>
        <w:rPr>
          <w:sz w:val="20"/>
          <w:szCs w:val="20"/>
          <w:color w:val="auto"/>
        </w:rPr>
      </w:pPr>
    </w:p>
    <w:p>
      <w:pPr>
        <w:jc w:val="both"/>
        <w:ind w:right="360" w:firstLine="1983"/>
        <w:spacing w:after="0" w:line="266"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No Abatement of Rent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shall remain in full force and effect and Tenant’s obligation to pay the Rent,</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Charges and all other charges required by this Lease shall remain unabated during the period required for adjusting insurance, satisfying Legal Requirements, repair and restoration.</w:t>
      </w:r>
    </w:p>
    <w:p>
      <w:pPr>
        <w:spacing w:after="0" w:line="176" w:lineRule="exact"/>
        <w:rPr>
          <w:sz w:val="20"/>
          <w:szCs w:val="20"/>
          <w:color w:val="auto"/>
        </w:rPr>
      </w:pPr>
    </w:p>
    <w:p>
      <w:pPr>
        <w:ind w:firstLine="1983"/>
        <w:spacing w:after="0" w:line="282"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Tenant waives any statutory rights of termination which may arise by reason of any damage or destruction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Leased Property but such waiver shall not affect any contractual rights granted to Tenant under this Article XIV.</w:t>
      </w:r>
    </w:p>
    <w:p>
      <w:pPr>
        <w:spacing w:after="0" w:line="162" w:lineRule="exact"/>
        <w:rPr>
          <w:sz w:val="20"/>
          <w:szCs w:val="20"/>
          <w:color w:val="auto"/>
        </w:rPr>
      </w:pPr>
    </w:p>
    <w:p>
      <w:pPr>
        <w:ind w:right="20" w:firstLine="1983"/>
        <w:spacing w:after="0" w:line="285" w:lineRule="auto"/>
        <w:rPr>
          <w:sz w:val="20"/>
          <w:szCs w:val="20"/>
          <w:color w:val="auto"/>
        </w:rPr>
      </w:pPr>
      <w:r>
        <w:rPr>
          <w:rFonts w:ascii="Arial" w:cs="Arial" w:eastAsia="Arial" w:hAnsi="Arial"/>
          <w:sz w:val="16"/>
          <w:szCs w:val="16"/>
          <w:b w:val="1"/>
          <w:bCs w:val="1"/>
          <w:color w:val="auto"/>
        </w:rPr>
        <w:t xml:space="preserve">14.5 </w:t>
      </w:r>
      <w:r>
        <w:rPr>
          <w:rFonts w:ascii="Arial" w:cs="Arial" w:eastAsia="Arial" w:hAnsi="Arial"/>
          <w:sz w:val="16"/>
          <w:szCs w:val="16"/>
          <w:b w:val="1"/>
          <w:bCs w:val="1"/>
          <w:u w:val="single" w:color="auto"/>
          <w:color w:val="auto"/>
        </w:rPr>
        <w:t>Insurance Proceeds Paid to Facility Mortgagee</w:t>
      </w:r>
      <w:r>
        <w:rPr>
          <w:rFonts w:ascii="Arial" w:cs="Arial" w:eastAsia="Arial" w:hAnsi="Arial"/>
          <w:sz w:val="16"/>
          <w:szCs w:val="16"/>
          <w:color w:val="auto"/>
        </w:rPr>
        <w:t>. Notwithstanding anything herein to the contrary, in the event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obtains any Facility Mortgage, the terms of such Facility Mortgage shall provide that any insurance proceeds (excluding business interruption proceeds, which shall continue to be payable to Landlord in payment of Rent) may be held by such Facility Mortgagee and shall be applied to the restoration of the Leased Property and/or disbursed to Tenant to permit Tenant to restore the Leased Property, in the manner required by Section 14.2 and other applicable provisions of this Lease and may not be applied by such Facility Mortgagee to the indebtedness secured by the Facility Mortgage, provided that Tenant satisfies each of the following conditions to the reasonable satisfaction of Landlord and such Facility Mortgagee: (a) at the time of the related casualty, there shall exist no Event of Default; (b) the Leased Property affected by such casualty shall be capable of being restored to the condition required by Section 14.2; (c) Tenant shall demonstrate to Landlord’s and such Facility Mortgagee’s reasonable satisfaction Tenant’s ability to pay the Rent coming due during such repair or restoration period (after taking into account proceeds from business interruption insurance carried by Tenant); (d) Tenant shall have provided to Landlord and such Facility Mortgagee all of the following: (i) an architect’s contract with an architect reasonably acceptable to Landlord and such Facility Mortgagee; (ii) complete plans and specifications for the restoration of the affected portions of the Leased Property, which plans and specifications shall cause the Leased Property to be restored or reconstructed to the condition required under Section 14.2; provided, however, Tenant agrees to incorporate Landlord’s reasonable comments to such plans and specifications; (iii) fixed-price or guaranteed maximum cost construction contracts with contractors reasonably acceptable to Landlord and such Facility Mortgagee for completion of the restoration work in accordance with the aforementioned plans and specifications; (iv) such additional funds (if any) as are necessary from time to time, in Landlord’s and such Facility Mortgagee’s reasonable opinion, to complete the restoration pursuant to the plans and specifications and in the condition required under Section 14.2; and (v) copies of all permits, licenses and approvals necessary to complete the restoration in accordance with the plans and specifications and all Legal Requirements; (e) Tenant shall,</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440" w:top="274" w:right="499" w:bottom="1440" w:gutter="0" w:footer="0" w:header="0"/>
        </w:sectPr>
      </w:pPr>
    </w:p>
    <w:bookmarkStart w:id="125" w:name="page126"/>
    <w:bookmarkEnd w:id="125"/>
    <w:p>
      <w:pPr>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following the related casualty, diligently pursue all items required pursuant to clause (d) above and, after obtaining and providing the same to Landlord and any Facility Mortgagee, shall promptly commence and diligently pursue such work to completion; (f) Tenant shall complete (and shall provide to Landlord and any Facility Mortgagee such documentation evidencing the same) the restoration on or before the earliest to occur of (i) three</w:t>
      </w:r>
    </w:p>
    <w:p>
      <w:pPr>
        <w:spacing w:after="0" w:line="2" w:lineRule="exact"/>
        <w:rPr>
          <w:sz w:val="20"/>
          <w:szCs w:val="20"/>
          <w:color w:val="auto"/>
        </w:rPr>
      </w:pPr>
    </w:p>
    <w:p>
      <w:pPr>
        <w:ind w:left="4" w:right="80" w:hanging="4"/>
        <w:spacing w:after="0" w:line="290" w:lineRule="auto"/>
        <w:tabs>
          <w:tab w:leader="none" w:pos="25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years after the date of the related casualty, and (ii) the expiration of the Term (provided, however, in the event that such restoration or reconstruction cannot be reasonably completed prior to the expiration of the Term, the deadline imposed under this subclause (iii) shall include the properly exercised Renewal Term); (g) the Property and the use thereof after the restoration will be in compliance with all applicable Legal Requirements; (h) Tenant shall promptly deliver to Landlord and any Facility Mortgagee all certificates of occupancy, lien waivers and such other documentation reasonably requested by Landlord or any Facility Mortgagee in connection with the restoration and reconstruction of the Leased Property; and (i) Tenant agrees to comply with any commercially reasonable draw or other disbursement requirements imposed by any such Facility Mortgagee.</w:t>
      </w:r>
    </w:p>
    <w:p>
      <w:pPr>
        <w:spacing w:after="0" w:line="37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XV</w:t>
      </w:r>
    </w:p>
    <w:p>
      <w:pPr>
        <w:spacing w:after="0" w:line="117"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u w:val="single" w:color="auto"/>
          <w:color w:val="auto"/>
        </w:rPr>
        <w:t>Condemnation</w:t>
      </w:r>
      <w:r>
        <w:rPr>
          <w:rFonts w:ascii="Arial" w:cs="Arial" w:eastAsia="Arial" w:hAnsi="Arial"/>
          <w:sz w:val="16"/>
          <w:szCs w:val="16"/>
          <w:b w:val="1"/>
          <w:bCs w:val="1"/>
          <w:color w:val="auto"/>
        </w:rPr>
        <w:t>.</w:t>
      </w:r>
    </w:p>
    <w:p>
      <w:pPr>
        <w:spacing w:after="0" w:line="225" w:lineRule="exact"/>
        <w:rPr>
          <w:sz w:val="20"/>
          <w:szCs w:val="20"/>
          <w:color w:val="auto"/>
        </w:rPr>
      </w:pPr>
    </w:p>
    <w:p>
      <w:pPr>
        <w:ind w:left="4" w:right="280" w:firstLine="1979"/>
        <w:spacing w:after="0" w:line="282" w:lineRule="auto"/>
        <w:tabs>
          <w:tab w:leader="none" w:pos="2366"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Total Taking</w:t>
      </w:r>
      <w:r>
        <w:rPr>
          <w:rFonts w:ascii="Arial" w:cs="Arial" w:eastAsia="Arial" w:hAnsi="Arial"/>
          <w:sz w:val="18"/>
          <w:szCs w:val="18"/>
          <w:color w:val="auto"/>
        </w:rPr>
        <w:t>. If the Leased Property of the Facility is totally and permanently taken by Condemnation (a “</w:t>
      </w:r>
      <w:r>
        <w:rPr>
          <w:rFonts w:ascii="Arial" w:cs="Arial" w:eastAsia="Arial" w:hAnsi="Arial"/>
          <w:sz w:val="18"/>
          <w:szCs w:val="18"/>
          <w:b w:val="1"/>
          <w:bCs w:val="1"/>
          <w:color w:val="auto"/>
        </w:rPr>
        <w:t>Taking</w:t>
      </w:r>
      <w:r>
        <w:rPr>
          <w:rFonts w:ascii="Arial" w:cs="Arial" w:eastAsia="Arial" w:hAnsi="Arial"/>
          <w:sz w:val="18"/>
          <w:szCs w:val="18"/>
          <w:color w:val="auto"/>
        </w:rPr>
        <w:t>”), this Lease shall terminate as of the day before the Date of Taking.</w:t>
      </w:r>
    </w:p>
    <w:p>
      <w:pPr>
        <w:spacing w:after="0" w:line="165" w:lineRule="exact"/>
        <w:rPr>
          <w:rFonts w:ascii="Arial" w:cs="Arial" w:eastAsia="Arial" w:hAnsi="Arial"/>
          <w:sz w:val="18"/>
          <w:szCs w:val="18"/>
          <w:color w:val="auto"/>
        </w:rPr>
      </w:pPr>
    </w:p>
    <w:p>
      <w:pPr>
        <w:ind w:left="4" w:firstLine="1979"/>
        <w:spacing w:after="0" w:line="286" w:lineRule="auto"/>
        <w:tabs>
          <w:tab w:leader="none" w:pos="2376"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Partial Taking</w:t>
      </w:r>
      <w:r>
        <w:rPr>
          <w:rFonts w:ascii="Arial" w:cs="Arial" w:eastAsia="Arial" w:hAnsi="Arial"/>
          <w:sz w:val="17"/>
          <w:szCs w:val="17"/>
          <w:color w:val="auto"/>
        </w:rPr>
        <w:t>. If a portion of the Leased Property of, and any Tenant Capital Improvements to, the Facility are taken by Condemnation, this Lease shall remain in effect if the Facility is not thereby rendered Unsuitable for Its Primary Intended Use, but if the Facility is thereby rendered Unsuitable for Its Primary Intended Use, this Lease shall terminate as of the day before the Date of Taking.</w:t>
      </w:r>
    </w:p>
    <w:p>
      <w:pPr>
        <w:spacing w:after="0" w:line="165" w:lineRule="exact"/>
        <w:rPr>
          <w:rFonts w:ascii="Arial" w:cs="Arial" w:eastAsia="Arial" w:hAnsi="Arial"/>
          <w:sz w:val="17"/>
          <w:szCs w:val="17"/>
          <w:color w:val="auto"/>
        </w:rPr>
      </w:pPr>
    </w:p>
    <w:p>
      <w:pPr>
        <w:ind w:left="4" w:firstLine="1979"/>
        <w:spacing w:after="0" w:line="269" w:lineRule="auto"/>
        <w:tabs>
          <w:tab w:leader="none" w:pos="2366"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Restoration</w:t>
      </w:r>
      <w:r>
        <w:rPr>
          <w:rFonts w:ascii="Arial" w:cs="Arial" w:eastAsia="Arial" w:hAnsi="Arial"/>
          <w:sz w:val="17"/>
          <w:szCs w:val="17"/>
          <w:color w:val="auto"/>
        </w:rPr>
        <w:t>. If there is a partial Taking of the Leased Property of, and any Tenant Capital Improvements to, the Facility and this Lease remains in full force and effect with respect to the Facility, Landlord shall make available to Tenant the portion of the Award applicable to restoration of the Leased Property (excluding any Tenant Capital Improvements, it being understood and agreed that Tenant shall not be required to repair or restore any Tenant Capital Improvements, provided that the Leased Property is restored in a manner reasonably satisfactory to Landlord and, whether or not Tenant elects to restore such Tenant Capital Improvements, the portion of such Award attributable thereto shall also be paid to Tenant), and Tenant shall accomplish all necessary restoration whether or not the amount provided by the Condemnor for restoration is sufficient and the Rent shall be reduced by such amount as may be agreed upon by Landlord and Tenant or, if they are unable to reach such an agreement within a period of thirty (30) days after the occurrence of the Taking, unless such Taking is with respect to de minimis Leased Property, then the Rent for the Facility shall be proportionately reduced, based on the proportion of the Facility that was subject to the partial Taking. Tenant shall restore such Leased Property (as nearly as possible under the circumstances) to a complete architectural unit of the same general character and condition as such Leased Property existing immediately prior to such Taking.</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126" w:name="page127"/>
    <w:bookmarkEnd w:id="126"/>
    <w:p>
      <w:pPr>
        <w:ind w:right="40" w:firstLine="1983"/>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15.2 </w:t>
      </w:r>
      <w:r>
        <w:rPr>
          <w:rFonts w:ascii="Arial" w:cs="Arial" w:eastAsia="Arial" w:hAnsi="Arial"/>
          <w:sz w:val="17"/>
          <w:szCs w:val="17"/>
          <w:b w:val="1"/>
          <w:bCs w:val="1"/>
          <w:u w:val="single" w:color="auto"/>
          <w:color w:val="auto"/>
        </w:rPr>
        <w:t>Award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set forth below and except to the extent of restoration proceeds to be made available</w:t>
      </w:r>
      <w:r>
        <w:rPr>
          <w:rFonts w:ascii="Arial" w:cs="Arial" w:eastAsia="Arial" w:hAnsi="Arial"/>
          <w:sz w:val="17"/>
          <w:szCs w:val="17"/>
          <w:b w:val="1"/>
          <w:bCs w:val="1"/>
          <w:color w:val="auto"/>
        </w:rPr>
        <w:t xml:space="preserve"> </w:t>
      </w:r>
      <w:r>
        <w:rPr>
          <w:rFonts w:ascii="Arial" w:cs="Arial" w:eastAsia="Arial" w:hAnsi="Arial"/>
          <w:sz w:val="17"/>
          <w:szCs w:val="17"/>
          <w:color w:val="auto"/>
        </w:rPr>
        <w:t>to Tenant as provided in Section 15.1(c) hereof, the entire Award shall belong to and be paid to Landlord. Tenant shall, however, be entitled to pursue its own claim with respect to the Taking for Tenant’s lost profits value and moving expenses and, the portion of the Award, if any, allocated to any Tenant Capital Improvements (subject to Tenant’s restoring the Leased Property not subject to a Taking in a manner reasonably satisfactory to Landlord) and Tenant’s Property shall be and remain the property of Tenant free of any claim thereto by Landlord.</w:t>
      </w:r>
    </w:p>
    <w:p>
      <w:pPr>
        <w:spacing w:after="0" w:line="168" w:lineRule="exact"/>
        <w:rPr>
          <w:sz w:val="20"/>
          <w:szCs w:val="20"/>
          <w:color w:val="auto"/>
        </w:rPr>
      </w:pPr>
    </w:p>
    <w:p>
      <w:pPr>
        <w:jc w:val="both"/>
        <w:ind w:firstLine="1983"/>
        <w:spacing w:after="0" w:line="314" w:lineRule="auto"/>
        <w:rPr>
          <w:sz w:val="20"/>
          <w:szCs w:val="20"/>
          <w:color w:val="auto"/>
        </w:rPr>
      </w:pPr>
      <w:r>
        <w:rPr>
          <w:rFonts w:ascii="Arial" w:cs="Arial" w:eastAsia="Arial" w:hAnsi="Arial"/>
          <w:sz w:val="16"/>
          <w:szCs w:val="16"/>
          <w:b w:val="1"/>
          <w:bCs w:val="1"/>
          <w:color w:val="auto"/>
        </w:rPr>
        <w:t xml:space="preserve">15.3 </w:t>
      </w:r>
      <w:r>
        <w:rPr>
          <w:rFonts w:ascii="Arial" w:cs="Arial" w:eastAsia="Arial" w:hAnsi="Arial"/>
          <w:sz w:val="16"/>
          <w:szCs w:val="16"/>
          <w:b w:val="1"/>
          <w:bCs w:val="1"/>
          <w:u w:val="single" w:color="auto"/>
          <w:color w:val="auto"/>
        </w:rPr>
        <w:t>Temporary Taking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taking of the Leased Property, or any part thereof, shall constitute a taking by Condemnation</w:t>
      </w:r>
      <w:r>
        <w:rPr>
          <w:rFonts w:ascii="Arial" w:cs="Arial" w:eastAsia="Arial" w:hAnsi="Arial"/>
          <w:sz w:val="16"/>
          <w:szCs w:val="16"/>
          <w:b w:val="1"/>
          <w:bCs w:val="1"/>
          <w:color w:val="auto"/>
        </w:rPr>
        <w:t xml:space="preserve"> </w:t>
      </w:r>
      <w:r>
        <w:rPr>
          <w:rFonts w:ascii="Arial" w:cs="Arial" w:eastAsia="Arial" w:hAnsi="Arial"/>
          <w:sz w:val="16"/>
          <w:szCs w:val="16"/>
          <w:color w:val="auto"/>
        </w:rPr>
        <w:t>only when the use and occupancy by the taking authority has continued for longer than 180 consecutive days. During any shorter period, which shall be a temporary taking, all the provisions of this Lease shall remain in full force and effect and the Award allocable to the Term shall be paid to Tenant.</w:t>
      </w:r>
    </w:p>
    <w:p>
      <w:pPr>
        <w:spacing w:after="0" w:line="142" w:lineRule="exact"/>
        <w:rPr>
          <w:sz w:val="20"/>
          <w:szCs w:val="20"/>
          <w:color w:val="auto"/>
        </w:rPr>
      </w:pPr>
    </w:p>
    <w:p>
      <w:pPr>
        <w:ind w:right="160" w:firstLine="1983"/>
        <w:spacing w:after="0" w:line="266"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b w:val="1"/>
          <w:bCs w:val="1"/>
          <w:u w:val="single" w:color="auto"/>
          <w:color w:val="auto"/>
        </w:rPr>
        <w:t>No Abatement of Rent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stated to the contrary in this Lease, this Lease shall remain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 and Tenant’s obligation to pay the Rent, Additional Charges and all other charges required by this Lease shall remain unabated during the period required for claiming an Award, satisfying Legal Requirements and restoration.</w:t>
      </w:r>
    </w:p>
    <w:p>
      <w:pPr>
        <w:spacing w:after="0" w:line="176" w:lineRule="exact"/>
        <w:rPr>
          <w:sz w:val="20"/>
          <w:szCs w:val="20"/>
          <w:color w:val="auto"/>
        </w:rPr>
      </w:pPr>
    </w:p>
    <w:p>
      <w:pPr>
        <w:ind w:right="320" w:firstLine="1983"/>
        <w:spacing w:after="0" w:line="282" w:lineRule="auto"/>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Tenant waives any statutory rights of termination which may arise by reason of any Condemnation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Leased Property but such waiver shall not affect any contractual rights granted to Tenant pursuant to this Lease.</w:t>
      </w:r>
    </w:p>
    <w:p>
      <w:pPr>
        <w:spacing w:after="0" w:line="162" w:lineRule="exact"/>
        <w:rPr>
          <w:sz w:val="20"/>
          <w:szCs w:val="20"/>
          <w:color w:val="auto"/>
        </w:rPr>
      </w:pPr>
    </w:p>
    <w:p>
      <w:pPr>
        <w:ind w:firstLine="1983"/>
        <w:spacing w:after="0" w:line="269" w:lineRule="auto"/>
        <w:rPr>
          <w:sz w:val="20"/>
          <w:szCs w:val="20"/>
          <w:color w:val="auto"/>
        </w:rPr>
      </w:pPr>
      <w:r>
        <w:rPr>
          <w:rFonts w:ascii="Arial" w:cs="Arial" w:eastAsia="Arial" w:hAnsi="Arial"/>
          <w:sz w:val="17"/>
          <w:szCs w:val="17"/>
          <w:b w:val="1"/>
          <w:bCs w:val="1"/>
          <w:color w:val="auto"/>
        </w:rPr>
        <w:t xml:space="preserve">15.6 </w:t>
      </w:r>
      <w:r>
        <w:rPr>
          <w:rFonts w:ascii="Arial" w:cs="Arial" w:eastAsia="Arial" w:hAnsi="Arial"/>
          <w:sz w:val="17"/>
          <w:szCs w:val="17"/>
          <w:b w:val="1"/>
          <w:bCs w:val="1"/>
          <w:u w:val="single" w:color="auto"/>
          <w:color w:val="auto"/>
        </w:rPr>
        <w:t>Condemnation Awards Paid to Facility Mortgagee</w:t>
      </w:r>
      <w:r>
        <w:rPr>
          <w:rFonts w:ascii="Arial" w:cs="Arial" w:eastAsia="Arial" w:hAnsi="Arial"/>
          <w:sz w:val="17"/>
          <w:szCs w:val="17"/>
          <w:color w:val="auto"/>
        </w:rPr>
        <w:t>. Notwithstanding anything herein to the contrary, in the event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any Facility Mortgagee is entitled to any Award, or any portion thereof, under the terms of any Facility Mortgage or related financing agreement, such Award shall be applied, held and/or disbursed in accordance with the terms of the Facility Mortgage or related financing agreement. In the event that the Facility Mortgagee elects to apply the Award to the indebtedness secured by the Facility Mortgage in the case of a Taking as to which the restoration provisions apply (or the related financing agreement requires such application), Landlord shall either: (i) within ninety (90) days of the notice from the Facility Mortgagee make available to Tenant for restoration of such Leased Property funds (either through refinance or otherwise) equal to the amount applied by the Facility Mortgagee or applicable to restoration of the Leased Property and shall pay to Tenant any amount of the Award allocated to Tenant Capital Improvements, or (ii) sell to Tenant the portion of the Leased Property consisting of the Facility that is not subject to the Taking in exchange for a payment equal to the greater of (1) the difference between (a) the value of the Facility immediately prior to such Taking, based on the average fair market value of similar real estate in the areas surrounding the Facility and (b) the amount of the Award retained by the Facility Mortgagee, and (2) the value of the remaining portion of the Facility after such Taking, based on the average fair market value of similar real estate in the areas surrounding the Facility.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w:t>
      </w:r>
    </w:p>
    <w:p>
      <w:pPr>
        <w:spacing w:after="0" w:line="117" w:lineRule="exact"/>
        <w:rPr>
          <w:sz w:val="20"/>
          <w:szCs w:val="20"/>
          <w:color w:val="auto"/>
        </w:rPr>
      </w:pPr>
    </w:p>
    <w:p>
      <w:pPr>
        <w:jc w:val="center"/>
        <w:ind w:right="-159"/>
        <w:spacing w:after="0"/>
        <w:tabs>
          <w:tab w:leader="none" w:pos="16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u w:val="single" w:color="auto"/>
          <w:color w:val="auto"/>
        </w:rPr>
        <w:t>Events of Default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Any one or more of the following shall constitute an “</w:t>
      </w:r>
      <w:r>
        <w:rPr>
          <w:rFonts w:ascii="Arial" w:cs="Arial" w:eastAsia="Arial" w:hAnsi="Arial"/>
          <w:sz w:val="16"/>
          <w:szCs w:val="16"/>
          <w:b w:val="1"/>
          <w:bCs w:val="1"/>
          <w:color w:val="auto"/>
        </w:rPr>
        <w:t>Event of Default</w:t>
      </w:r>
      <w:r>
        <w:rPr>
          <w:rFonts w:ascii="Arial" w:cs="Arial" w:eastAsia="Arial" w:hAnsi="Arial"/>
          <w:sz w:val="16"/>
          <w:szCs w:val="16"/>
          <w:color w:val="auto"/>
        </w:rPr>
        <w:t>”</w:t>
      </w:r>
      <w:r>
        <w:rPr>
          <w:rFonts w:ascii="Arial" w:cs="Arial" w:eastAsia="Arial" w:hAnsi="Arial"/>
          <w:sz w:val="16"/>
          <w:szCs w:val="16"/>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0" w:right="459" w:bottom="1440" w:gutter="0" w:footer="0" w:header="0"/>
        </w:sectPr>
      </w:pPr>
    </w:p>
    <w:bookmarkStart w:id="127" w:name="page128"/>
    <w:bookmarkEnd w:id="127"/>
    <w:p>
      <w:pPr>
        <w:ind w:left="1380" w:right="60" w:firstLine="8"/>
        <w:spacing w:after="0" w:line="286" w:lineRule="auto"/>
        <w:tabs>
          <w:tab w:leader="none" w:pos="17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Tenant shall fail to pay any installment of Rent within five (5) Business Days of when due and such failure is not cured by Tenant within three (3) Business Days after notice from Landlord of Tenant’s failure to pay such installment of Rent when due (and such notice of failure from Landlord may be given any time after such installment is five (5) Business Days late); or</w:t>
      </w:r>
    </w:p>
    <w:p>
      <w:pPr>
        <w:spacing w:after="0" w:line="57" w:lineRule="exact"/>
        <w:rPr>
          <w:rFonts w:ascii="Arial" w:cs="Arial" w:eastAsia="Arial" w:hAnsi="Arial"/>
          <w:sz w:val="17"/>
          <w:szCs w:val="17"/>
          <w:color w:val="auto"/>
        </w:rPr>
      </w:pPr>
    </w:p>
    <w:p>
      <w:pPr>
        <w:ind w:left="1380" w:firstLine="391"/>
        <w:spacing w:after="0" w:line="263" w:lineRule="auto"/>
        <w:tabs>
          <w:tab w:leader="none" w:pos="21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Tenant shall fail to pay any Additional Charge within five (5) Business Days after notice from Landlord of Tenant’s failure to make such payment of such Additional Charge when due (and such notice of failure from Landlord may be given any time after such payment is more than one (1) Business Day late);</w:t>
      </w:r>
    </w:p>
    <w:p>
      <w:pPr>
        <w:spacing w:after="0" w:line="75" w:lineRule="exact"/>
        <w:rPr>
          <w:rFonts w:ascii="Arial" w:cs="Arial" w:eastAsia="Arial" w:hAnsi="Arial"/>
          <w:sz w:val="18"/>
          <w:szCs w:val="18"/>
          <w:color w:val="auto"/>
        </w:rPr>
      </w:pPr>
    </w:p>
    <w:p>
      <w:pPr>
        <w:jc w:val="both"/>
        <w:ind w:left="1380" w:right="60" w:firstLine="8"/>
        <w:spacing w:after="0" w:line="263" w:lineRule="auto"/>
        <w:tabs>
          <w:tab w:leader="none" w:pos="177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default shall occur under any Guaranty, where the default is not cured within any applicable grace period set forth therein or, if no cure periods are provided, within fifteen (15) days after notice from Landlord (or in the case of a breach of Paragraph 8 of the Guaranty, the cure periods provided herein with respect to such action or omission);</w:t>
      </w:r>
    </w:p>
    <w:p>
      <w:pPr>
        <w:spacing w:after="0" w:line="183" w:lineRule="exact"/>
        <w:rPr>
          <w:rFonts w:ascii="Arial" w:cs="Arial" w:eastAsia="Arial" w:hAnsi="Arial"/>
          <w:sz w:val="18"/>
          <w:szCs w:val="18"/>
          <w:color w:val="auto"/>
        </w:rPr>
      </w:pPr>
    </w:p>
    <w:p>
      <w:pPr>
        <w:ind w:left="1760" w:hanging="372"/>
        <w:spacing w:after="0"/>
        <w:tabs>
          <w:tab w:leader="none" w:pos="1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Tenant or any Guarantor shall:</w:t>
      </w:r>
    </w:p>
    <w:p>
      <w:pPr>
        <w:spacing w:after="0" w:line="117" w:lineRule="exact"/>
        <w:rPr>
          <w:rFonts w:ascii="Arial" w:cs="Arial" w:eastAsia="Arial" w:hAnsi="Arial"/>
          <w:sz w:val="18"/>
          <w:szCs w:val="18"/>
          <w:color w:val="auto"/>
        </w:rPr>
      </w:pPr>
    </w:p>
    <w:p>
      <w:pPr>
        <w:ind w:left="2120" w:hanging="349"/>
        <w:spacing w:after="0"/>
        <w:tabs>
          <w:tab w:leader="none" w:pos="21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admit in writing in a legal proceeding its inability to pay its debts generally as they become due;</w:t>
      </w:r>
    </w:p>
    <w:p>
      <w:pPr>
        <w:spacing w:after="0" w:line="117" w:lineRule="exact"/>
        <w:rPr>
          <w:rFonts w:ascii="Arial" w:cs="Arial" w:eastAsia="Arial" w:hAnsi="Arial"/>
          <w:sz w:val="18"/>
          <w:szCs w:val="18"/>
          <w:color w:val="auto"/>
        </w:rPr>
      </w:pPr>
    </w:p>
    <w:p>
      <w:pPr>
        <w:ind w:left="2180" w:hanging="409"/>
        <w:spacing w:after="0"/>
        <w:tabs>
          <w:tab w:leader="none" w:pos="21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file a petition in bankruptcy or a petition to take advantage of any insolvency law or act;</w:t>
      </w:r>
    </w:p>
    <w:p>
      <w:pPr>
        <w:spacing w:after="0" w:line="117" w:lineRule="exact"/>
        <w:rPr>
          <w:rFonts w:ascii="Arial" w:cs="Arial" w:eastAsia="Arial" w:hAnsi="Arial"/>
          <w:sz w:val="18"/>
          <w:szCs w:val="18"/>
          <w:color w:val="auto"/>
        </w:rPr>
      </w:pPr>
    </w:p>
    <w:p>
      <w:pPr>
        <w:ind w:left="2220" w:hanging="449"/>
        <w:spacing w:after="0"/>
        <w:tabs>
          <w:tab w:leader="none" w:pos="22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make an assignment for the benefit of its creditors;</w:t>
      </w:r>
    </w:p>
    <w:p>
      <w:pPr>
        <w:spacing w:after="0" w:line="117" w:lineRule="exact"/>
        <w:rPr>
          <w:rFonts w:ascii="Arial" w:cs="Arial" w:eastAsia="Arial" w:hAnsi="Arial"/>
          <w:sz w:val="18"/>
          <w:szCs w:val="18"/>
          <w:color w:val="auto"/>
        </w:rPr>
      </w:pPr>
    </w:p>
    <w:p>
      <w:pPr>
        <w:ind w:left="2220" w:hanging="449"/>
        <w:spacing w:after="0"/>
        <w:tabs>
          <w:tab w:leader="none" w:pos="22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consent to the appointment of a receiver of itself or of the whole or any substantial part of its property; or</w:t>
      </w:r>
    </w:p>
    <w:p>
      <w:pPr>
        <w:spacing w:after="0" w:line="117" w:lineRule="exact"/>
        <w:rPr>
          <w:rFonts w:ascii="Arial" w:cs="Arial" w:eastAsia="Arial" w:hAnsi="Arial"/>
          <w:sz w:val="18"/>
          <w:szCs w:val="18"/>
          <w:color w:val="auto"/>
        </w:rPr>
      </w:pPr>
    </w:p>
    <w:p>
      <w:pPr>
        <w:ind w:left="1380" w:right="360" w:firstLine="391"/>
        <w:spacing w:after="0" w:line="342" w:lineRule="auto"/>
        <w:tabs>
          <w:tab w:leader="none" w:pos="215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file a petition or answer seeking reorganization or arrangement under the United States bankruptcy laws or any other applicable law or statute of the United States of America or any state thereof pertaining to debtor relief or insolvency;</w:t>
      </w:r>
    </w:p>
    <w:p>
      <w:pPr>
        <w:spacing w:after="0" w:line="123" w:lineRule="exact"/>
        <w:rPr>
          <w:rFonts w:ascii="Arial" w:cs="Arial" w:eastAsia="Arial" w:hAnsi="Arial"/>
          <w:sz w:val="16"/>
          <w:szCs w:val="16"/>
          <w:color w:val="auto"/>
        </w:rPr>
      </w:pPr>
    </w:p>
    <w:p>
      <w:pPr>
        <w:ind w:left="-40" w:firstLine="1979"/>
        <w:spacing w:after="0" w:line="291" w:lineRule="auto"/>
        <w:tabs>
          <w:tab w:leader="none" w:pos="2329" w:val="left"/>
        </w:tabs>
        <w:numPr>
          <w:ilvl w:val="2"/>
          <w:numId w:val="122"/>
        </w:numPr>
        <w:rPr>
          <w:rFonts w:ascii="Arial" w:cs="Arial" w:eastAsia="Arial" w:hAnsi="Arial"/>
          <w:sz w:val="16"/>
          <w:szCs w:val="16"/>
          <w:color w:val="auto"/>
        </w:rPr>
      </w:pPr>
      <w:r>
        <w:rPr>
          <w:rFonts w:ascii="Arial" w:cs="Arial" w:eastAsia="Arial" w:hAnsi="Arial"/>
          <w:sz w:val="16"/>
          <w:szCs w:val="16"/>
          <w:color w:val="auto"/>
        </w:rPr>
        <w:t>Tenant or any Guarantor (other than an Immaterial Subsidiary Guarantor) shall be adjudicated as bankrupt or a court of competent jurisdiction shall enter an order or decree appointing, without the consent of Tenant or any Guarantor (other than an Immaterial Subsidiary Guarantor), a receiver of Tenant or any Guarantor (other than an Immaterial Subsidiary Guarantor) or of the whole or substantially all of the Tenant’s or any Guarantor’s (other than an Immaterial Subsidiary Guarantor’s) property, or approving a petition filed against Tenant or any Guarantor (other than an Immaterial Subsidiary Guarantor) seeking reorganization or arrangement of Tenant or any Guarantor (other than an Immaterial Subsidiary Guarantor) under the United States bankruptcy laws or any other applicable law or statute of the United States of America or any state thereof, and such judgment, order or decree shall not be vacated or set aside or stayed within sixty (60) days from the date of the entry thereof;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20"/>
          </w:cols>
          <w:pgMar w:left="480" w:top="274" w:right="499" w:bottom="1440" w:gutter="0" w:footer="0" w:header="0"/>
        </w:sectPr>
      </w:pPr>
    </w:p>
    <w:bookmarkStart w:id="128" w:name="page129"/>
    <w:bookmarkEnd w:id="128"/>
    <w:p>
      <w:pPr>
        <w:jc w:val="both"/>
        <w:ind w:right="180" w:firstLine="1979"/>
        <w:spacing w:after="0" w:line="263" w:lineRule="auto"/>
        <w:tabs>
          <w:tab w:leader="none" w:pos="2359"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 or any Guarantor (other than an Immaterial Subsidiary Guarantor) shall be liquidated or dissolved (except that any Guarantor may be liquidated or dissolved into another Guarantor or the Tenant or so long as its assets are distributed following such liquidation or dissolution to another Guarantor or Tenant);</w:t>
      </w:r>
    </w:p>
    <w:p>
      <w:pPr>
        <w:spacing w:after="0" w:line="183" w:lineRule="exact"/>
        <w:rPr>
          <w:rFonts w:ascii="Arial" w:cs="Arial" w:eastAsia="Arial" w:hAnsi="Arial"/>
          <w:sz w:val="18"/>
          <w:szCs w:val="18"/>
          <w:color w:val="auto"/>
        </w:rPr>
      </w:pPr>
    </w:p>
    <w:p>
      <w:pPr>
        <w:ind w:right="80" w:firstLine="1979"/>
        <w:spacing w:after="0" w:line="273" w:lineRule="auto"/>
        <w:tabs>
          <w:tab w:leader="none" w:pos="234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the estate or interest of Tenant in the Leased Property or any part thereof shall be levied upon or attached in any proceeding relating to more than Twenty-Five Million Dollars ($25,000,000) and the same shall not be vacated, discharged (or bonded) or stayed pending appeal (or bonded or otherwise similarly secured payment) within the later of ninety (90) days after commencement thereof or thirty (30) days after receipt by Tenant of notice thereof from Landlord;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notice shall be in lieu of and not in addition to any notice required under applicable law and the foregoing shall not apply to the lien of real estate taxes on the Leased Property to the extent that such taxes are not delinquent or are being contested in accordance with the provisions of Section 12.1 of this Lease;</w:t>
      </w:r>
    </w:p>
    <w:p>
      <w:pPr>
        <w:spacing w:after="0" w:line="177" w:lineRule="exact"/>
        <w:rPr>
          <w:rFonts w:ascii="Arial" w:cs="Arial" w:eastAsia="Arial" w:hAnsi="Arial"/>
          <w:sz w:val="17"/>
          <w:szCs w:val="17"/>
          <w:color w:val="auto"/>
        </w:rPr>
      </w:pPr>
    </w:p>
    <w:p>
      <w:pPr>
        <w:ind w:right="20" w:firstLine="1979"/>
        <w:spacing w:after="0" w:line="286" w:lineRule="auto"/>
        <w:tabs>
          <w:tab w:leader="none" w:pos="236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Tenant voluntarily ceases operations for its Primary Intended Use at the Facility (except as a result of a Discretionary Closure, an Unavoidable Delay, material damage, destruction or Condemnation that affects the Facility) and such event would reasonably be expected to have a material adverse effect on Tenant, the Facility, or on the Leased Property, in each case, taken as a whole;</w:t>
      </w:r>
    </w:p>
    <w:p>
      <w:pPr>
        <w:spacing w:after="0" w:line="165" w:lineRule="exact"/>
        <w:rPr>
          <w:rFonts w:ascii="Arial" w:cs="Arial" w:eastAsia="Arial" w:hAnsi="Arial"/>
          <w:sz w:val="17"/>
          <w:szCs w:val="17"/>
          <w:color w:val="auto"/>
        </w:rPr>
      </w:pPr>
    </w:p>
    <w:p>
      <w:pPr>
        <w:ind w:right="60" w:firstLine="1979"/>
        <w:spacing w:after="0" w:line="263" w:lineRule="auto"/>
        <w:tabs>
          <w:tab w:leader="none" w:pos="237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of the representations or warranties made by Tenant hereunder or by any Guarantor in a Guaranty proves to be untrue when made in any material respect which materially and adversely affects Landlord and Tenant does not remedy the same within thirty (30) days following receipt by Tenant of written notice from Landlord;</w:t>
      </w:r>
    </w:p>
    <w:p>
      <w:pPr>
        <w:spacing w:after="0" w:line="183" w:lineRule="exact"/>
        <w:rPr>
          <w:rFonts w:ascii="Arial" w:cs="Arial" w:eastAsia="Arial" w:hAnsi="Arial"/>
          <w:sz w:val="18"/>
          <w:szCs w:val="18"/>
          <w:color w:val="auto"/>
        </w:rPr>
      </w:pPr>
    </w:p>
    <w:p>
      <w:pPr>
        <w:ind w:right="120" w:firstLine="1979"/>
        <w:spacing w:after="0" w:line="259" w:lineRule="auto"/>
        <w:tabs>
          <w:tab w:leader="none" w:pos="233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applicable license (including any Gaming License) or other agreements material to the Facility’s operation for its Primary Intended Use are at any time terminated or revoked or suspended for more than thirty (30) days (and causes cessation of gaming activity at the Facility) and such termination, revocation or suspension is not stayed pending appeal and would reasonably be expected to have a material adverse effect on Tenant, the Facility, or on the Leased Property, taken as a whole;</w:t>
      </w:r>
    </w:p>
    <w:p>
      <w:pPr>
        <w:spacing w:after="0" w:line="186" w:lineRule="exact"/>
        <w:rPr>
          <w:rFonts w:ascii="Arial" w:cs="Arial" w:eastAsia="Arial" w:hAnsi="Arial"/>
          <w:sz w:val="18"/>
          <w:szCs w:val="18"/>
          <w:color w:val="auto"/>
        </w:rPr>
      </w:pPr>
    </w:p>
    <w:p>
      <w:pPr>
        <w:ind w:firstLine="1979"/>
        <w:spacing w:after="0" w:line="311" w:lineRule="auto"/>
        <w:tabs>
          <w:tab w:leader="none" w:pos="233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except to a permitted assignee pursuant to Section 22.2 or a permitted subtenant or Subsidiary that joins as a Guarantor to the Guaranty pursuant to Section 22.3, or with respect to the granting of a permitted pledge hereunder to a Permitted Leasehold Mortgagee, the sale or transfer, without Landlord’s consent, of all or any portion of any Gaming License or similar certificate or license relating to the Leased Property;</w:t>
      </w:r>
    </w:p>
    <w:p>
      <w:pPr>
        <w:spacing w:after="0" w:line="148" w:lineRule="exact"/>
        <w:rPr>
          <w:rFonts w:ascii="Arial" w:cs="Arial" w:eastAsia="Arial" w:hAnsi="Arial"/>
          <w:sz w:val="16"/>
          <w:szCs w:val="16"/>
          <w:color w:val="auto"/>
        </w:rPr>
      </w:pPr>
    </w:p>
    <w:p>
      <w:pPr>
        <w:ind w:left="2360" w:hanging="381"/>
        <w:spacing w:after="0"/>
        <w:tabs>
          <w:tab w:leader="none" w:pos="2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520" w:firstLine="1979"/>
        <w:spacing w:after="0" w:line="277" w:lineRule="auto"/>
        <w:tabs>
          <w:tab w:leader="none" w:pos="233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subject to Tenant’s right to cure set forth in Section 23.3(b), a breach by Tenant of Section 23.3(a) hereof for four consecutive Test Periods ending on the last day of four consecutive fiscal quarters;</w:t>
      </w:r>
    </w:p>
    <w:p>
      <w:pPr>
        <w:spacing w:after="0" w:line="170" w:lineRule="exact"/>
        <w:rPr>
          <w:rFonts w:ascii="Arial" w:cs="Arial" w:eastAsia="Arial" w:hAnsi="Arial"/>
          <w:sz w:val="18"/>
          <w:szCs w:val="18"/>
          <w:color w:val="auto"/>
        </w:rPr>
      </w:pPr>
    </w:p>
    <w:p>
      <w:pPr>
        <w:ind w:right="180" w:firstLine="1979"/>
        <w:spacing w:after="0" w:line="342" w:lineRule="auto"/>
        <w:tabs>
          <w:tab w:leader="none" w:pos="242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Tenant shall fail to observe or perform any other term, covenant or condition of this Lease (other than as described elsewhere in this Section 16.1) and such failure is not cured by Tenant within thirty (30) days after written notice thereof from Landlord, unless such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129" w:name="page130"/>
    <w:bookmarkEnd w:id="129"/>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failure cannot with due diligence be cured within a period of thirty (30) days, in which case such failure shall not be deemed to be an Event of Default if Tenant proceeds promptly and with due diligence to cure the failure and diligently completes the curing thereof within one hundred twenty (120) days after such notice from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notice shall be in lieu of and not in addition to any notice required under applicable law;</w:t>
      </w:r>
    </w:p>
    <w:p>
      <w:pPr>
        <w:spacing w:after="0" w:line="149" w:lineRule="exact"/>
        <w:rPr>
          <w:sz w:val="20"/>
          <w:szCs w:val="20"/>
          <w:color w:val="auto"/>
        </w:rPr>
      </w:pPr>
    </w:p>
    <w:p>
      <w:pPr>
        <w:ind w:right="80" w:firstLine="1979"/>
        <w:spacing w:after="0" w:line="286" w:lineRule="auto"/>
        <w:tabs>
          <w:tab w:leader="none" w:pos="237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Tenant shall fail to pay, bond, escrow or otherwise similarly secure payment of one or more final judgments aggregating in excess of the product of (i) One Hundred Million Dollars ($100,000,000) and (ii) the CPI Increase (and only to the extent not covered by insurance), which judgments are not discharged or effectively waived or stayed for a period of 45 consecutive days; and</w:t>
      </w:r>
    </w:p>
    <w:p>
      <w:pPr>
        <w:spacing w:after="0" w:line="165" w:lineRule="exact"/>
        <w:rPr>
          <w:rFonts w:ascii="Arial" w:cs="Arial" w:eastAsia="Arial" w:hAnsi="Arial"/>
          <w:sz w:val="17"/>
          <w:szCs w:val="17"/>
          <w:color w:val="auto"/>
        </w:rPr>
      </w:pPr>
    </w:p>
    <w:p>
      <w:pPr>
        <w:ind w:firstLine="1979"/>
        <w:spacing w:after="0" w:line="263" w:lineRule="auto"/>
        <w:tabs>
          <w:tab w:leader="none" w:pos="237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assignment of Tenant’s interest in this Lease (including pursuant to a Change in Control) shall have occurred without the consent of Landlord to the extent such consent is required under Article XXII or Tenant is otherwise in default of the provisions set forth in Section 22.1 below.</w:t>
      </w:r>
    </w:p>
    <w:p>
      <w:pPr>
        <w:spacing w:after="0" w:line="184" w:lineRule="exact"/>
        <w:rPr>
          <w:sz w:val="20"/>
          <w:szCs w:val="20"/>
          <w:color w:val="auto"/>
        </w:rPr>
      </w:pPr>
    </w:p>
    <w:p>
      <w:pPr>
        <w:ind w:right="20" w:firstLine="1983"/>
        <w:spacing w:after="0" w:line="263" w:lineRule="auto"/>
        <w:rPr>
          <w:sz w:val="20"/>
          <w:szCs w:val="20"/>
          <w:color w:val="auto"/>
        </w:rPr>
      </w:pPr>
      <w:r>
        <w:rPr>
          <w:rFonts w:ascii="Arial" w:cs="Arial" w:eastAsia="Arial" w:hAnsi="Arial"/>
          <w:sz w:val="18"/>
          <w:szCs w:val="18"/>
          <w:color w:val="auto"/>
        </w:rPr>
        <w:t xml:space="preserve">No Event of Default (other than a failure to make payment of money) shall be deemed to exist under this Section 16.1 during any time the curing thereof is prevented by an Unavoidable Delay,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cessation of the Unavoidable Delay, Tenant remedies the default without further delay.</w:t>
      </w:r>
    </w:p>
    <w:p>
      <w:pPr>
        <w:spacing w:after="0" w:line="180" w:lineRule="exact"/>
        <w:rPr>
          <w:sz w:val="20"/>
          <w:szCs w:val="20"/>
          <w:color w:val="auto"/>
        </w:rPr>
      </w:pPr>
    </w:p>
    <w:p>
      <w:pPr>
        <w:ind w:right="40" w:firstLine="1983"/>
        <w:spacing w:after="0" w:line="288" w:lineRule="auto"/>
        <w:rPr>
          <w:sz w:val="20"/>
          <w:szCs w:val="20"/>
          <w:color w:val="auto"/>
        </w:rPr>
      </w:pPr>
      <w:r>
        <w:rPr>
          <w:rFonts w:ascii="Arial" w:cs="Arial" w:eastAsia="Arial" w:hAnsi="Arial"/>
          <w:sz w:val="16"/>
          <w:szCs w:val="16"/>
          <w:b w:val="1"/>
          <w:bCs w:val="1"/>
          <w:color w:val="auto"/>
        </w:rPr>
        <w:t xml:space="preserve">16.2 </w:t>
      </w:r>
      <w:r>
        <w:rPr>
          <w:rFonts w:ascii="Arial" w:cs="Arial" w:eastAsia="Arial" w:hAnsi="Arial"/>
          <w:sz w:val="16"/>
          <w:szCs w:val="16"/>
          <w:b w:val="1"/>
          <w:bCs w:val="1"/>
          <w:u w:val="single" w:color="auto"/>
          <w:color w:val="auto"/>
        </w:rPr>
        <w:t>Certain 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If an Event of Default shall have occurred and be continuing, Landlord may (a) terminate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by giving Tenant no less than ten (10) days’ notice of such termination and the Term shall terminate and all rights of Tenant under this Lease shall cease, (b) seek damages as provided in Section 16.3 hereof, and/or (c)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Lease has been terminated pursuant to the first sentence of this Section 16.2, Tenant shall, to the extent permitted by law (including applicable Gaming Regulations), if required by Landlord to do so, immediately surrender to Landlord possession of all or any portion of the Leased Property (including any Tenant Capital Improvements of the Facility) as to which Landlord has so demanded and quit the same and Landlord may, to the extent permitted by law (including applicable Gaming Regulations), enter upon and repossess such Leased Property and any Capital Improvement thereto by reasonable force, summary proceedings, ejectment or otherwise, and, to the extent permitted by law (including applicable Gaming Regulations), may remove Tenant and all other Persons and any of Tenant’s Property from such Leased Property (including any such Tenant Capital Improvement thereto).</w:t>
      </w:r>
    </w:p>
    <w:p>
      <w:pPr>
        <w:spacing w:after="0" w:line="163" w:lineRule="exact"/>
        <w:rPr>
          <w:sz w:val="20"/>
          <w:szCs w:val="20"/>
          <w:color w:val="auto"/>
        </w:rPr>
      </w:pPr>
    </w:p>
    <w:p>
      <w:pPr>
        <w:ind w:right="80" w:firstLine="1983"/>
        <w:spacing w:after="0" w:line="258" w:lineRule="auto"/>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b w:val="1"/>
          <w:bCs w:val="1"/>
          <w:u w:val="single" w:color="auto"/>
          <w:color w:val="auto"/>
        </w:rPr>
        <w:t>Damages</w:t>
      </w:r>
      <w:r>
        <w:rPr>
          <w:rFonts w:ascii="Arial" w:cs="Arial" w:eastAsia="Arial" w:hAnsi="Arial"/>
          <w:sz w:val="18"/>
          <w:szCs w:val="18"/>
          <w:b w:val="1"/>
          <w:bCs w:val="1"/>
          <w:color w:val="auto"/>
        </w:rPr>
        <w:t xml:space="preserve">. </w:t>
      </w:r>
      <w:r>
        <w:rPr>
          <w:rFonts w:ascii="Arial" w:cs="Arial" w:eastAsia="Arial" w:hAnsi="Arial"/>
          <w:sz w:val="18"/>
          <w:szCs w:val="18"/>
          <w:color w:val="auto"/>
        </w:rPr>
        <w:t>(a) None of (i) the termination of this Lease, (ii) the repossession of the Leased Property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Improvements to the Facility), (iii) the failure of 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Lease, and Tenant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130" w:name="page131"/>
    <w:bookmarkEnd w:id="13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hereby waives any duty of Landlord to mitigate damages under any Legal Requirements to the full extent that such duty may be waived. If any such termination of this Lease occurs (whether or not Landlord terminates Tenant’s right to possession of the Leased Property), Tenant shall forthwith pay to Landlord all Rent due and payable under this Lease to and including the date of such termination (together with interest thereon at the Overdue Rate from the date the applicable amount was due). Thereafter, Tenant shall forthwith pay to Landlord, at Landlord’s option, as and for liquidated and agreed current damages for the occurrence of an Event of Default, either:</w:t>
      </w:r>
    </w:p>
    <w:p>
      <w:pPr>
        <w:spacing w:after="0" w:line="188" w:lineRule="exact"/>
        <w:rPr>
          <w:sz w:val="20"/>
          <w:szCs w:val="20"/>
          <w:color w:val="auto"/>
        </w:rPr>
      </w:pPr>
    </w:p>
    <w:p>
      <w:pPr>
        <w:ind w:left="2400" w:hanging="421"/>
        <w:spacing w:after="0"/>
        <w:tabs>
          <w:tab w:leader="none" w:pos="24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30" w:lineRule="exact"/>
        <w:rPr>
          <w:rFonts w:ascii="Arial" w:cs="Arial" w:eastAsia="Arial" w:hAnsi="Arial"/>
          <w:sz w:val="18"/>
          <w:szCs w:val="18"/>
          <w:color w:val="auto"/>
        </w:rPr>
      </w:pPr>
    </w:p>
    <w:p>
      <w:pPr>
        <w:ind w:left="2400" w:right="200" w:hanging="649"/>
        <w:spacing w:after="0" w:line="277" w:lineRule="auto"/>
        <w:tabs>
          <w:tab w:leader="none" w:pos="24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worth at the time of award of the unpaid Rent which had been earned at the time of termination to the extent not previously paid by Tenant under this Section 16.3;</w:t>
      </w:r>
    </w:p>
    <w:p>
      <w:pPr>
        <w:spacing w:after="0" w:line="75" w:lineRule="exact"/>
        <w:rPr>
          <w:rFonts w:ascii="Arial" w:cs="Arial" w:eastAsia="Arial" w:hAnsi="Arial"/>
          <w:sz w:val="18"/>
          <w:szCs w:val="18"/>
          <w:color w:val="auto"/>
        </w:rPr>
      </w:pPr>
    </w:p>
    <w:p>
      <w:pPr>
        <w:ind w:left="2400" w:right="180" w:hanging="649"/>
        <w:spacing w:after="0" w:line="263" w:lineRule="auto"/>
        <w:tabs>
          <w:tab w:leader="none" w:pos="24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Tenant proves was in fact avoided or could have been reasonably avoided;</w:t>
      </w:r>
    </w:p>
    <w:p>
      <w:pPr>
        <w:spacing w:after="0" w:line="89" w:lineRule="exact"/>
        <w:rPr>
          <w:rFonts w:ascii="Arial" w:cs="Arial" w:eastAsia="Arial" w:hAnsi="Arial"/>
          <w:sz w:val="18"/>
          <w:szCs w:val="18"/>
          <w:color w:val="auto"/>
        </w:rPr>
      </w:pPr>
    </w:p>
    <w:p>
      <w:pPr>
        <w:ind w:left="2400" w:right="120" w:hanging="649"/>
        <w:spacing w:after="0" w:line="263" w:lineRule="auto"/>
        <w:tabs>
          <w:tab w:leader="none" w:pos="24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worth at the time of award of the amount by which the unpaid Rent for the balance of the Term after the time of award exceeds the amount of such rental loss that Tenant proves was in fact avoided or could be reasonably avoided; </w:t>
      </w:r>
      <w:r>
        <w:rPr>
          <w:rFonts w:ascii="Arial" w:cs="Arial" w:eastAsia="Arial" w:hAnsi="Arial"/>
          <w:sz w:val="18"/>
          <w:szCs w:val="18"/>
          <w:i w:val="1"/>
          <w:iCs w:val="1"/>
          <w:color w:val="auto"/>
        </w:rPr>
        <w:t>plus</w:t>
      </w:r>
    </w:p>
    <w:p>
      <w:pPr>
        <w:spacing w:after="0" w:line="89" w:lineRule="exact"/>
        <w:rPr>
          <w:rFonts w:ascii="Arial" w:cs="Arial" w:eastAsia="Arial" w:hAnsi="Arial"/>
          <w:sz w:val="18"/>
          <w:szCs w:val="18"/>
          <w:color w:val="auto"/>
        </w:rPr>
      </w:pPr>
    </w:p>
    <w:p>
      <w:pPr>
        <w:ind w:left="2400" w:hanging="649"/>
        <w:spacing w:after="0" w:line="254" w:lineRule="auto"/>
        <w:tabs>
          <w:tab w:leader="none" w:pos="24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any other amount necessary to compensate Landlord for all the detriment proximately caused by Tenant’s failure to perform its obligations under this Lease or which in the ordinary course of things would be likely to result therefrom;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no compensation shall be due for consequential damages or diminution in value of the Land or the buildings resulting from the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Tenant shall be responsible for consequential damages resulting solely from Tenant’s holding over and remaining in all or any portion of the Leased Property following the expiration or earlier termination of this Lease and first accruing after the date that is six (6) months following such termination.</w:t>
      </w:r>
    </w:p>
    <w:p>
      <w:pPr>
        <w:spacing w:after="0" w:line="87" w:lineRule="exact"/>
        <w:rPr>
          <w:sz w:val="20"/>
          <w:szCs w:val="20"/>
          <w:color w:val="auto"/>
        </w:rPr>
      </w:pPr>
    </w:p>
    <w:p>
      <w:pPr>
        <w:ind w:left="1420"/>
        <w:spacing w:after="0" w:line="259" w:lineRule="auto"/>
        <w:rPr>
          <w:sz w:val="20"/>
          <w:szCs w:val="20"/>
          <w:color w:val="auto"/>
        </w:rPr>
      </w:pPr>
      <w:r>
        <w:rPr>
          <w:rFonts w:ascii="Arial" w:cs="Arial" w:eastAsia="Arial" w:hAnsi="Arial"/>
          <w:sz w:val="18"/>
          <w:szCs w:val="18"/>
          <w:color w:val="auto"/>
        </w:rPr>
        <w:t>As used in clauses (i) and (ii) above, the “worth at the time of award” shall be computed by allowing interest at the Overdue Rate. As used in clause (iii) above, the “worth at the time of award” shall be computed by discounting such amount at the discount rate of the Federal Reserve Bank of New York at the time of award plus one percent (1%) and reducing such amount by the portion of the unpaid Rent that Tenant proves could be reasonably avoided.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340" w:firstLine="1979"/>
        <w:spacing w:after="0" w:line="308" w:lineRule="auto"/>
        <w:tabs>
          <w:tab w:leader="none" w:pos="240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Landlord chooses not to terminate Tenant’s right to possession of the Leased Property (whether or not Landlord terminates the Lease), each installment of said Rent and other sums payable by Tenant to Landlord under this Lease as the same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20"/>
          </w:cols>
          <w:pgMar w:left="440" w:top="274" w:right="539" w:bottom="1440" w:gutter="0" w:footer="0" w:header="0"/>
        </w:sectPr>
      </w:pPr>
    </w:p>
    <w:bookmarkStart w:id="131" w:name="page132"/>
    <w:bookmarkEnd w:id="131"/>
    <w:p>
      <w:pPr>
        <w:ind w:right="5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becomes due and payable, together with interest at the Overdue Rate from the date when due until paid, and Landlord may enforce, by action or otherwise, any other term or covenant of this Lease (and Landlord may at any time thereafter terminate Tenant’s right to possession of the Leased Property and seek damages under subparagraph (A) hereof, to the extent not already paid for by Tenant under this subparagraph (B)).</w:t>
      </w:r>
    </w:p>
    <w:p>
      <w:pPr>
        <w:spacing w:after="0" w:line="149" w:lineRule="exact"/>
        <w:rPr>
          <w:sz w:val="20"/>
          <w:szCs w:val="20"/>
          <w:color w:val="auto"/>
        </w:rPr>
      </w:pPr>
    </w:p>
    <w:p>
      <w:pPr>
        <w:ind w:right="20" w:firstLine="1979"/>
        <w:spacing w:after="0" w:line="273" w:lineRule="auto"/>
        <w:tabs>
          <w:tab w:leader="none" w:pos="237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If, as of the date of any termination of this Lease pursuant to Section 16.2, the Leased Property shall not be in the condition in which Tenant has agreed to surrender the same to Landlord at the expiration or earlier termination of this Lease pursuant to Section 9.1(d), then Tenant shall be obligated to place the Leased Property in the condition in which Tenant is required to surrender the same hereunder; provided that if the Tenant does not do so in a time period necessary and practicable to accomplish the foregoing, then Tenant shall pay, as damages therefor, the cost (as reasonably estimated by a nationally recognized independent contractor reasonably selected by Landlord) of placing the Leased Property in the condition in which Tenant is required to surrender the same hereunder.</w:t>
      </w:r>
    </w:p>
    <w:p>
      <w:pPr>
        <w:spacing w:after="0" w:line="174" w:lineRule="exact"/>
        <w:rPr>
          <w:sz w:val="20"/>
          <w:szCs w:val="20"/>
          <w:color w:val="auto"/>
        </w:rPr>
      </w:pPr>
    </w:p>
    <w:p>
      <w:pPr>
        <w:ind w:firstLine="1983"/>
        <w:spacing w:after="0" w:line="281" w:lineRule="auto"/>
        <w:rPr>
          <w:sz w:val="20"/>
          <w:szCs w:val="20"/>
          <w:color w:val="auto"/>
        </w:rPr>
      </w:pPr>
      <w:r>
        <w:rPr>
          <w:rFonts w:ascii="Arial" w:cs="Arial" w:eastAsia="Arial" w:hAnsi="Arial"/>
          <w:sz w:val="17"/>
          <w:szCs w:val="17"/>
          <w:b w:val="1"/>
          <w:bCs w:val="1"/>
          <w:color w:val="auto"/>
        </w:rPr>
        <w:t xml:space="preserve">16.4 </w:t>
      </w:r>
      <w:r>
        <w:rPr>
          <w:rFonts w:ascii="Arial" w:cs="Arial" w:eastAsia="Arial" w:hAnsi="Arial"/>
          <w:sz w:val="17"/>
          <w:szCs w:val="17"/>
          <w:b w:val="1"/>
          <w:bCs w:val="1"/>
          <w:u w:val="single" w:color="auto"/>
          <w:color w:val="auto"/>
        </w:rPr>
        <w:t>Receiver</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occurrence and continuance of an Event of Default, and upon commencement of proceedings to</w:t>
      </w:r>
      <w:r>
        <w:rPr>
          <w:rFonts w:ascii="Arial" w:cs="Arial" w:eastAsia="Arial" w:hAnsi="Arial"/>
          <w:sz w:val="17"/>
          <w:szCs w:val="17"/>
          <w:b w:val="1"/>
          <w:bCs w:val="1"/>
          <w:color w:val="auto"/>
        </w:rPr>
        <w:t xml:space="preserve"> </w:t>
      </w:r>
      <w:r>
        <w:rPr>
          <w:rFonts w:ascii="Arial" w:cs="Arial" w:eastAsia="Arial" w:hAnsi="Arial"/>
          <w:sz w:val="17"/>
          <w:szCs w:val="17"/>
          <w:color w:val="auto"/>
        </w:rPr>
        <w:t>enforce the rights of Landlord hereunder, but subject to any 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spacing w:after="0" w:line="165" w:lineRule="exact"/>
        <w:rPr>
          <w:sz w:val="20"/>
          <w:szCs w:val="20"/>
          <w:color w:val="auto"/>
        </w:rPr>
      </w:pPr>
    </w:p>
    <w:p>
      <w:pPr>
        <w:jc w:val="both"/>
        <w:ind w:right="160" w:firstLine="1983"/>
        <w:spacing w:after="0" w:line="261" w:lineRule="auto"/>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If Landlord initiates judicial proceedings or if this Lease is terminated by Landlord pursuant to this Article</w:t>
      </w:r>
      <w:r>
        <w:rPr>
          <w:rFonts w:ascii="Arial" w:cs="Arial" w:eastAsia="Arial" w:hAnsi="Arial"/>
          <w:sz w:val="18"/>
          <w:szCs w:val="18"/>
          <w:b w:val="1"/>
          <w:bCs w:val="1"/>
          <w:color w:val="auto"/>
        </w:rPr>
        <w:t xml:space="preserve"> </w:t>
      </w:r>
      <w:r>
        <w:rPr>
          <w:rFonts w:ascii="Arial" w:cs="Arial" w:eastAsia="Arial" w:hAnsi="Arial"/>
          <w:sz w:val="18"/>
          <w:szCs w:val="18"/>
          <w:color w:val="auto"/>
        </w:rPr>
        <w:t>XVI, Tenant waives, to the extent permitted by applicable law, (i) any right of redemption, re-entry or repossession; (ii) the benefit of any laws now or hereafter in force exempting property from liability for rent or for debt; and (iii) any duty of Landlord to mitigate damages to the extent such duty may legally be waived.</w:t>
      </w:r>
    </w:p>
    <w:p>
      <w:pPr>
        <w:spacing w:after="0" w:line="180" w:lineRule="exact"/>
        <w:rPr>
          <w:sz w:val="20"/>
          <w:szCs w:val="20"/>
          <w:color w:val="auto"/>
        </w:rPr>
      </w:pPr>
    </w:p>
    <w:p>
      <w:pPr>
        <w:ind w:right="320" w:firstLine="1983"/>
        <w:spacing w:after="0" w:line="261"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b w:val="1"/>
          <w:bCs w:val="1"/>
          <w:u w:val="single" w:color="auto"/>
          <w:color w:val="auto"/>
        </w:rPr>
        <w:t>Application of Funds</w:t>
      </w:r>
      <w:r>
        <w:rPr>
          <w:rFonts w:ascii="Arial" w:cs="Arial" w:eastAsia="Arial" w:hAnsi="Arial"/>
          <w:sz w:val="18"/>
          <w:szCs w:val="18"/>
          <w:b w:val="1"/>
          <w:bCs w:val="1"/>
          <w:color w:val="auto"/>
        </w:rPr>
        <w:t xml:space="preserve">. </w:t>
      </w:r>
      <w:r>
        <w:rPr>
          <w:rFonts w:ascii="Arial" w:cs="Arial" w:eastAsia="Arial" w:hAnsi="Arial"/>
          <w:sz w:val="18"/>
          <w:szCs w:val="18"/>
          <w:color w:val="auto"/>
        </w:rPr>
        <w:t>Any payments received by Landlord under any of the provisions of this Lease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existence or continuance of any Event of Default which are made to Landlord rather than Tenant due to the existence of an Event of Default shall be applied to Tenant’s obligations in the order which Landlord may reasonably determine or as may be prescribed by the laws of the Commonwealth of Massachusetts.</w:t>
      </w:r>
    </w:p>
    <w:p>
      <w:pPr>
        <w:spacing w:after="0" w:line="180" w:lineRule="exact"/>
        <w:rPr>
          <w:sz w:val="20"/>
          <w:szCs w:val="20"/>
          <w:color w:val="auto"/>
        </w:rPr>
      </w:pPr>
    </w:p>
    <w:p>
      <w:pPr>
        <w:ind w:right="40" w:firstLine="1983"/>
        <w:spacing w:after="0" w:line="291" w:lineRule="auto"/>
        <w:rPr>
          <w:sz w:val="20"/>
          <w:szCs w:val="20"/>
          <w:color w:val="auto"/>
        </w:rPr>
      </w:pPr>
      <w:r>
        <w:rPr>
          <w:rFonts w:ascii="Arial" w:cs="Arial" w:eastAsia="Arial" w:hAnsi="Arial"/>
          <w:sz w:val="16"/>
          <w:szCs w:val="16"/>
          <w:b w:val="1"/>
          <w:bCs w:val="1"/>
          <w:color w:val="auto"/>
        </w:rPr>
        <w:t xml:space="preserve">16.7 </w:t>
      </w:r>
      <w:r>
        <w:rPr>
          <w:rFonts w:ascii="Arial" w:cs="Arial" w:eastAsia="Arial" w:hAnsi="Arial"/>
          <w:sz w:val="16"/>
          <w:szCs w:val="16"/>
          <w:b w:val="1"/>
          <w:bCs w:val="1"/>
          <w:u w:val="single" w:color="auto"/>
          <w:color w:val="auto"/>
        </w:rPr>
        <w:t>Landlord’s Right to Cure Tenant’s Defaults</w:t>
      </w:r>
      <w:r>
        <w:rPr>
          <w:rFonts w:ascii="Arial" w:cs="Arial" w:eastAsia="Arial" w:hAnsi="Arial"/>
          <w:sz w:val="16"/>
          <w:szCs w:val="16"/>
          <w:b w:val="1"/>
          <w:bCs w:val="1"/>
          <w:color w:val="auto"/>
        </w:rPr>
        <w:t xml:space="preserve">. </w:t>
      </w:r>
      <w:r>
        <w:rPr>
          <w:rFonts w:ascii="Arial" w:cs="Arial" w:eastAsia="Arial" w:hAnsi="Arial"/>
          <w:sz w:val="16"/>
          <w:szCs w:val="16"/>
          <w:color w:val="auto"/>
        </w:rPr>
        <w:t>If Tenant shall fail to make any payment or to perform any act</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made or performed hereunder when due including, without limitation, if Tenant fails to complete any work or restoration or replacement of any nature as required hereunder, or, if, after a Wynn Tenant Transfer, Tenant fails to expend any Required CapEx, or if Tenant shall take any action prohibited hereunder, and such failure shall have resulted in an Event of Default, Landlord and/or its Affiliates, without waiving or releasing any obligation or default, may, but shall be under no obligation to, make such payment or perform such act (or reimburse any Facility Mortgagee for making such payment or performing such act) for the account and at the expense of Tenant (including, in the event of a breach of any such representation or warranty, taking actions to cause such representation or warranty to be true), and may, to the extent permitted by law, after an Event of Default, enter upon the Leased Property for such purpose and take all such action thereon as, in Landlord’s reasonable opinion, may be necessary or appropriate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132" w:name="page133"/>
    <w:bookmarkEnd w:id="132"/>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therefor provided same is undertaken in accordance with the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this right under this </w:t>
      </w:r>
      <w:r>
        <w:rPr>
          <w:rFonts w:ascii="Arial" w:cs="Arial" w:eastAsia="Arial" w:hAnsi="Arial"/>
          <w:sz w:val="17"/>
          <w:szCs w:val="17"/>
          <w:u w:val="single" w:color="auto"/>
          <w:color w:val="auto"/>
        </w:rPr>
        <w:t>Section 16.7</w:t>
      </w:r>
      <w:r>
        <w:rPr>
          <w:rFonts w:ascii="Arial" w:cs="Arial" w:eastAsia="Arial" w:hAnsi="Arial"/>
          <w:sz w:val="17"/>
          <w:szCs w:val="17"/>
          <w:color w:val="auto"/>
        </w:rPr>
        <w:t xml:space="preserve"> shall only be exercised by Landlord if such failure is a breach of Legal Requirements where such failure continues after: (i) fifteen (15) days after a first notice delivered by Landlord to Tenant informing Tenant of its failure to comply with such Legal Requirement, and (ii) if the fifteen (15) day period in clause (i) has elapsed and Tenant has not taken actions to cure such breach, fifteen (15) days after a second notice delivered by Landlord to Tenant informing Tenant of its failure to comply with such Legal Requirement, in each case, with a subject line that in all caps saying “FAILURE TO COMPLY WITH THE LEGAL REQUIREMENT WILL RESULT IN LANDLORD CURING SUCH FAILURE AT TENANT’S COST”. All sums so paid (or reimbursed) by Landlord and/or any of its Affiliates and all costs and expenses, including reasonable attorneys’ fees and expenses, so incurred, together with interest thereon at the Overdue Rate from the date on which such sums or expenses are paid or incurred by Landlord and/or any of its Affiliates, shall be paid by Tenant to Landlord on demand as an Additional Charge.</w:t>
      </w:r>
    </w:p>
    <w:p>
      <w:pPr>
        <w:spacing w:after="0" w:line="393" w:lineRule="exact"/>
        <w:rPr>
          <w:sz w:val="20"/>
          <w:szCs w:val="20"/>
          <w:color w:val="auto"/>
        </w:rPr>
      </w:pPr>
    </w:p>
    <w:p>
      <w:pPr>
        <w:ind w:left="4884"/>
        <w:spacing w:after="0"/>
        <w:rPr>
          <w:sz w:val="20"/>
          <w:szCs w:val="20"/>
          <w:color w:val="auto"/>
        </w:rPr>
      </w:pPr>
      <w:r>
        <w:rPr>
          <w:rFonts w:ascii="Arial" w:cs="Arial" w:eastAsia="Arial" w:hAnsi="Arial"/>
          <w:sz w:val="18"/>
          <w:szCs w:val="18"/>
          <w:b w:val="1"/>
          <w:bCs w:val="1"/>
          <w:color w:val="auto"/>
        </w:rPr>
        <w:t>ARTICLE XVII</w:t>
      </w:r>
    </w:p>
    <w:p>
      <w:pPr>
        <w:spacing w:after="0" w:line="117"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u w:val="single" w:color="auto"/>
          <w:color w:val="auto"/>
        </w:rPr>
        <w:t>Permitted Leasehold Mortgagees</w:t>
      </w:r>
      <w:r>
        <w:rPr>
          <w:rFonts w:ascii="Arial" w:cs="Arial" w:eastAsia="Arial" w:hAnsi="Arial"/>
          <w:sz w:val="16"/>
          <w:szCs w:val="16"/>
          <w:b w:val="1"/>
          <w:bCs w:val="1"/>
          <w:color w:val="auto"/>
        </w:rPr>
        <w:t>.</w:t>
      </w:r>
    </w:p>
    <w:p>
      <w:pPr>
        <w:spacing w:after="0" w:line="229" w:lineRule="exact"/>
        <w:rPr>
          <w:sz w:val="20"/>
          <w:szCs w:val="20"/>
          <w:color w:val="auto"/>
        </w:rPr>
      </w:pPr>
    </w:p>
    <w:p>
      <w:pPr>
        <w:ind w:left="4" w:right="20" w:firstLine="1979"/>
        <w:spacing w:after="0" w:line="283" w:lineRule="auto"/>
        <w:tabs>
          <w:tab w:leader="none" w:pos="236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On one or more occasions without Landlord’s prior consent Tenant may mortgage or otherwise encumber Tenant’s estate in and to the Leased Property (the “</w:t>
      </w:r>
      <w:r>
        <w:rPr>
          <w:rFonts w:ascii="Arial" w:cs="Arial" w:eastAsia="Arial" w:hAnsi="Arial"/>
          <w:sz w:val="16"/>
          <w:szCs w:val="16"/>
          <w:b w:val="1"/>
          <w:bCs w:val="1"/>
          <w:color w:val="auto"/>
        </w:rPr>
        <w:t>Leasehold Estate</w:t>
      </w:r>
      <w:r>
        <w:rPr>
          <w:rFonts w:ascii="Arial" w:cs="Arial" w:eastAsia="Arial" w:hAnsi="Arial"/>
          <w:sz w:val="16"/>
          <w:szCs w:val="16"/>
          <w:color w:val="auto"/>
        </w:rPr>
        <w:t xml:space="preserve">”) to one or more Permitted Leasehold Mortgagees under one or more Permitted Leasehold Mortgages and pledge its right, title and interest under this Lease as security for such Permitted Leasehold Mortgages or any Debt Agreement secured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provided in Section 17.1(b)(i)(3), no Person shall be considered a Permitted Leasehold Mortgagee unless (1) such Person delivers to Landlord a written agreement (in form and substance reasonably satisfactory to Landlord) providing (i) that such Permitted Leasehold Mortgagee and any lenders for whom it acts as representative, agent or trustee, will not use or dispose of any Gaming License for use at a location other than at the Facility to which such Gaming License relates as of the date such Person becomes a Permitted Leasehold Mortgagee, and (ii) an express acknowledgement that, in the event of the exercise by the Permitted Leasehold Mortgagee of its rights under the Permitted Leasehold Mortgage, the Permitted Leasehold Mortgagee shall be required to (except for a transfer that meets the requirements of Section 22.2(iii))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Article XXII of this Lease, and</w:t>
      </w:r>
    </w:p>
    <w:p>
      <w:pPr>
        <w:spacing w:after="0" w:line="3" w:lineRule="exact"/>
        <w:rPr>
          <w:rFonts w:ascii="Arial" w:cs="Arial" w:eastAsia="Arial" w:hAnsi="Arial"/>
          <w:sz w:val="16"/>
          <w:szCs w:val="16"/>
          <w:color w:val="auto"/>
        </w:rPr>
      </w:pPr>
    </w:p>
    <w:p>
      <w:pPr>
        <w:ind w:left="4" w:right="300" w:hanging="4"/>
        <w:spacing w:after="0" w:line="281" w:lineRule="auto"/>
        <w:tabs>
          <w:tab w:leader="none" w:pos="31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 express acknowledgment, on behalf of itself, its successors and assigns and all beneficiaries of the Permitted Leasehold Mortgage of the priorities and waivers described in Section 17.1(n), and (2) the underlying Permitted Leasehold Mortgage includes an express acknowledgement that</w:t>
      </w:r>
    </w:p>
    <w:p>
      <w:pPr>
        <w:spacing w:after="0" w:line="1" w:lineRule="exact"/>
        <w:rPr>
          <w:rFonts w:ascii="Arial" w:cs="Arial" w:eastAsia="Arial" w:hAnsi="Arial"/>
          <w:sz w:val="16"/>
          <w:szCs w:val="16"/>
          <w:color w:val="auto"/>
        </w:rPr>
      </w:pPr>
    </w:p>
    <w:p>
      <w:pPr>
        <w:ind w:left="4" w:right="180"/>
        <w:spacing w:after="0" w:line="290" w:lineRule="auto"/>
        <w:rPr>
          <w:rFonts w:ascii="Arial" w:cs="Arial" w:eastAsia="Arial" w:hAnsi="Arial"/>
          <w:sz w:val="16"/>
          <w:szCs w:val="16"/>
          <w:color w:val="auto"/>
        </w:rPr>
      </w:pPr>
      <w:r>
        <w:rPr>
          <w:rFonts w:ascii="Arial" w:cs="Arial" w:eastAsia="Arial" w:hAnsi="Arial"/>
          <w:sz w:val="16"/>
          <w:szCs w:val="16"/>
          <w:color w:val="auto"/>
        </w:rPr>
        <w:t>(A) any exercise of remedies thereunder that would affect the Leasehold Estate shall be subject and subordinate to the terms of the Lease, and (B) that any foreclosure or realization by any Permitted Leasehold Mortgagee pursuant to a Permitted Leasehold Mortgage or upon Tenant’s interest under this Lease or that would result in a transfer of all or any portion of Tenant’s interest in the Leased Property or this Lease shall in any case be subject to the applicable provisions, terms and conditions of Article XXII hereof. Any Facility Mortgagee and its successors and assigns, by accepting any Facility Mortgage, shall be deemed without executing any further document or instrument, to have also agreed to recognize the rights of any Permitted Leasehold Mortgagee as provided in this Article XVII and to have agreed not to disturb such rights in any way except</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133" w:name="page134"/>
    <w:bookmarkEnd w:id="133"/>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through the exercise of the rights expressly granted to Landlord in this Lease or available at law or in equity to Landlord by reason of the default by Tenant under this Lease.</w:t>
      </w:r>
    </w:p>
    <w:p>
      <w:pPr>
        <w:spacing w:after="0" w:line="170" w:lineRule="exact"/>
        <w:rPr>
          <w:sz w:val="20"/>
          <w:szCs w:val="20"/>
          <w:color w:val="auto"/>
        </w:rPr>
      </w:pPr>
    </w:p>
    <w:p>
      <w:pPr>
        <w:ind w:left="2360" w:hanging="381"/>
        <w:spacing w:after="0"/>
        <w:tabs>
          <w:tab w:leader="none" w:pos="2360"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Notice to Landlord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420" w:right="60" w:firstLine="391"/>
        <w:spacing w:after="0" w:line="255" w:lineRule="auto"/>
        <w:tabs>
          <w:tab w:leader="none" w:pos="2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(1) If Tenant shall, on one or more occasions, mortgage Tenant’s Leasehold Estate pursuant to a Permitted Leasehold Mortgage and if the holder of such Permitted Leasehold Mortgage shall provide Landlord with written notice of such Permitted Leasehold Mortgage together with a true copy of such Permitted Leasehold Mortgage and the name and address of the Permitted Leasehold Mortgagee, Landlord and Tenant agree that, following receipt of such written notice by Landlord, the provisions of this Section 17.1 shall apply in respect to each such Permitted Leasehold Mortgage and the Permitted Leasehold Mortgagee with respect thereto.</w:t>
      </w:r>
    </w:p>
    <w:p>
      <w:pPr>
        <w:spacing w:after="0" w:line="84" w:lineRule="exact"/>
        <w:rPr>
          <w:sz w:val="20"/>
          <w:szCs w:val="20"/>
          <w:color w:val="auto"/>
        </w:rPr>
      </w:pPr>
    </w:p>
    <w:p>
      <w:pPr>
        <w:ind w:left="1420" w:firstLine="391"/>
        <w:spacing w:after="0" w:line="342" w:lineRule="auto"/>
        <w:tabs>
          <w:tab w:leader="none" w:pos="219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the event of any assignment of a Permitted Leasehold Mortgage or in the event of a change of address of a Permitted Leasehold Mortgagee or of an assignee of such Mortgage, written notice of the new name and address shall be provided to Landlord.</w:t>
      </w:r>
    </w:p>
    <w:p>
      <w:pPr>
        <w:spacing w:after="0" w:line="15" w:lineRule="exact"/>
        <w:rPr>
          <w:rFonts w:ascii="Arial" w:cs="Arial" w:eastAsia="Arial" w:hAnsi="Arial"/>
          <w:sz w:val="16"/>
          <w:szCs w:val="16"/>
          <w:color w:val="auto"/>
        </w:rPr>
      </w:pPr>
    </w:p>
    <w:p>
      <w:pPr>
        <w:ind w:left="1420" w:right="40" w:firstLine="391"/>
        <w:spacing w:after="0" w:line="277" w:lineRule="auto"/>
        <w:tabs>
          <w:tab w:leader="none" w:pos="219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[Landlord hereby acknowledges and agrees that the Collateral Agent has satisfied all conditions precedent set forth in this Section 17.1 to be, and for all purposes under this Lease is, a Permitted Leasehold Mortgagee.]</w:t>
      </w:r>
    </w:p>
    <w:p>
      <w:pPr>
        <w:spacing w:after="0" w:line="62" w:lineRule="exact"/>
        <w:rPr>
          <w:sz w:val="20"/>
          <w:szCs w:val="20"/>
          <w:color w:val="auto"/>
        </w:rPr>
      </w:pPr>
    </w:p>
    <w:p>
      <w:pPr>
        <w:ind w:left="1420" w:right="160" w:firstLine="391"/>
        <w:spacing w:after="0" w:line="275" w:lineRule="auto"/>
        <w:tabs>
          <w:tab w:leader="none" w:pos="220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the Tenant and the Permitted Leasehold Mortgagee of the rejection of such communication as not conforming with the provisions of this Section 17.1 and specify the specific basis of such rejection.</w:t>
      </w:r>
    </w:p>
    <w:p>
      <w:pPr>
        <w:spacing w:after="0" w:line="68" w:lineRule="exact"/>
        <w:rPr>
          <w:rFonts w:ascii="Arial" w:cs="Arial" w:eastAsia="Arial" w:hAnsi="Arial"/>
          <w:sz w:val="17"/>
          <w:szCs w:val="17"/>
          <w:color w:val="auto"/>
        </w:rPr>
      </w:pPr>
    </w:p>
    <w:p>
      <w:pPr>
        <w:ind w:left="1420" w:right="20" w:firstLine="391"/>
        <w:spacing w:after="0" w:line="253" w:lineRule="auto"/>
        <w:tabs>
          <w:tab w:leader="none" w:pos="224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After Landlord has received the notice provided for by subsection (b)(i) above, the Tenant, upon being requested to do so by Landlord, shall with reasonable promptness provide Landlord with copies of the note or other obligation secured by such Permitted Leasehold Mortgage and of any other documents pertinent to the Permitted Leasehold Mortgage as specified by the Landlord. If requested to do so by Landlord, Tenant shall thereafter also provide the Landlord from time to time with a copy of each amendment or other 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134" w:name="page135"/>
    <w:bookmarkEnd w:id="134"/>
    <w:p>
      <w:pPr>
        <w:ind w:left="1420"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 of the date and place of recording and other pertinent recording data with respect to such instruments as have been recorded.</w:t>
      </w:r>
    </w:p>
    <w:p>
      <w:pPr>
        <w:spacing w:after="0" w:line="170" w:lineRule="exact"/>
        <w:rPr>
          <w:sz w:val="20"/>
          <w:szCs w:val="20"/>
          <w:color w:val="auto"/>
        </w:rPr>
      </w:pPr>
    </w:p>
    <w:p>
      <w:pPr>
        <w:ind w:firstLine="1979"/>
        <w:spacing w:after="0" w:line="287" w:lineRule="auto"/>
        <w:tabs>
          <w:tab w:leader="none" w:pos="2362" w:val="left"/>
        </w:tabs>
        <w:numPr>
          <w:ilvl w:val="2"/>
          <w:numId w:val="135"/>
        </w:numPr>
        <w:rPr>
          <w:rFonts w:ascii="Arial" w:cs="Arial" w:eastAsia="Arial" w:hAnsi="Arial"/>
          <w:sz w:val="16"/>
          <w:szCs w:val="16"/>
          <w:color w:val="auto"/>
        </w:rPr>
      </w:pPr>
      <w:r>
        <w:rPr>
          <w:rFonts w:ascii="Arial" w:cs="Arial" w:eastAsia="Arial" w:hAnsi="Arial"/>
          <w:sz w:val="16"/>
          <w:szCs w:val="16"/>
          <w:u w:val="single" w:color="auto"/>
          <w:color w:val="auto"/>
        </w:rPr>
        <w:t>Default Notice</w:t>
      </w:r>
      <w:r>
        <w:rPr>
          <w:rFonts w:ascii="Arial" w:cs="Arial" w:eastAsia="Arial" w:hAnsi="Arial"/>
          <w:sz w:val="16"/>
          <w:szCs w:val="16"/>
          <w:color w:val="auto"/>
        </w:rPr>
        <w:t>. Landlord, upon providing Tenant any notice of: (i) default under this Lease or (ii) a termination of this Lease, shall at the same time provide a copy of such notice to every Permitted Leasehold Mortgagee for which notice has been properly provided to Landlord pursuant to Section 17.1(b) hereof. No such notice by Landlord to Tenant shall be deemed to have been duly given unless and until a copy thereof has been sent, in the manner prescribed in Section 35.1 of this Lease, to every Permitted Leasehold Mortgagee for which notice has been properly provided to Landlord pursuant to Section 17.1(b) hereof. From and after such notice has been sent to a Permitted Leasehold Mortgagee, such Permitted Leasehold Mortgagee shall have the same period, with respect to its remedying any default or acts or omissions which are the subject matter of such notice or causing the same to be remedied, as is given Tenant after the giving of such notice to Tenant, plus in each instance, the additional periods of time specified in subsections (d) and (e) of this Section 17.1 to remedy, commence remedying or cause to be remedied the defaults or acts or omissions which are the subject matter of such notice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premises by the Permitted Leasehold Mortgagee for such purpose.</w:t>
      </w:r>
    </w:p>
    <w:p>
      <w:pPr>
        <w:spacing w:after="0" w:line="167" w:lineRule="exact"/>
        <w:rPr>
          <w:rFonts w:ascii="Arial" w:cs="Arial" w:eastAsia="Arial" w:hAnsi="Arial"/>
          <w:sz w:val="16"/>
          <w:szCs w:val="16"/>
          <w:color w:val="auto"/>
        </w:rPr>
      </w:pPr>
    </w:p>
    <w:p>
      <w:pPr>
        <w:ind w:right="20" w:firstLine="1979"/>
        <w:spacing w:after="0" w:line="290" w:lineRule="auto"/>
        <w:tabs>
          <w:tab w:leader="none" w:pos="2372" w:val="left"/>
        </w:tabs>
        <w:numPr>
          <w:ilvl w:val="2"/>
          <w:numId w:val="135"/>
        </w:numPr>
        <w:rPr>
          <w:rFonts w:ascii="Arial" w:cs="Arial" w:eastAsia="Arial" w:hAnsi="Arial"/>
          <w:sz w:val="16"/>
          <w:szCs w:val="16"/>
          <w:color w:val="auto"/>
        </w:rPr>
      </w:pPr>
      <w:r>
        <w:rPr>
          <w:rFonts w:ascii="Arial" w:cs="Arial" w:eastAsia="Arial" w:hAnsi="Arial"/>
          <w:sz w:val="16"/>
          <w:szCs w:val="16"/>
          <w:u w:val="single" w:color="auto"/>
          <w:color w:val="auto"/>
        </w:rPr>
        <w:t>Notice to Permitted Leasehold Mortgagee</w:t>
      </w:r>
      <w:r>
        <w:rPr>
          <w:rFonts w:ascii="Arial" w:cs="Arial" w:eastAsia="Arial" w:hAnsi="Arial"/>
          <w:sz w:val="16"/>
          <w:szCs w:val="16"/>
          <w:color w:val="auto"/>
        </w:rPr>
        <w:t>. Anything contained in this Lease to the contrary notwithstanding, if any default shall occur which entitles Landlord to terminate this Lease, Landlord shall have no right to terminate this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Section 17.1(b) hereof of Landlord’s intent to so terminate at least thirty (30) days in advance of the proposed effective date of such termination if such default is capable of being cured by the payment of money, and at least ninety (90) days in advance of the proposed effective date of such termination if such default is not capable of being cured by the payment of money (“</w:t>
      </w:r>
      <w:r>
        <w:rPr>
          <w:rFonts w:ascii="Arial" w:cs="Arial" w:eastAsia="Arial" w:hAnsi="Arial"/>
          <w:sz w:val="16"/>
          <w:szCs w:val="16"/>
          <w:b w:val="1"/>
          <w:bCs w:val="1"/>
          <w:color w:val="auto"/>
        </w:rPr>
        <w:t>Termination Notice</w:t>
      </w:r>
      <w:r>
        <w:rPr>
          <w:rFonts w:ascii="Arial" w:cs="Arial" w:eastAsia="Arial" w:hAnsi="Arial"/>
          <w:sz w:val="16"/>
          <w:szCs w:val="16"/>
          <w:color w:val="auto"/>
        </w:rPr>
        <w:t>”). The provisions of subsection (e) below of this Section 17.1 shall apply if, during such thirty (30) or ninety (90) days (as the case may be) Termination Notice period, any Permitted Leasehold Mortgagee shall:</w:t>
      </w:r>
    </w:p>
    <w:p>
      <w:pPr>
        <w:spacing w:after="0" w:line="70" w:lineRule="exact"/>
        <w:rPr>
          <w:rFonts w:ascii="Arial" w:cs="Arial" w:eastAsia="Arial" w:hAnsi="Arial"/>
          <w:sz w:val="16"/>
          <w:szCs w:val="16"/>
          <w:color w:val="auto"/>
        </w:rPr>
      </w:pPr>
    </w:p>
    <w:p>
      <w:pPr>
        <w:ind w:left="1740" w:hanging="543"/>
        <w:spacing w:after="0"/>
        <w:tabs>
          <w:tab w:leader="none" w:pos="17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notify Landlord of such Permitted Leasehold Mortgagee’s desire to nullify such Termination Notice; and</w:t>
      </w:r>
    </w:p>
    <w:p>
      <w:pPr>
        <w:spacing w:after="0" w:line="130" w:lineRule="exact"/>
        <w:rPr>
          <w:rFonts w:ascii="Arial" w:cs="Arial" w:eastAsia="Arial" w:hAnsi="Arial"/>
          <w:sz w:val="18"/>
          <w:szCs w:val="18"/>
          <w:color w:val="auto"/>
        </w:rPr>
      </w:pPr>
    </w:p>
    <w:p>
      <w:pPr>
        <w:ind w:left="1740" w:right="280" w:hanging="543"/>
        <w:spacing w:after="0" w:line="291" w:lineRule="auto"/>
        <w:tabs>
          <w:tab w:leader="none" w:pos="17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pay or cause to be paid all Rent, Additional Charges, and other payments (i) then due and in arrears as specified in the Termination Notice to such Permitted Leasehold Mortgagee and (ii) which may become due during such thirty (30) or ninety</w:t>
      </w:r>
    </w:p>
    <w:p>
      <w:pPr>
        <w:ind w:left="1740" w:right="40" w:hanging="3"/>
        <w:spacing w:after="0" w:line="260" w:lineRule="auto"/>
        <w:tabs>
          <w:tab w:leader="none" w:pos="208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day (as the case may be) period (as the same may become due) (in each case, regardless of whether such amount is allowed under any insolvency or bankruptcy law);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135" w:name="page136"/>
    <w:bookmarkEnd w:id="135"/>
    <w:p>
      <w:pPr>
        <w:ind w:left="740" w:hanging="543"/>
        <w:spacing w:after="0" w:line="254" w:lineRule="auto"/>
        <w:tabs>
          <w:tab w:leader="none" w:pos="7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comply or in good faith, with reasonable diligence and continuity, commence to comply with all nonmonetary requirements of this Lease then in default and reasonably susceptible of being complied with by such Permitted Leasehold Mortgagee,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Permitted Leasehold Mortgagee shall not be required during such ninety (90) day period to cure or commence to cure any default consisting of Tenant’s failure to satisfy and discharge any lien, charge or encumbrance against the Tenant’s interest in this Lease or the Leased Property, or any of Tenant’s other assets junior in priority to the lien of the mortgage or other security documents held by such Permitted Leasehold Mortgagee or any matter which Permitted Leasehold Mortgagee is prevented from performing because of any injunction or stay applicable during any bankruptcy or other judicial proceeding; and</w:t>
      </w:r>
    </w:p>
    <w:p>
      <w:pPr>
        <w:spacing w:after="0" w:line="97" w:lineRule="exact"/>
        <w:rPr>
          <w:rFonts w:ascii="Arial" w:cs="Arial" w:eastAsia="Arial" w:hAnsi="Arial"/>
          <w:sz w:val="18"/>
          <w:szCs w:val="18"/>
          <w:color w:val="auto"/>
        </w:rPr>
      </w:pPr>
    </w:p>
    <w:p>
      <w:pPr>
        <w:jc w:val="both"/>
        <w:ind w:left="740" w:right="160" w:hanging="543"/>
        <w:spacing w:after="0" w:line="263" w:lineRule="auto"/>
        <w:tabs>
          <w:tab w:leader="none" w:pos="7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Lease.</w:t>
      </w:r>
    </w:p>
    <w:p>
      <w:pPr>
        <w:spacing w:after="0" w:line="75" w:lineRule="exact"/>
        <w:rPr>
          <w:rFonts w:ascii="Arial" w:cs="Arial" w:eastAsia="Arial" w:hAnsi="Arial"/>
          <w:sz w:val="18"/>
          <w:szCs w:val="18"/>
          <w:color w:val="auto"/>
        </w:rPr>
      </w:pPr>
    </w:p>
    <w:p>
      <w:pPr>
        <w:ind w:left="1360" w:hanging="381"/>
        <w:spacing w:after="0"/>
        <w:tabs>
          <w:tab w:leader="none" w:pos="136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Procedure on Default</w:t>
      </w:r>
      <w:r>
        <w:rPr>
          <w:rFonts w:ascii="Arial" w:cs="Arial" w:eastAsia="Arial" w:hAnsi="Arial"/>
          <w:sz w:val="18"/>
          <w:szCs w:val="18"/>
          <w:color w:val="auto"/>
        </w:rPr>
        <w:t>.</w:t>
      </w:r>
    </w:p>
    <w:p>
      <w:pPr>
        <w:spacing w:after="0" w:line="131" w:lineRule="exact"/>
        <w:rPr>
          <w:sz w:val="20"/>
          <w:szCs w:val="20"/>
          <w:color w:val="auto"/>
        </w:rPr>
      </w:pPr>
    </w:p>
    <w:p>
      <w:pPr>
        <w:ind w:left="740" w:right="80" w:hanging="543"/>
        <w:spacing w:after="0" w:line="257" w:lineRule="auto"/>
        <w:tabs>
          <w:tab w:leader="none" w:pos="7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If Landlord shall elect to terminate this Lease by reason of any Event of Default of Tenant that has occurred and is continuing, and a Permitted Leasehold Mortgagee shall have proceeded in the manner provided for by subsection (d) of this Section 17.1, the specified date for the termination of this Lease as fixed by Landlord in its Termination Notice shall be extended for a period of four (4) months;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Permitted Leasehold Mortgagee shall, during such four-month period (and during the period of any continuance referred to in subsection (e)(ii) below):</w:t>
      </w:r>
    </w:p>
    <w:p>
      <w:pPr>
        <w:spacing w:after="0" w:line="79" w:lineRule="exact"/>
        <w:rPr>
          <w:rFonts w:ascii="Arial" w:cs="Arial" w:eastAsia="Arial" w:hAnsi="Arial"/>
          <w:sz w:val="18"/>
          <w:szCs w:val="18"/>
          <w:color w:val="auto"/>
        </w:rPr>
      </w:pPr>
    </w:p>
    <w:p>
      <w:pPr>
        <w:ind w:left="420" w:right="300" w:firstLine="391"/>
        <w:spacing w:after="0" w:line="287" w:lineRule="auto"/>
        <w:tabs>
          <w:tab w:leader="none" w:pos="1193" w:val="left"/>
        </w:tabs>
        <w:numPr>
          <w:ilvl w:val="2"/>
          <w:numId w:val="138"/>
        </w:numPr>
        <w:rPr>
          <w:rFonts w:ascii="Arial" w:cs="Arial" w:eastAsia="Arial" w:hAnsi="Arial"/>
          <w:sz w:val="16"/>
          <w:szCs w:val="16"/>
          <w:color w:val="auto"/>
        </w:rPr>
      </w:pPr>
      <w:r>
        <w:rPr>
          <w:rFonts w:ascii="Arial" w:cs="Arial" w:eastAsia="Arial" w:hAnsi="Arial"/>
          <w:sz w:val="16"/>
          <w:szCs w:val="16"/>
          <w:color w:val="auto"/>
        </w:rPr>
        <w:t>pay or cause to be paid the Rent, Additional Charges and other monetary obligations of Tenant under this Lease as the same become due (in each case, regardless of whether such amount is allowed under any insolvency or bankruptcy law), and continue its good faith efforts to perform or cause to be performed all of Tenant’s other obligations under this Lease, excepting</w:t>
      </w:r>
    </w:p>
    <w:p>
      <w:pPr>
        <w:spacing w:after="0" w:line="2" w:lineRule="exact"/>
        <w:rPr>
          <w:rFonts w:ascii="Arial" w:cs="Arial" w:eastAsia="Arial" w:hAnsi="Arial"/>
          <w:sz w:val="16"/>
          <w:szCs w:val="16"/>
          <w:color w:val="auto"/>
        </w:rPr>
      </w:pPr>
    </w:p>
    <w:p>
      <w:pPr>
        <w:jc w:val="both"/>
        <w:ind w:left="420" w:right="60" w:firstLine="8"/>
        <w:spacing w:after="0" w:line="253" w:lineRule="auto"/>
        <w:tabs>
          <w:tab w:leader="none" w:pos="71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obligations of Tenant to satisfy or otherwise discharge any lien, charge or encumbrance against Tenant’s interest in this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spacing w:after="0" w:line="84" w:lineRule="exact"/>
        <w:rPr>
          <w:rFonts w:ascii="Arial" w:cs="Arial" w:eastAsia="Arial" w:hAnsi="Arial"/>
          <w:sz w:val="18"/>
          <w:szCs w:val="18"/>
          <w:color w:val="auto"/>
        </w:rPr>
      </w:pPr>
    </w:p>
    <w:p>
      <w:pPr>
        <w:ind w:left="420" w:right="120" w:firstLine="391"/>
        <w:spacing w:after="0" w:line="263" w:lineRule="auto"/>
        <w:tabs>
          <w:tab w:leader="none" w:pos="1193" w:val="left"/>
        </w:tabs>
        <w:numPr>
          <w:ilvl w:val="2"/>
          <w:numId w:val="139"/>
        </w:numPr>
        <w:rPr>
          <w:rFonts w:ascii="Arial" w:cs="Arial" w:eastAsia="Arial" w:hAnsi="Arial"/>
          <w:sz w:val="18"/>
          <w:szCs w:val="18"/>
          <w:color w:val="auto"/>
        </w:rPr>
      </w:pPr>
      <w:r>
        <w:rPr>
          <w:rFonts w:ascii="Arial" w:cs="Arial" w:eastAsia="Arial" w:hAnsi="Arial"/>
          <w:sz w:val="18"/>
          <w:szCs w:val="18"/>
          <w:color w:val="auto"/>
        </w:rPr>
        <w:t>if not enjoined or stayed pursuant to a bankruptcy or insolvency proceeding or other judicial order, diligently continue to pursue acquiring or selling Tenant’s interest in this Lease and the Leased Property by foreclosure of the Permitted Leasehold Mortgage or other appropriate means and diligently prosecute the same to completion.</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000"/>
          </w:cols>
          <w:pgMar w:left="1440" w:top="274" w:right="459" w:bottom="1440" w:gutter="0" w:footer="0" w:header="0"/>
        </w:sectPr>
      </w:pPr>
    </w:p>
    <w:bookmarkStart w:id="136" w:name="page137"/>
    <w:bookmarkEnd w:id="136"/>
    <w:p>
      <w:pPr>
        <w:ind w:left="740" w:hanging="543"/>
        <w:spacing w:after="0" w:line="284" w:lineRule="auto"/>
        <w:tabs>
          <w:tab w:leader="none" w:pos="7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at the end of such four (4) - month period such Permitted Leasehold Mortgagee is complying with subsection (e)(i) above, this Lease shall not then terminate, and the time for completion by such Permitted Leasehold Mortgagee of its proceedings shall continue (provided 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w:t>
      </w:r>
    </w:p>
    <w:p>
      <w:pPr>
        <w:ind w:left="740" w:right="60" w:hanging="3"/>
        <w:spacing w:after="0" w:line="281" w:lineRule="auto"/>
        <w:tabs>
          <w:tab w:leader="none" w:pos="108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months from the date of Landlord’s initial notification to Permitted Leasehold Mortgagee pursuant to Section 17.1(d) hereof, and (y) if such Permitted Leasehold Mortgagee is not so enjoined or stayed, thereafter for so long as such Permitted Leasehold Mortgagee proceeds to complete steps to acquire or sell Tenant’s interests in this Lease by foreclosure of the Permitted Leasehold Mortgage or by other appropriate means with reasonable diligence and continuity but not to exceed twelve</w:t>
      </w:r>
    </w:p>
    <w:p>
      <w:pPr>
        <w:spacing w:after="0" w:line="2" w:lineRule="exact"/>
        <w:rPr>
          <w:rFonts w:ascii="Arial" w:cs="Arial" w:eastAsia="Arial" w:hAnsi="Arial"/>
          <w:sz w:val="16"/>
          <w:szCs w:val="16"/>
          <w:color w:val="auto"/>
        </w:rPr>
      </w:pPr>
    </w:p>
    <w:p>
      <w:pPr>
        <w:ind w:left="1080" w:hanging="343"/>
        <w:spacing w:after="0"/>
        <w:tabs>
          <w:tab w:leader="none" w:pos="10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months from the date of Landlord’s initial notification to Permitted Leasehold Mortgagee pursuant to Section 17.1(d)</w:t>
      </w:r>
    </w:p>
    <w:p>
      <w:pPr>
        <w:spacing w:after="0" w:line="20" w:lineRule="exact"/>
        <w:rPr>
          <w:rFonts w:ascii="Arial" w:cs="Arial" w:eastAsia="Arial" w:hAnsi="Arial"/>
          <w:sz w:val="17"/>
          <w:szCs w:val="17"/>
          <w:color w:val="auto"/>
        </w:rPr>
      </w:pPr>
    </w:p>
    <w:p>
      <w:pPr>
        <w:ind w:left="740" w:right="80"/>
        <w:spacing w:after="0" w:line="290" w:lineRule="auto"/>
        <w:rPr>
          <w:rFonts w:ascii="Arial" w:cs="Arial" w:eastAsia="Arial" w:hAnsi="Arial"/>
          <w:sz w:val="17"/>
          <w:szCs w:val="17"/>
          <w:color w:val="auto"/>
        </w:rPr>
      </w:pPr>
      <w:r>
        <w:rPr>
          <w:rFonts w:ascii="Arial" w:cs="Arial" w:eastAsia="Arial" w:hAnsi="Arial"/>
          <w:sz w:val="16"/>
          <w:szCs w:val="16"/>
          <w:color w:val="auto"/>
        </w:rPr>
        <w:t>hereof. Nothing in this subsection (e) of this Section 17.1, however, shall be construed to extend this Lease beyond the original term thereof as extended by any options to extend the term of this Lease properly exercised by Tenant or a Permitted Leasehold Mortgagee in accordance with Section 1.4, nor to require a Permitted Leasehold Mortgagee to continue such foreclosure proceeding after the default has been cured. If the default shall be cured pursuant to the terms and within the time periods allowed in subsections (d) and (e) of this Section 17.1 and the Permitted Leasehold Mortgagee shall discontinue such foreclosure proceedings, this Lease shall continue in full force and effect as if Tenant had not defaulted under this Lease.</w:t>
      </w:r>
    </w:p>
    <w:p>
      <w:pPr>
        <w:spacing w:after="0" w:line="69" w:lineRule="exact"/>
        <w:rPr>
          <w:rFonts w:ascii="Arial" w:cs="Arial" w:eastAsia="Arial" w:hAnsi="Arial"/>
          <w:sz w:val="17"/>
          <w:szCs w:val="17"/>
          <w:color w:val="auto"/>
        </w:rPr>
      </w:pPr>
    </w:p>
    <w:p>
      <w:pPr>
        <w:ind w:left="740" w:right="20" w:hanging="543"/>
        <w:spacing w:after="0" w:line="279" w:lineRule="auto"/>
        <w:tabs>
          <w:tab w:leader="none" w:pos="7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If a Permitted Leasehold Mortgagee is complying with subsection (e)(i) of this Section 17.1, upon the acquisition of Tenant’s Leasehold Estate herein by a Qualified Transferee this Lease shall continue in full force and effect as if Tenant had not defaulted under this Lease, provided that such Qualified Transferee cures all outstanding defaults that can be cured through the payment of money and all other defaults that are reasonably susceptible of being cured.</w:t>
      </w:r>
    </w:p>
    <w:p>
      <w:pPr>
        <w:spacing w:after="0" w:line="76" w:lineRule="exact"/>
        <w:rPr>
          <w:rFonts w:ascii="Arial" w:cs="Arial" w:eastAsia="Arial" w:hAnsi="Arial"/>
          <w:sz w:val="17"/>
          <w:szCs w:val="17"/>
          <w:color w:val="auto"/>
        </w:rPr>
      </w:pPr>
    </w:p>
    <w:p>
      <w:pPr>
        <w:ind w:left="740" w:right="40" w:hanging="543"/>
        <w:spacing w:after="0" w:line="273" w:lineRule="auto"/>
        <w:tabs>
          <w:tab w:leader="none" w:pos="7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For the purposes of this Section 17.1, the making of a Permitted Leasehold Mortgage shall not be deemed to constitute an assignment or transfer of this Lease nor of the Leasehold Estate hereby created, nor shall any Permitted Leasehold Mortgagee, as such, be deemed to be an assignee or transferee of this Lease or of the Leasehold Estate hereby created so as to require such Permitted Leasehold Mortgagee, as such, to assume the performance of any of the terms, covenants or conditions on the part of the Tenant to be performed hereunder; but the purchaser at any sale of this Lease (including a Permitted Leasehold Mortgagee if it is the purchaser at foreclosure) and of the Leasehold Estate hereby created in any</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000"/>
          </w:cols>
          <w:pgMar w:left="1440" w:top="274" w:right="459" w:bottom="1440" w:gutter="0" w:footer="0" w:header="0"/>
        </w:sectPr>
      </w:pPr>
    </w:p>
    <w:bookmarkStart w:id="137" w:name="page138"/>
    <w:bookmarkEnd w:id="137"/>
    <w:p>
      <w:pPr>
        <w:ind w:left="1760" w:right="3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proceedings for the foreclosure of any Permitted Leasehold Mortgage, or the assignee or transferee of this Lease and of the Leasehold Estate hereby created under any instrument of assignment or transfer in lieu of the foreclosure of any Permitted Leasehold Mortgage, shall be subject to Article XXII hereof (including the requirement that such purchaser assume the performance of the terms, covenants or conditions on the part of the Tenant to be performed hereunder and meet the qualifications of Qualified Transferee or be reasonably consented to by Landlord in accordance with Section 22.2(i) hereof).</w:t>
      </w:r>
    </w:p>
    <w:p>
      <w:pPr>
        <w:spacing w:after="0" w:line="67" w:lineRule="exact"/>
        <w:rPr>
          <w:sz w:val="20"/>
          <w:szCs w:val="20"/>
          <w:color w:val="auto"/>
        </w:rPr>
      </w:pPr>
    </w:p>
    <w:p>
      <w:pPr>
        <w:ind w:left="1740" w:right="140" w:hanging="543"/>
        <w:spacing w:after="0" w:line="287" w:lineRule="auto"/>
        <w:tabs>
          <w:tab w:leader="none" w:pos="17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Permitted Leasehold Mortgagee or other acquirer of the Leasehold Estate of Tenant pursuant to foreclosure, assignment in lieu of foreclosure or other proceedings in accordance with the requirements of Section 22.2(iii) of this Lease may, upon acquiring Tenant’s Leasehold Estate, sell and assign the Leasehold Estate in accordance with the requirements of</w:t>
      </w:r>
    </w:p>
    <w:p>
      <w:pPr>
        <w:spacing w:after="0" w:line="2" w:lineRule="exact"/>
        <w:rPr>
          <w:rFonts w:ascii="Arial" w:cs="Arial" w:eastAsia="Arial" w:hAnsi="Arial"/>
          <w:sz w:val="16"/>
          <w:szCs w:val="16"/>
          <w:color w:val="auto"/>
        </w:rPr>
      </w:pPr>
    </w:p>
    <w:p>
      <w:pPr>
        <w:ind w:left="1740" w:right="120"/>
        <w:spacing w:after="0" w:line="260" w:lineRule="auto"/>
        <w:rPr>
          <w:rFonts w:ascii="Arial" w:cs="Arial" w:eastAsia="Arial" w:hAnsi="Arial"/>
          <w:sz w:val="16"/>
          <w:szCs w:val="16"/>
          <w:color w:val="auto"/>
        </w:rPr>
      </w:pPr>
      <w:r>
        <w:rPr>
          <w:rFonts w:ascii="Arial" w:cs="Arial" w:eastAsia="Arial" w:hAnsi="Arial"/>
          <w:sz w:val="18"/>
          <w:szCs w:val="18"/>
          <w:color w:val="auto"/>
        </w:rPr>
        <w:t>Section 22.2(iii) of this Lease and enter into Permitted Leasehold Mortgages in the same manner as the original Tenant, subject to the terms hereof.</w:t>
      </w:r>
    </w:p>
    <w:p>
      <w:pPr>
        <w:spacing w:after="0" w:line="90" w:lineRule="exact"/>
        <w:rPr>
          <w:rFonts w:ascii="Arial" w:cs="Arial" w:eastAsia="Arial" w:hAnsi="Arial"/>
          <w:sz w:val="16"/>
          <w:szCs w:val="16"/>
          <w:color w:val="auto"/>
        </w:rPr>
      </w:pPr>
    </w:p>
    <w:p>
      <w:pPr>
        <w:ind w:left="1740" w:right="180" w:hanging="543"/>
        <w:spacing w:after="0" w:line="293" w:lineRule="auto"/>
        <w:tabs>
          <w:tab w:leader="none" w:pos="17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Notwithstanding any other provisions of this Lease, any sale of this Lease and of the Leasehold Estate hereby created in any proceedings for the foreclosure of any Permitted Leasehold Mortgage, or the assignment or transfer of this Lease and of the Leasehold Estate hereby created in lieu of the foreclosure of any Permitted Leasehold Mortgage, shall be deemed to be a permitted sale, transfer or assignment of this Lease and of the Leasehold Estate hereby created to the extent that the successor tenant under this Lease is a Qualified Transferee and the transfer otherwise complies with the requirements of Section 22.2(iii) of this Lease or the transferee is consented to by Landlord in accordance with Section 22.2(i) hereof.</w:t>
      </w:r>
    </w:p>
    <w:p>
      <w:pPr>
        <w:spacing w:after="0" w:line="164" w:lineRule="exact"/>
        <w:rPr>
          <w:rFonts w:ascii="Arial" w:cs="Arial" w:eastAsia="Arial" w:hAnsi="Arial"/>
          <w:sz w:val="16"/>
          <w:szCs w:val="16"/>
          <w:color w:val="auto"/>
        </w:rPr>
      </w:pPr>
    </w:p>
    <w:p>
      <w:pPr>
        <w:ind w:firstLine="1979"/>
        <w:spacing w:after="0" w:line="289" w:lineRule="auto"/>
        <w:tabs>
          <w:tab w:leader="none" w:pos="2342"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New Lease</w:t>
      </w:r>
      <w:r>
        <w:rPr>
          <w:rFonts w:ascii="Arial" w:cs="Arial" w:eastAsia="Arial" w:hAnsi="Arial"/>
          <w:sz w:val="16"/>
          <w:szCs w:val="16"/>
          <w:color w:val="auto"/>
        </w:rPr>
        <w:t>. In the event of the termination of this Lease other than due to a default as to which the Permitted Leasehold Mortgagee had the opportunity (without legal impediment) to, but did not, cure the default as set forth in Sections 17.1(d) and 17.1(e) above, including pursuant to the disaffirmance or rejection of this Lease by Tenant in a bankruptcy, Landlord shall provide each Permitted Leasehold Mortgagee with written notice that this Lease has been terminated (“</w:t>
      </w:r>
      <w:r>
        <w:rPr>
          <w:rFonts w:ascii="Arial" w:cs="Arial" w:eastAsia="Arial" w:hAnsi="Arial"/>
          <w:sz w:val="16"/>
          <w:szCs w:val="16"/>
          <w:b w:val="1"/>
          <w:bCs w:val="1"/>
          <w:color w:val="auto"/>
        </w:rPr>
        <w:t>Notice of Termination</w:t>
      </w:r>
      <w:r>
        <w:rPr>
          <w:rFonts w:ascii="Arial" w:cs="Arial" w:eastAsia="Arial" w:hAnsi="Arial"/>
          <w:sz w:val="16"/>
          <w:szCs w:val="16"/>
          <w:color w:val="auto"/>
        </w:rPr>
        <w:t>”), together with a statement of all sums which would at that time be due under this Lease but for such termination, and of all other defaults, if any, then known to Landlord. Landlord agrees to enter into a new lease (“</w:t>
      </w:r>
      <w:r>
        <w:rPr>
          <w:rFonts w:ascii="Arial" w:cs="Arial" w:eastAsia="Arial" w:hAnsi="Arial"/>
          <w:sz w:val="16"/>
          <w:szCs w:val="16"/>
          <w:b w:val="1"/>
          <w:b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color w:val="auto"/>
        </w:rPr>
        <w:t>Lease</w:t>
      </w:r>
      <w:r>
        <w:rPr>
          <w:rFonts w:ascii="Arial" w:cs="Arial" w:eastAsia="Arial" w:hAnsi="Arial"/>
          <w:sz w:val="16"/>
          <w:szCs w:val="16"/>
          <w:color w:val="auto"/>
        </w:rPr>
        <w:t>”) of the Leased Property with such Permitted Leasehold Mortgagee or its Permitted Leasehold Mortgagee Designee (in each case if a Qualified</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Transferee) or any other transferee permitted to be assigned this Lease without consent of the Landlord pursuant to Section 22.2(iii)(z), for the remainder of the term of this Lease, effective as of the date of termination, at the rent and additional rent, and upon the terms, covenants and conditions (including all options to renew but excluding requirements which have already been fulfilled) of this Lease, provided:</w:t>
      </w:r>
    </w:p>
    <w:p>
      <w:pPr>
        <w:spacing w:after="0" w:line="72" w:lineRule="exact"/>
        <w:rPr>
          <w:sz w:val="20"/>
          <w:szCs w:val="20"/>
          <w:color w:val="auto"/>
        </w:rPr>
      </w:pPr>
    </w:p>
    <w:p>
      <w:pPr>
        <w:ind w:left="1740" w:right="60" w:hanging="543"/>
        <w:spacing w:after="0" w:line="286" w:lineRule="auto"/>
        <w:tabs>
          <w:tab w:leader="none" w:pos="17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Such Permitted Leasehold Mortgagee or its Permitted Leasehold Mortgagee Designee shall make a binding, written, irrevocable commitment to Landlord for such New Lease within thirty (30) days after the date such Permitted Leasehold Mortgagee receives Landlord’s Notice of Termination of this Lease given pursuant to this Section 17.1(f);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138" w:name="page139"/>
    <w:bookmarkEnd w:id="138"/>
    <w:p>
      <w:pPr>
        <w:ind w:left="1700" w:hanging="543"/>
        <w:spacing w:after="0" w:line="255" w:lineRule="auto"/>
        <w:tabs>
          <w:tab w:leader="none" w:pos="1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Permitted Leasehold Mortgagee or its Permitted Leasehold Mortgagee Designee shall pay or cause to be paid to Landlord at the time of the execution and delivery of such New Lease, any and all sums which would at the time of execution and delivery thereof be due pursuant to this Lease but for such termination and, in addition thereto, all reasonable expenses, including reasonable attorney’s fees, which Landlord shall have incurred by reason of such termination and the execution and delivery of the New Lease and which have not otherwise been received by Landlord from Tenant or other party in interest under Tenant; and</w:t>
      </w:r>
    </w:p>
    <w:p>
      <w:pPr>
        <w:spacing w:after="0" w:line="97" w:lineRule="exact"/>
        <w:rPr>
          <w:rFonts w:ascii="Arial" w:cs="Arial" w:eastAsia="Arial" w:hAnsi="Arial"/>
          <w:sz w:val="18"/>
          <w:szCs w:val="18"/>
          <w:color w:val="auto"/>
        </w:rPr>
      </w:pPr>
    </w:p>
    <w:p>
      <w:pPr>
        <w:ind w:left="1700" w:right="80" w:hanging="543"/>
        <w:spacing w:after="0" w:line="279" w:lineRule="auto"/>
        <w:tabs>
          <w:tab w:leader="none" w:pos="17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Permitted Leasehold Mortgagee or its Permitted Leasehold Mortgagee Designee.</w:t>
      </w:r>
    </w:p>
    <w:p>
      <w:pPr>
        <w:spacing w:after="0" w:line="171" w:lineRule="exact"/>
        <w:rPr>
          <w:rFonts w:ascii="Arial" w:cs="Arial" w:eastAsia="Arial" w:hAnsi="Arial"/>
          <w:sz w:val="17"/>
          <w:szCs w:val="17"/>
          <w:color w:val="auto"/>
        </w:rPr>
      </w:pPr>
    </w:p>
    <w:p>
      <w:pPr>
        <w:ind w:left="-40" w:right="80" w:firstLine="1979"/>
        <w:spacing w:after="0" w:line="290" w:lineRule="auto"/>
        <w:tabs>
          <w:tab w:leader="none" w:pos="2332"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New Lease Priorities</w:t>
      </w:r>
      <w:r>
        <w:rPr>
          <w:rFonts w:ascii="Arial" w:cs="Arial" w:eastAsia="Arial" w:hAnsi="Arial"/>
          <w:sz w:val="16"/>
          <w:szCs w:val="16"/>
          <w:color w:val="auto"/>
        </w:rPr>
        <w:t>. It is the intention of the parties that such New Lease shall continue to maintain the same priority as this Lease with regard to any Facility Mortgage or any other lien, charge or encumbrance created by the acts of Landlord on the Leased Property or any part thereof or this Lease (but Landlord shall not be deemed to make any representation or warranty to that effect). If more than one Permitted Leasehold Mortgagee shall request a New Lease pursuant to subsection (f)(i) of this Section 17.1,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spacing w:after="0" w:line="165" w:lineRule="exact"/>
        <w:rPr>
          <w:rFonts w:ascii="Arial" w:cs="Arial" w:eastAsia="Arial" w:hAnsi="Arial"/>
          <w:sz w:val="16"/>
          <w:szCs w:val="16"/>
          <w:color w:val="auto"/>
        </w:rPr>
      </w:pPr>
    </w:p>
    <w:p>
      <w:pPr>
        <w:ind w:left="-40" w:right="40" w:firstLine="1979"/>
        <w:spacing w:after="0" w:line="288" w:lineRule="auto"/>
        <w:tabs>
          <w:tab w:leader="none" w:pos="2332"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Permitted Leasehold Mortgagee Need Not Cure Specified Defaults</w:t>
      </w:r>
      <w:r>
        <w:rPr>
          <w:rFonts w:ascii="Arial" w:cs="Arial" w:eastAsia="Arial" w:hAnsi="Arial"/>
          <w:sz w:val="16"/>
          <w:szCs w:val="16"/>
          <w:color w:val="auto"/>
        </w:rPr>
        <w:t>. Nothing herein contained shall require any Permitted Leasehold Mortgagee as a condition to its exercise of the right hereunder to cure any default of Tenant not reasonably susceptible of being cured by such Permitted Leasehold Mortgagee or its Permitted Leasehold Mortgagee Designee (including but not limited to the default referred to in Section 16.1(c), (d), (e), (f) (if the levy or attachment is in favor of such Permitted Leasehold Mortgagee (provided 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or (i) (if the judgment is in favor of a Permitted Leasehold Mortgagee other than a Permitted Leasehold Mortgagee holding a Permitted Leasehold Mortgage that is senior to the lien of such Permitted Leasehold Mortgagee) and any other sections of this Lease which may impose conditions of default not susceptible to being cured by a Permitted Leasehold Mortgagee or a subsequent owner of the Leasehold Estate through foreclosure hereof), in order to comply with the provisions of Sections 17.1(d) and 17.1(e), or as a condition of entering into the New Lease provided for by Section 17.1(f).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20"/>
          </w:cols>
          <w:pgMar w:left="480" w:top="274" w:right="499" w:bottom="1440" w:gutter="0" w:footer="0" w:header="0"/>
        </w:sectPr>
      </w:pPr>
    </w:p>
    <w:bookmarkStart w:id="139" w:name="page140"/>
    <w:bookmarkEnd w:id="139"/>
    <w:p>
      <w:pPr>
        <w:ind w:left="4" w:right="20" w:firstLine="1979"/>
        <w:spacing w:after="0" w:line="255" w:lineRule="auto"/>
        <w:tabs>
          <w:tab w:leader="none" w:pos="2337"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Casualty Loss</w:t>
      </w:r>
      <w:r>
        <w:rPr>
          <w:rFonts w:ascii="Arial" w:cs="Arial" w:eastAsia="Arial" w:hAnsi="Arial"/>
          <w:sz w:val="18"/>
          <w:szCs w:val="18"/>
          <w:color w:val="auto"/>
        </w:rPr>
        <w:t>. A standard mortgagee clause naming each Permitted Leasehold Mortgagee for which notice has been properly provided to Landlord pursuant to Section 17.1(b) hereof may be added to any and all insurance policies required to be carried by Tenant hereunder on condition that the insurance proceeds are to be applied in the manner specified in this Lease and the Permitted Leasehold Mortgage shall so provide; except that the Permitted Leasehold Mortgage may provide a manner for the disposition of such proceeds, if any, otherwise payable directly to the Tenant (but not such proceeds, if any, payable jointly to the Landlord and the Tenant or to the Landlord, to the Facility Mortgagee or to a third-party escrowee) pursuant to the provisions of this Lease.</w:t>
      </w:r>
    </w:p>
    <w:p>
      <w:pPr>
        <w:spacing w:after="0" w:line="192" w:lineRule="exact"/>
        <w:rPr>
          <w:rFonts w:ascii="Arial" w:cs="Arial" w:eastAsia="Arial" w:hAnsi="Arial"/>
          <w:sz w:val="18"/>
          <w:szCs w:val="18"/>
          <w:color w:val="auto"/>
        </w:rPr>
      </w:pPr>
    </w:p>
    <w:p>
      <w:pPr>
        <w:ind w:left="4" w:right="60" w:firstLine="1979"/>
        <w:spacing w:after="0" w:line="263" w:lineRule="auto"/>
        <w:tabs>
          <w:tab w:leader="none" w:pos="2337"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Arbitration; Legal Proceedings</w:t>
      </w:r>
      <w:r>
        <w:rPr>
          <w:rFonts w:ascii="Arial" w:cs="Arial" w:eastAsia="Arial" w:hAnsi="Arial"/>
          <w:sz w:val="18"/>
          <w:szCs w:val="18"/>
          <w:color w:val="auto"/>
        </w:rPr>
        <w:t>. Landlord shall give prompt notice to each Permitted Leasehold Mortgagee (for which notice has been properly provided to Landlord pursuant to Section 17.1(b) hereof) of any arbitration or legal proceedings between Landlord and Tenant involving obligations under this Lease.</w:t>
      </w:r>
    </w:p>
    <w:p>
      <w:pPr>
        <w:spacing w:after="0" w:line="183" w:lineRule="exact"/>
        <w:rPr>
          <w:rFonts w:ascii="Arial" w:cs="Arial" w:eastAsia="Arial" w:hAnsi="Arial"/>
          <w:sz w:val="18"/>
          <w:szCs w:val="18"/>
          <w:color w:val="auto"/>
        </w:rPr>
      </w:pPr>
    </w:p>
    <w:p>
      <w:pPr>
        <w:jc w:val="both"/>
        <w:ind w:left="4" w:right="60" w:firstLine="1979"/>
        <w:spacing w:after="0" w:line="263" w:lineRule="auto"/>
        <w:tabs>
          <w:tab w:leader="none" w:pos="2376"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No Merger</w:t>
      </w:r>
      <w:r>
        <w:rPr>
          <w:rFonts w:ascii="Arial" w:cs="Arial" w:eastAsia="Arial" w:hAnsi="Arial"/>
          <w:sz w:val="18"/>
          <w:szCs w:val="18"/>
          <w:color w:val="auto"/>
        </w:rPr>
        <w:t>. The fee title to the Leased Property and the Leasehold Estate of Tenant therein created by this Lease shall not merge but shall remain separate and distinct, notwithstanding the acquisition of said fee title and said Leasehold Estate by Landlord or by Tenant or by a third party, by purchase or otherwise.</w:t>
      </w:r>
    </w:p>
    <w:p>
      <w:pPr>
        <w:spacing w:after="0" w:line="183" w:lineRule="exact"/>
        <w:rPr>
          <w:rFonts w:ascii="Arial" w:cs="Arial" w:eastAsia="Arial" w:hAnsi="Arial"/>
          <w:sz w:val="18"/>
          <w:szCs w:val="18"/>
          <w:color w:val="auto"/>
        </w:rPr>
      </w:pPr>
    </w:p>
    <w:p>
      <w:pPr>
        <w:ind w:left="4" w:right="80" w:firstLine="1979"/>
        <w:spacing w:after="0" w:line="275" w:lineRule="auto"/>
        <w:tabs>
          <w:tab w:leader="none" w:pos="2337" w:val="left"/>
        </w:tabs>
        <w:numPr>
          <w:ilvl w:val="1"/>
          <w:numId w:val="14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Notices from Landlord to the Permitted Leasehold Mortgagee for which notice has been properly provided to Landlord pursuant to Section 17.1(b) hereof shall be provided in the method provided in Section 35.1 hereof to the address or fax number furnished Landlord pursuant to subsection (b) of this Section 17.1, and those from the Permitted Leasehold Mortgagee to Landlord shall be mailed to the address designated pursuant to the provisions of Section 35.1 hereof. Such notices, demands and requests shall be given in the manner described in this Section 17.1 and in Section 35.1 and shall in all respects be governed by the provisions of those sections.</w:t>
      </w:r>
    </w:p>
    <w:p>
      <w:pPr>
        <w:spacing w:after="0" w:line="176" w:lineRule="exact"/>
        <w:rPr>
          <w:rFonts w:ascii="Arial" w:cs="Arial" w:eastAsia="Arial" w:hAnsi="Arial"/>
          <w:sz w:val="17"/>
          <w:szCs w:val="17"/>
          <w:color w:val="auto"/>
        </w:rPr>
      </w:pPr>
    </w:p>
    <w:p>
      <w:pPr>
        <w:ind w:left="2424" w:hanging="441"/>
        <w:spacing w:after="0"/>
        <w:tabs>
          <w:tab w:leader="none" w:pos="2424"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Limitation of Liability; Rights as to Collateral</w:t>
      </w:r>
      <w:r>
        <w:rPr>
          <w:rFonts w:ascii="Arial" w:cs="Arial" w:eastAsia="Arial" w:hAnsi="Arial"/>
          <w:sz w:val="18"/>
          <w:szCs w:val="18"/>
          <w:color w:val="auto"/>
        </w:rPr>
        <w:t>. Notwithstanding any other provision hereof to the contrary,</w:t>
      </w:r>
    </w:p>
    <w:p>
      <w:pPr>
        <w:spacing w:after="0" w:line="23" w:lineRule="exact"/>
        <w:rPr>
          <w:rFonts w:ascii="Arial" w:cs="Arial" w:eastAsia="Arial" w:hAnsi="Arial"/>
          <w:sz w:val="18"/>
          <w:szCs w:val="18"/>
          <w:color w:val="auto"/>
        </w:rPr>
      </w:pPr>
    </w:p>
    <w:p>
      <w:pPr>
        <w:ind w:left="4" w:hanging="4"/>
        <w:spacing w:after="0" w:line="267" w:lineRule="auto"/>
        <w:tabs>
          <w:tab w:leader="none" w:pos="21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Landlord agrees that any Permitted Leasehold Mortgagee’s liability to Landlord in its capacity as Permitted Leasehold Mortgagee hereunder howsoever arising shall be limited to and enforceable only against such Permitted Leasehold Mortgagee’s interest in the Leasehold Estate and such Permitted Leasehold Mortgagee’s interest in such other collateral granted to such Permitted Leasehold Mortgagee to secure the obligations under its Debt Agreement to the extent such other collateral is acquired by such Permitted Leasehold Mortgagee by foreclosure or in lieu of foreclosure;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necessary to satisfy the Landlord’s claim the Permitted Leasehold Mortgagee shall use diligent efforts to foreclose or acquire by a deed in lieu of such foreclosure such other collateral granted to such Permitted Leasehold Mortgagee, and (ii) each Permitted Leasehold Mortgagee agrees that (1) Landlord’s liability to such Permitted Leasehold Mortgagee hereunder howsoever arising shall be limited to and enforceable only against Landlord’s interest in the Leased Property, and no recourse against Landlord shall be had against any other assets of Landlord whatsoever; and (2) (A) the Permitted Leasehold Mortgagee does not have a lien on, and the applicable Permitted Leasehold Mortgage does not encumber, the CapEx Reserve, or the FF&amp;E Reserve Account (the “</w:t>
      </w:r>
      <w:r>
        <w:rPr>
          <w:rFonts w:ascii="Arial" w:cs="Arial" w:eastAsia="Arial" w:hAnsi="Arial"/>
          <w:sz w:val="17"/>
          <w:szCs w:val="17"/>
          <w:b w:val="1"/>
          <w:bCs w:val="1"/>
          <w:color w:val="auto"/>
        </w:rPr>
        <w:t>Permitted Leasehold Mortgage Excluded Collateral</w:t>
      </w:r>
      <w:r>
        <w:rPr>
          <w:rFonts w:ascii="Arial" w:cs="Arial" w:eastAsia="Arial" w:hAnsi="Arial"/>
          <w:sz w:val="17"/>
          <w:szCs w:val="17"/>
          <w:color w:val="auto"/>
        </w:rPr>
        <w:t>”) and (B) the Permitted Leasehold Mortgage include an express</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4"/>
          </w:cols>
          <w:pgMar w:left="436" w:top="274" w:right="51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exclusion of the Permitted Leasehold Mortgage Excluded Collateral from the assets on which liens are granted thereunder.</w:t>
      </w:r>
    </w:p>
    <w:p>
      <w:pPr>
        <w:spacing w:after="0" w:line="225" w:lineRule="exact"/>
        <w:rPr>
          <w:sz w:val="20"/>
          <w:szCs w:val="20"/>
          <w:color w:val="auto"/>
        </w:rPr>
      </w:pPr>
    </w:p>
    <w:p>
      <w:pPr>
        <w:ind w:firstLine="1979"/>
        <w:spacing w:after="0" w:line="269" w:lineRule="auto"/>
        <w:tabs>
          <w:tab w:leader="none" w:pos="2372"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Sale Procedure</w:t>
      </w:r>
      <w:r>
        <w:rPr>
          <w:rFonts w:ascii="Arial" w:cs="Arial" w:eastAsia="Arial" w:hAnsi="Arial"/>
          <w:sz w:val="17"/>
          <w:szCs w:val="17"/>
          <w:color w:val="auto"/>
        </w:rPr>
        <w:t>. If an Event of Default shall have occurred and be continuing, the Permitted Leasehold Mortgagee for which notice has been properly provided to Landlord pursuant to Section 17.1(b) hereof with the most senior lien on the Leasehold Estate shall release any security interests it may have with respect to Tenant FF&amp;E that is to be transferred to Landlord under Article XXXVI (and this Section 17.1(n) shall expressly authorize Tenant (or Landlord on Tenant’s behalf) to file any UCC-3 termination statements with respect to any such assets to be transferred to Landlord) but such Permitted Leasehold Mortgagee shall have the right to make any determinations and agreements on behalf of Tenant under Article XXXVI (including, without limitation, requesting that the sale process described in Article XXXVI be commenced, the determination and agreement of the Gaming Assets FMV, the Successor Tenant Rent, and the potential Successor Tenants that should be included in the process, and negotiation with such Successor Tenants), in each case, in accordance with and subject to the terms and provisions of Article XXXVI, including without limitation the requirement that Successor Tenant meet the qualifications of Qualified Transferee; provided, however, in no event shall the foregoing diminish the obligations of Tenant or rights of Landlord under Article XXXVI.</w:t>
      </w:r>
    </w:p>
    <w:p>
      <w:pPr>
        <w:spacing w:after="0" w:line="185" w:lineRule="exact"/>
        <w:rPr>
          <w:rFonts w:ascii="Arial" w:cs="Arial" w:eastAsia="Arial" w:hAnsi="Arial"/>
          <w:sz w:val="17"/>
          <w:szCs w:val="17"/>
          <w:color w:val="auto"/>
        </w:rPr>
      </w:pPr>
    </w:p>
    <w:p>
      <w:pPr>
        <w:ind w:right="40" w:firstLine="1979"/>
        <w:spacing w:after="0" w:line="342" w:lineRule="auto"/>
        <w:tabs>
          <w:tab w:leader="none" w:pos="2372"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Third Party Beneficiary</w:t>
      </w:r>
      <w:r>
        <w:rPr>
          <w:rFonts w:ascii="Arial" w:cs="Arial" w:eastAsia="Arial" w:hAnsi="Arial"/>
          <w:sz w:val="16"/>
          <w:szCs w:val="16"/>
          <w:color w:val="auto"/>
        </w:rPr>
        <w:t>. Each Permitted Leasehold Mortgagee (for so long as such Permitted Leasehold Mortgagee holds a Permitted Leasehold Mortgage) is an intended third-party beneficiary of this Article XVII entitled to enforce the same as if a party to this Lease.</w:t>
      </w:r>
    </w:p>
    <w:p>
      <w:pPr>
        <w:spacing w:after="0" w:line="120" w:lineRule="exact"/>
        <w:rPr>
          <w:sz w:val="20"/>
          <w:szCs w:val="20"/>
          <w:color w:val="auto"/>
        </w:rPr>
      </w:pPr>
    </w:p>
    <w:p>
      <w:pPr>
        <w:ind w:firstLine="1983"/>
        <w:spacing w:after="0" w:line="272" w:lineRule="auto"/>
        <w:rPr>
          <w:sz w:val="20"/>
          <w:szCs w:val="20"/>
          <w:color w:val="auto"/>
        </w:rPr>
      </w:pPr>
      <w:r>
        <w:rPr>
          <w:rFonts w:ascii="Arial" w:cs="Arial" w:eastAsia="Arial" w:hAnsi="Arial"/>
          <w:sz w:val="17"/>
          <w:szCs w:val="17"/>
          <w:b w:val="1"/>
          <w:bCs w:val="1"/>
          <w:color w:val="auto"/>
        </w:rPr>
        <w:t xml:space="preserve">17.2 </w:t>
      </w:r>
      <w:r>
        <w:rPr>
          <w:rFonts w:ascii="Arial" w:cs="Arial" w:eastAsia="Arial" w:hAnsi="Arial"/>
          <w:sz w:val="17"/>
          <w:szCs w:val="17"/>
          <w:b w:val="1"/>
          <w:bCs w:val="1"/>
          <w:u w:val="single" w:color="auto"/>
          <w:color w:val="auto"/>
        </w:rPr>
        <w:t>Landlord’s Right to Cure Tenant’s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If Tenant shall fail to make any payment or to perform any act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be made or performed hereunder when due or within any cure period provided for herein, Landlord, without waiving or releasing any obligation or default, may, but shall be under no obligation to, upon prior written notice to Tenant specifying the default to be cured and that it is curing such default under this </w:t>
      </w:r>
      <w:r>
        <w:rPr>
          <w:rFonts w:ascii="Arial" w:cs="Arial" w:eastAsia="Arial" w:hAnsi="Arial"/>
          <w:sz w:val="17"/>
          <w:szCs w:val="17"/>
          <w:b w:val="1"/>
          <w:bCs w:val="1"/>
          <w:color w:val="auto"/>
        </w:rPr>
        <w:t>Section 17.2</w:t>
      </w:r>
      <w:r>
        <w:rPr>
          <w:rFonts w:ascii="Arial" w:cs="Arial" w:eastAsia="Arial" w:hAnsi="Arial"/>
          <w:sz w:val="17"/>
          <w:szCs w:val="17"/>
          <w:color w:val="auto"/>
        </w:rPr>
        <w:t>, make such payment or perform such act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 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spacing w:after="0" w:line="172" w:lineRule="exact"/>
        <w:rPr>
          <w:sz w:val="20"/>
          <w:szCs w:val="20"/>
          <w:color w:val="auto"/>
        </w:rPr>
      </w:pPr>
    </w:p>
    <w:p>
      <w:pPr>
        <w:ind w:right="20" w:firstLine="1983"/>
        <w:spacing w:after="0" w:line="292" w:lineRule="auto"/>
        <w:rPr>
          <w:sz w:val="20"/>
          <w:szCs w:val="20"/>
          <w:color w:val="auto"/>
        </w:rPr>
      </w:pPr>
      <w:r>
        <w:rPr>
          <w:rFonts w:ascii="Arial" w:cs="Arial" w:eastAsia="Arial" w:hAnsi="Arial"/>
          <w:sz w:val="16"/>
          <w:szCs w:val="16"/>
          <w:b w:val="1"/>
          <w:bCs w:val="1"/>
          <w:color w:val="auto"/>
        </w:rPr>
        <w:t xml:space="preserve">17.3 </w:t>
      </w:r>
      <w:r>
        <w:rPr>
          <w:rFonts w:ascii="Arial" w:cs="Arial" w:eastAsia="Arial" w:hAnsi="Arial"/>
          <w:sz w:val="16"/>
          <w:szCs w:val="16"/>
          <w:b w:val="1"/>
          <w:bCs w:val="1"/>
          <w:u w:val="single" w:color="auto"/>
          <w:color w:val="auto"/>
        </w:rPr>
        <w:t>Landlord’s Right to Cure Debt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agrees to use commercially reasonable efforts to include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related to Material Indebtedness and any Debt Agreement (or the principal or controlling agreement relating to such Material Indebtedness or series of related Debt Agreements) obtained by or entered into by Tenant after the Commencement Date a provision requiring the lender or lenders thereunder (or the Representatives of such lenders) to provide a copy to Landlord of any notices issued by such lender or lenders thereunder or the Representative of such lenders to Tenant of a Specified Debt Agreement Default. In addition, Tenant agrees to use commercially reasonable efforts to include in any such agreement related to Material Indebtedness and any Debt Agreement (or the principal or controlling agreement relating to such Material Indebtedness or series of related Debt Agreements) a provision with the effect that should Tenant shall fail to make any payment or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141" w:name="page142"/>
    <w:bookmarkEnd w:id="141"/>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perform any act required to be made or performed under an agreement related to Material Indebtedness or under the Debt Agreement when due or within any cure period provided for therein (if any), Landlord may, subject to applicable Gaming Regulations and the terms hereof, upon prior written notice to Tenant specifying the default and that it is curing such default under this Section 17.3, cure any such default by making such payment to the applicable lenders or Representative or otherwise performing such acts within the cure period thereunder (if any) for the account of Tenant, to the extent such default is susceptible to cure by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Landlord’s right to cure such default shall not be any greater than the rights of the obligors under such Material Indebtedness or Debt Agreement to cure such default. Landlord and Tenant agree that all sums so paid by Landlord and all costs and expenses, including reasonable attorneys’ fees and expenses, so incurred, together with interest thereon at the Overdue Rate from the date on which such sums or expenses are paid or incurred by Landlord, shall be for the account of Tenant and paid by Tenant to Landlord on demand.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XVIII</w:t>
      </w:r>
    </w:p>
    <w:p>
      <w:pPr>
        <w:spacing w:after="0" w:line="117" w:lineRule="exact"/>
        <w:rPr>
          <w:sz w:val="20"/>
          <w:szCs w:val="20"/>
          <w:color w:val="auto"/>
        </w:rPr>
      </w:pPr>
    </w:p>
    <w:p>
      <w:pPr>
        <w:ind w:firstLine="1983"/>
        <w:spacing w:after="0" w:line="286" w:lineRule="auto"/>
        <w:rPr>
          <w:sz w:val="20"/>
          <w:szCs w:val="20"/>
          <w:color w:val="auto"/>
        </w:rPr>
      </w:pPr>
      <w:r>
        <w:rPr>
          <w:rFonts w:ascii="Arial" w:cs="Arial" w:eastAsia="Arial" w:hAnsi="Arial"/>
          <w:sz w:val="16"/>
          <w:szCs w:val="16"/>
          <w:b w:val="1"/>
          <w:bCs w:val="1"/>
          <w:color w:val="auto"/>
        </w:rPr>
        <w:t xml:space="preserve">18.1 </w:t>
      </w:r>
      <w:r>
        <w:rPr>
          <w:rFonts w:ascii="Arial" w:cs="Arial" w:eastAsia="Arial" w:hAnsi="Arial"/>
          <w:sz w:val="16"/>
          <w:szCs w:val="16"/>
          <w:b w:val="1"/>
          <w:bCs w:val="1"/>
          <w:u w:val="single" w:color="auto"/>
          <w:color w:val="auto"/>
        </w:rPr>
        <w:t>Sale of the Leased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18.1</w:t>
      </w:r>
      <w:r>
        <w:rPr>
          <w:rFonts w:ascii="Arial" w:cs="Arial" w:eastAsia="Arial" w:hAnsi="Arial"/>
          <w:sz w:val="16"/>
          <w:szCs w:val="16"/>
          <w:color w:val="auto"/>
        </w:rPr>
        <w:t>, Landlord shall not be limited or restricted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manner whatsoever from selling or transferring all or any portion of the Leased Property; provided, Landlord shall not directly or indirectly sell or otherwise transfer all or any portion of the Leased Property during the Term (and shall not permit any Affiliate to so sell or otherwise transfer) (i) on or before a Wynn Tenant Transfer, to a Tenant Competitor without the prior written consent of Tenant, which consent may be given or withheld in Tenant’s sole discretion or (ii) if such sale or other transfer shall violate or otherwise reduce the benefits provided to Tenant under the PILOT and Community Documents. Except as provided in this </w:t>
      </w:r>
      <w:r>
        <w:rPr>
          <w:rFonts w:ascii="Arial" w:cs="Arial" w:eastAsia="Arial" w:hAnsi="Arial"/>
          <w:sz w:val="16"/>
          <w:szCs w:val="16"/>
          <w:u w:val="single" w:color="auto"/>
          <w:color w:val="auto"/>
        </w:rPr>
        <w:t>Section 18.1</w:t>
      </w:r>
      <w:r>
        <w:rPr>
          <w:rFonts w:ascii="Arial" w:cs="Arial" w:eastAsia="Arial" w:hAnsi="Arial"/>
          <w:sz w:val="16"/>
          <w:szCs w:val="16"/>
          <w:color w:val="auto"/>
        </w:rPr>
        <w:t xml:space="preserve">, transfers of interests, directly or indirectly, in Landlord shall not be limited or restricted in any manner whatsoever. In connection with any sale or other transfer by Landlord of the Leased Property as permitted herein, Landlord shall be subject in each instance to all of the rights of Tenant under this Lease, and Landlord’s successor or purchaser and/or other controlling persons must comply with all applicable Gaming Regulations with respect to such sale or transfer to ensure that there is not reasonably likely to be any material impact on the validity of any of the Gaming Licenses or the ability of Tenant to continue to use the Facility for gaming activities in substantially the same manner as immediately prior to Landlord’s sale or other transfer. Upon any transfer or conveyance permitted under this </w:t>
      </w:r>
      <w:r>
        <w:rPr>
          <w:rFonts w:ascii="Arial" w:cs="Arial" w:eastAsia="Arial" w:hAnsi="Arial"/>
          <w:sz w:val="16"/>
          <w:szCs w:val="16"/>
          <w:u w:val="single" w:color="auto"/>
          <w:color w:val="auto"/>
        </w:rPr>
        <w:t>Section 18.1</w:t>
      </w:r>
      <w:r>
        <w:rPr>
          <w:rFonts w:ascii="Arial" w:cs="Arial" w:eastAsia="Arial" w:hAnsi="Arial"/>
          <w:sz w:val="16"/>
          <w:szCs w:val="16"/>
          <w:color w:val="auto"/>
        </w:rPr>
        <w:t>, at Landlord’s reasonable request, Tenant shall cooperate with Landlord to modify any specific references in this Lease to Landlord’s direct or indirect owners (e.g., “Landlords’ Parent”) which would no longer be accurate following such transfer and substitute therein references to the appropriate direct or indirect owners of the transferee with any such modifications to be approved by Landlord and Tenant, each in its reasonable discretion.</w:t>
      </w:r>
    </w:p>
    <w:p>
      <w:pPr>
        <w:spacing w:after="0" w:line="171" w:lineRule="exact"/>
        <w:rPr>
          <w:sz w:val="20"/>
          <w:szCs w:val="20"/>
          <w:color w:val="auto"/>
        </w:rPr>
      </w:pPr>
    </w:p>
    <w:p>
      <w:pPr>
        <w:ind w:right="20" w:firstLine="1983"/>
        <w:spacing w:after="0" w:line="258"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b w:val="1"/>
          <w:bCs w:val="1"/>
          <w:u w:val="single" w:color="auto"/>
          <w:color w:val="auto"/>
        </w:rPr>
        <w:t>Tenant ROFO</w:t>
      </w:r>
      <w:r>
        <w:rPr>
          <w:rFonts w:ascii="Arial" w:cs="Arial" w:eastAsia="Arial" w:hAnsi="Arial"/>
          <w:sz w:val="18"/>
          <w:szCs w:val="18"/>
          <w:b w:val="1"/>
          <w:bCs w:val="1"/>
          <w:color w:val="auto"/>
        </w:rPr>
        <w:t xml:space="preserve">. </w:t>
      </w:r>
      <w:r>
        <w:rPr>
          <w:rFonts w:ascii="Arial" w:cs="Arial" w:eastAsia="Arial" w:hAnsi="Arial"/>
          <w:sz w:val="18"/>
          <w:szCs w:val="18"/>
          <w:color w:val="auto"/>
        </w:rPr>
        <w:t>In advance of Landlord marketing for sale Landlord’s fee interest in all of the Leased Property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transaction or a series of related transactions, Landlord shall provide written notice (the “</w:t>
      </w:r>
      <w:r>
        <w:rPr>
          <w:rFonts w:ascii="Arial" w:cs="Arial" w:eastAsia="Arial" w:hAnsi="Arial"/>
          <w:sz w:val="18"/>
          <w:szCs w:val="18"/>
          <w:b w:val="1"/>
          <w:bCs w:val="1"/>
          <w:color w:val="auto"/>
        </w:rPr>
        <w:t>Landlord ROFO Notice</w:t>
      </w:r>
      <w:r>
        <w:rPr>
          <w:rFonts w:ascii="Arial" w:cs="Arial" w:eastAsia="Arial" w:hAnsi="Arial"/>
          <w:sz w:val="18"/>
          <w:szCs w:val="18"/>
          <w:color w:val="auto"/>
        </w:rPr>
        <w:t>”) of Landlord’s intent to do so, and such notice shall include the general price and terms Landlord is willing to accept for the sale of such property. Within fifteen (15) Business Days after Tenant receives the Landlord ROFO Notice, Tenant shall notify Landlord in writing (the “</w:t>
      </w:r>
      <w:r>
        <w:rPr>
          <w:rFonts w:ascii="Arial" w:cs="Arial" w:eastAsia="Arial" w:hAnsi="Arial"/>
          <w:sz w:val="18"/>
          <w:szCs w:val="18"/>
          <w:b w:val="1"/>
          <w:bCs w:val="1"/>
          <w:color w:val="auto"/>
        </w:rPr>
        <w:t>Tenant ROFO Acceptance</w:t>
      </w:r>
      <w:r>
        <w:rPr>
          <w:rFonts w:ascii="Arial" w:cs="Arial" w:eastAsia="Arial" w:hAnsi="Arial"/>
          <w:sz w:val="18"/>
          <w:szCs w:val="18"/>
          <w:color w:val="auto"/>
        </w:rPr>
        <w:t>”) as to whether or not Tenant desires to exercise its right of first offer with respect to such sale (the “</w:t>
      </w:r>
      <w:r>
        <w:rPr>
          <w:rFonts w:ascii="Arial" w:cs="Arial" w:eastAsia="Arial" w:hAnsi="Arial"/>
          <w:sz w:val="18"/>
          <w:szCs w:val="18"/>
          <w:b w:val="1"/>
          <w:bCs w:val="1"/>
          <w:color w:val="auto"/>
        </w:rPr>
        <w:t>Tenant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142" w:name="page143"/>
    <w:bookmarkEnd w:id="142"/>
    <w:p>
      <w:pPr>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ROFO</w:t>
      </w:r>
      <w:r>
        <w:rPr>
          <w:rFonts w:ascii="Arial" w:cs="Arial" w:eastAsia="Arial" w:hAnsi="Arial"/>
          <w:sz w:val="16"/>
          <w:szCs w:val="16"/>
          <w:color w:val="auto"/>
        </w:rPr>
        <w:t>”) (it being understood that if Tenant fails to deliver such Tenant ROFO Acceptance within such fifteen (15) Business Day period, the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ROFO shall terminate with respect to such sale of the Leased Property). Upon Landlord’s receipt of the Tenant ROFO Acceptance, Landlord and Tenant shall have a period of forty-five (45) days to negotiate in good faith a definitive purchase and sale agreement for the Leased Property. If Landlord and Tenant are not able to reach agreement during such forty five (45) day period on the terms of a purchase and sale agreement, then Landlord shall be free to market the Leased Property for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Landlord intends to enter into a contract on terms materially more favorable than those offered in the Landlord ROFO Notice, then (i) the Tenant ROFO shall be reinstated, (ii) Landlord shall be required to deliver written notice to Tenant setting forth such more favorable terms and (iii) Tenant shall then have thirty (30) days to finalize and execute a definitive purchase and sale agreement for the Leased Property with Landlord (each of Tenant and Landlord agree to negotiate such documentation in good faith) on such more favorable terms (but if such purchase agreement is not finalized and executed within such thirty (30) day period, the Tenant ROFO shall be terminated). As used herein “terms materially more favorable” shall mean a total consideration of less than ninety-five percent (95%) of the consideration at which such sale or other transfer was offered to Tenant in the Landlord ROFO Notice. If Landlord has not consummated a sale of the Leased Property in accordance with this Section 18.2 within one hundred eighty (180) days after Tenant has failed to timely provide a Tenant ROFO Acceptance or the parties have failed to enter into a purchase and sale agreement within the applicable period described above, as applicable, then the provisions of this Section 18.2 must again be complied with in respect of any proposed transaction; provided that, if Landlord has not consummated a sale of the Leased Property in accordance with this Section 18.2 within such one hundred eighty (180) day period solely as a result of the failure to obtain all licenses, qualifications or approvals that are necessary to consummate such sale from all necessary governmental authorities, then such one hundred eighty (180) day period shall be extended by and additional ninety (90) days, provided Landlord is exercising commercially reasonable efforts to obtain the same. This Section 18.2 shall apply to any transfer of the direct or indirect equity interests in Landlord that would have the effect of, and the primary purpose of which is, an indirect transfer of all or substantially all of the Leased Property,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XIX</w:t>
      </w:r>
    </w:p>
    <w:p>
      <w:pPr>
        <w:spacing w:after="0" w:line="117" w:lineRule="exact"/>
        <w:rPr>
          <w:sz w:val="20"/>
          <w:szCs w:val="20"/>
          <w:color w:val="auto"/>
        </w:rPr>
      </w:pPr>
    </w:p>
    <w:p>
      <w:pPr>
        <w:ind w:right="20" w:firstLine="1983"/>
        <w:spacing w:after="0" w:line="271" w:lineRule="auto"/>
        <w:rPr>
          <w:sz w:val="20"/>
          <w:szCs w:val="20"/>
          <w:color w:val="auto"/>
        </w:rPr>
      </w:pPr>
      <w:r>
        <w:rPr>
          <w:rFonts w:ascii="Arial" w:cs="Arial" w:eastAsia="Arial" w:hAnsi="Arial"/>
          <w:sz w:val="17"/>
          <w:szCs w:val="17"/>
          <w:b w:val="1"/>
          <w:bCs w:val="1"/>
          <w:color w:val="auto"/>
        </w:rPr>
        <w:t xml:space="preserve">19.1 </w:t>
      </w:r>
      <w:r>
        <w:rPr>
          <w:rFonts w:ascii="Arial" w:cs="Arial" w:eastAsia="Arial" w:hAnsi="Arial"/>
          <w:sz w:val="17"/>
          <w:szCs w:val="17"/>
          <w:b w:val="1"/>
          <w:bCs w:val="1"/>
          <w:u w:val="single" w:color="auto"/>
          <w:color w:val="auto"/>
        </w:rPr>
        <w:t>Holding Over</w:t>
      </w:r>
      <w:r>
        <w:rPr>
          <w:rFonts w:ascii="Arial" w:cs="Arial" w:eastAsia="Arial" w:hAnsi="Arial"/>
          <w:sz w:val="17"/>
          <w:szCs w:val="17"/>
          <w:b w:val="1"/>
          <w:bCs w:val="1"/>
          <w:color w:val="auto"/>
        </w:rPr>
        <w:t xml:space="preserve">. </w:t>
      </w:r>
      <w:r>
        <w:rPr>
          <w:rFonts w:ascii="Arial" w:cs="Arial" w:eastAsia="Arial" w:hAnsi="Arial"/>
          <w:sz w:val="17"/>
          <w:szCs w:val="17"/>
          <w:color w:val="auto"/>
        </w:rPr>
        <w:t>If Tenant shall for any reason remain in possession of all or any part of the Leased Property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Facility after the expiration or earlier termination of the Term without the consent, or other than at the request, of Landlord, such possession shall be as a month-to-month tenant during which time Tenant shall pay as the Rent each month the monthly Rent applicable to the prior Lease Year for the Facility multiplied by (A) 150% for the first three months of such holdover and (B) 200% for any succeeding months of such holdover, together with all Additional Charges and all other sums payable by Tenant pursuant to this Lease. During such period of month-to-month tenancy, Tenant shall be obligated to perform and observe all of the terms, covenants and conditions of this Lease, but shall have no rights hereunder other than the right, to the extent given by law to month-to-month tenancies, to continue its occupancy and use of the Leased Property of, and/or any Tenant Capital Improvements to, the Facility. Nothing contained herein shall constitute the consent, express or implied, of Landlord to the holding over of Tenant after the expiration or earlier termination of this Lease.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0" w:right="459" w:bottom="1440" w:gutter="0" w:footer="0" w:header="0"/>
        </w:sectPr>
      </w:pPr>
    </w:p>
    <w:bookmarkStart w:id="143" w:name="page144"/>
    <w:bookmarkEnd w:id="14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XX</w:t>
      </w:r>
    </w:p>
    <w:p>
      <w:pPr>
        <w:spacing w:after="0" w:line="117" w:lineRule="exact"/>
        <w:rPr>
          <w:sz w:val="20"/>
          <w:szCs w:val="20"/>
          <w:color w:val="auto"/>
        </w:rPr>
      </w:pPr>
    </w:p>
    <w:p>
      <w:pPr>
        <w:ind w:left="4" w:right="180" w:firstLine="1983"/>
        <w:spacing w:after="0" w:line="281" w:lineRule="auto"/>
        <w:rPr>
          <w:sz w:val="20"/>
          <w:szCs w:val="20"/>
          <w:color w:val="auto"/>
        </w:rPr>
      </w:pPr>
      <w:r>
        <w:rPr>
          <w:rFonts w:ascii="Arial" w:cs="Arial" w:eastAsia="Arial" w:hAnsi="Arial"/>
          <w:sz w:val="17"/>
          <w:szCs w:val="17"/>
          <w:b w:val="1"/>
          <w:bCs w:val="1"/>
          <w:color w:val="auto"/>
        </w:rPr>
        <w:t xml:space="preserve">20.1 </w:t>
      </w:r>
      <w:r>
        <w:rPr>
          <w:rFonts w:ascii="Arial" w:cs="Arial" w:eastAsia="Arial" w:hAnsi="Arial"/>
          <w:sz w:val="17"/>
          <w:szCs w:val="17"/>
          <w:b w:val="1"/>
          <w:bCs w:val="1"/>
          <w:u w:val="single" w:color="auto"/>
          <w:color w:val="auto"/>
        </w:rPr>
        <w:t>Risk of Loss</w:t>
      </w:r>
      <w:r>
        <w:rPr>
          <w:rFonts w:ascii="Arial" w:cs="Arial" w:eastAsia="Arial" w:hAnsi="Arial"/>
          <w:sz w:val="17"/>
          <w:szCs w:val="17"/>
          <w:b w:val="1"/>
          <w:bCs w:val="1"/>
          <w:color w:val="auto"/>
        </w:rPr>
        <w:t xml:space="preserve">. </w:t>
      </w:r>
      <w:r>
        <w:rPr>
          <w:rFonts w:ascii="Arial" w:cs="Arial" w:eastAsia="Arial" w:hAnsi="Arial"/>
          <w:sz w:val="17"/>
          <w:szCs w:val="17"/>
          <w:color w:val="auto"/>
        </w:rPr>
        <w:t>The risk of loss or of decrease in the enjoyment and beneficial use of the Leased Property as a</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Rent.ARTICLE XXI</w:t>
      </w:r>
    </w:p>
    <w:p>
      <w:pPr>
        <w:spacing w:after="0" w:line="165" w:lineRule="exact"/>
        <w:rPr>
          <w:sz w:val="20"/>
          <w:szCs w:val="20"/>
          <w:color w:val="auto"/>
        </w:rPr>
      </w:pPr>
    </w:p>
    <w:p>
      <w:pPr>
        <w:ind w:left="4" w:firstLine="1983"/>
        <w:spacing w:after="0" w:line="283" w:lineRule="auto"/>
        <w:rPr>
          <w:sz w:val="20"/>
          <w:szCs w:val="20"/>
          <w:color w:val="auto"/>
        </w:rPr>
      </w:pPr>
      <w:r>
        <w:rPr>
          <w:rFonts w:ascii="Arial" w:cs="Arial" w:eastAsia="Arial" w:hAnsi="Arial"/>
          <w:sz w:val="16"/>
          <w:szCs w:val="16"/>
          <w:b w:val="1"/>
          <w:bCs w:val="1"/>
          <w:color w:val="auto"/>
        </w:rPr>
        <w:t xml:space="preserve">21.1 </w:t>
      </w:r>
      <w:r>
        <w:rPr>
          <w:rFonts w:ascii="Arial" w:cs="Arial" w:eastAsia="Arial" w:hAnsi="Arial"/>
          <w:sz w:val="16"/>
          <w:szCs w:val="16"/>
          <w:b w:val="1"/>
          <w:bCs w:val="1"/>
          <w:u w:val="single" w:color="auto"/>
          <w:color w:val="auto"/>
        </w:rPr>
        <w:t>General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the other indemnities contained herein, and notwithstanding the existence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insurance carried by or for the benefit of Landlord or Tenant, and without regard to the policy limits of any such insurance, Tenant shall protect, indemnify, save harmless and defend Landlord and its principals, partners, officers, members, directors, shareholders, employees, managers and agents (collectively, the “</w:t>
      </w:r>
      <w:r>
        <w:rPr>
          <w:rFonts w:ascii="Arial" w:cs="Arial" w:eastAsia="Arial" w:hAnsi="Arial"/>
          <w:sz w:val="16"/>
          <w:szCs w:val="16"/>
          <w:b w:val="1"/>
          <w:bCs w:val="1"/>
          <w:color w:val="auto"/>
        </w:rPr>
        <w:t>Landlord Indemnified Parties</w:t>
      </w:r>
      <w:r>
        <w:rPr>
          <w:rFonts w:ascii="Arial" w:cs="Arial" w:eastAsia="Arial" w:hAnsi="Arial"/>
          <w:sz w:val="16"/>
          <w:szCs w:val="16"/>
          <w:color w:val="auto"/>
        </w:rPr>
        <w:t>”), from and against all liabilities, obligations, claims, damages, penalties, causes of action, costs and expenses, including reasonable attorneys’, consultants’ and experts’ fees and expenses, imposed upon or incurred by or asserted against a Landlord Indemnified Party by reason of: (i) except to the extent caused solely as a result of such Landlord Indemnified Party’s gross negligence or willful misconduct, any accident, injury to or death of Persons or loss of or damage to property occurring on or about the Leased Property or adjoining sidewalks under the control of Tenant; (ii) any use, misuse, non-use, condition, maintenance or repair by Tenant of the Leased Property; (iii) any failure on the part of Tenant to perform or comply with any of the terms of this Lease; (iv) the non-performance of any of the terms and provisions of any Property Document that Tenant is required to perform pursuant to this Lease and all existing and future subleases or management agreements of the Leased Property to be performed by any party thereunder; (v) any claim for malpractice, negligence or misconduct committed by any Person on or working from the Leased Property; and (vi) the violation by Tenant of any Legal Requirement or Insurance Requirement, including all Gaming Regulations and any other payment or other obligations Tenant has with the Gaming Authorities; (vii) the non-performance of any contractual obligation, express or implied, assumed or undertaken by Tenant with respect to the Facility (or any part thereof) or any business or other activity carried on in relation to the Facility (or any part thereof) by Tenant, including contractual obligations arising from any collective bargaining agreement;</w:t>
      </w:r>
    </w:p>
    <w:p>
      <w:pPr>
        <w:spacing w:after="0" w:line="4" w:lineRule="exact"/>
        <w:rPr>
          <w:sz w:val="20"/>
          <w:szCs w:val="20"/>
          <w:color w:val="auto"/>
        </w:rPr>
      </w:pPr>
    </w:p>
    <w:p>
      <w:pPr>
        <w:ind w:left="4" w:right="80" w:hanging="4"/>
        <w:spacing w:after="0" w:line="281" w:lineRule="auto"/>
        <w:tabs>
          <w:tab w:leader="none" w:pos="40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any lien or claim that may be asserted against the Facility (or any part thereof) arising from the acts or omissions of Tenant, including without limitation liens (A) being contested by Tenant pursuant to </w:t>
      </w:r>
      <w:r>
        <w:rPr>
          <w:rFonts w:ascii="Arial" w:cs="Arial" w:eastAsia="Arial" w:hAnsi="Arial"/>
          <w:sz w:val="16"/>
          <w:szCs w:val="16"/>
          <w:b w:val="1"/>
          <w:bCs w:val="1"/>
          <w:color w:val="auto"/>
        </w:rPr>
        <w:t>Article XII</w:t>
      </w:r>
      <w:r>
        <w:rPr>
          <w:rFonts w:ascii="Arial" w:cs="Arial" w:eastAsia="Arial" w:hAnsi="Arial"/>
          <w:sz w:val="16"/>
          <w:szCs w:val="16"/>
          <w:color w:val="auto"/>
        </w:rPr>
        <w:t xml:space="preserve"> or (B) arising out of any failure by Tenant to perform its obligations hereunder or under any instrument or agreement affecting the Facility (or any part thereof); (ix) any litigation brought against Tenant, the Leased Property, or a Landlord Indemnified Party in connection with Leased Property for any reason other than such Landlord Indemnified Party’s gross negligence, and</w:t>
      </w:r>
    </w:p>
    <w:p>
      <w:pPr>
        <w:spacing w:after="0" w:line="2" w:lineRule="exact"/>
        <w:rPr>
          <w:rFonts w:ascii="Arial" w:cs="Arial" w:eastAsia="Arial" w:hAnsi="Arial"/>
          <w:sz w:val="16"/>
          <w:szCs w:val="16"/>
          <w:color w:val="auto"/>
        </w:rPr>
      </w:pPr>
    </w:p>
    <w:p>
      <w:pPr>
        <w:ind w:left="4" w:right="20" w:hanging="4"/>
        <w:spacing w:after="0" w:line="253" w:lineRule="auto"/>
        <w:tabs>
          <w:tab w:leader="none" w:pos="25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arising under any collective bargaining agreements affecting the Leased Property or the employees of Tenant, including all amounts of withdrawal liability, in each case, whether incurred prior to, at, or following the Commencement Date. Any amounts which become payable by Tenant under this Article XXI shall be paid within ten (10) days after liability therefor is determined by a final non-appealable judgment or settlement or other agreement of the parties, and if not timely paid shall bear interest at the Overdue Rate from the date of such determination to the date of payment. Tenant, at its sole cost and expense, shall contest, resist and</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0" w:right="459" w:bottom="1440" w:gutter="0" w:footer="0" w:header="0"/>
        </w:sectPr>
      </w:pPr>
    </w:p>
    <w:bookmarkStart w:id="144" w:name="page145"/>
    <w:bookmarkEnd w:id="144"/>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defend any such claim, action or proceeding asserted or instituted against a Landlord Indemnified Party. For purposes of this Article XXI, any acts or omissions of Tenant, or by employees, agents, assignees, contractors, subcontractors or others acting for or on behalf of Tenant (whether or not they are negligent, intentional, willful or unlawful), shall be strictly attributable to Tenant.</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XXII</w:t>
      </w:r>
    </w:p>
    <w:p>
      <w:pPr>
        <w:spacing w:after="0" w:line="117" w:lineRule="exact"/>
        <w:rPr>
          <w:sz w:val="20"/>
          <w:szCs w:val="20"/>
          <w:color w:val="auto"/>
        </w:rPr>
      </w:pPr>
    </w:p>
    <w:p>
      <w:pPr>
        <w:ind w:left="4" w:firstLine="1983"/>
        <w:spacing w:after="0" w:line="255"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b w:val="1"/>
          <w:bCs w:val="1"/>
          <w:u w:val="single" w:color="auto"/>
          <w:color w:val="auto"/>
        </w:rPr>
        <w:t>Subletting and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specifically set forth herein, Tenant shall not, without Landlord’s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which, except as specifically set forth herein, may be withheld in Landlord’s sole and absolute discretion, voluntarily or by operation of law assign (which term includes any transfer, sale, encumbering, pledge or other transfer or hypothecation and undergoing any Change in Control but excludes any subletting) this Lease. Except as specifically set forth herein, Tenant shall not, without Landlord’s prior written consent, which consent shall not be unreasonably withheld, conditioned or delayed, voluntarily or by operation of law sublet all or any part of the Leased Property of the Facility. Any Change in Control shall constitute an assignment of Tenant’s interest in this Lease within the meaning of this Article XXII and the provisions requiring consent contained herein shall apply.</w:t>
      </w:r>
    </w:p>
    <w:p>
      <w:pPr>
        <w:spacing w:after="0" w:line="189"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u w:val="single" w:color="auto"/>
          <w:color w:val="auto"/>
        </w:rPr>
        <w:t>Permitted Assignments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Notwithstanding the foregoing, Tenant may:</w:t>
      </w:r>
    </w:p>
    <w:p>
      <w:pPr>
        <w:spacing w:after="0" w:line="229" w:lineRule="exact"/>
        <w:rPr>
          <w:sz w:val="20"/>
          <w:szCs w:val="20"/>
          <w:color w:val="auto"/>
        </w:rPr>
      </w:pPr>
    </w:p>
    <w:p>
      <w:pPr>
        <w:jc w:val="both"/>
        <w:ind w:left="4" w:right="40" w:firstLine="1979"/>
        <w:spacing w:after="0" w:line="301" w:lineRule="auto"/>
        <w:tabs>
          <w:tab w:leader="none" w:pos="2337" w:val="left"/>
        </w:tabs>
        <w:numPr>
          <w:ilvl w:val="2"/>
          <w:numId w:val="151"/>
        </w:numPr>
        <w:rPr>
          <w:rFonts w:ascii="Arial" w:cs="Arial" w:eastAsia="Arial" w:hAnsi="Arial"/>
          <w:sz w:val="16"/>
          <w:szCs w:val="16"/>
          <w:color w:val="auto"/>
        </w:rPr>
      </w:pPr>
      <w:r>
        <w:rPr>
          <w:rFonts w:ascii="Arial" w:cs="Arial" w:eastAsia="Arial" w:hAnsi="Arial"/>
          <w:sz w:val="16"/>
          <w:szCs w:val="16"/>
          <w:color w:val="auto"/>
        </w:rPr>
        <w:t xml:space="preserve">with Landlord’s prior written consent, which consent shall not be unreasonably withheld, conditioned or delayed, allow to occur or undergo a Change in Control (including without limitation a transfer or assignment of this Lease to any third party in conjunction with a sale by Tenant of all or substantially all of Tenant’s assets relating to the Facility); </w:t>
      </w:r>
      <w:r>
        <w:rPr>
          <w:rFonts w:ascii="Arial" w:cs="Arial" w:eastAsia="Arial" w:hAnsi="Arial"/>
          <w:sz w:val="16"/>
          <w:szCs w:val="16"/>
          <w:u w:val="single" w:color="auto"/>
          <w:color w:val="auto"/>
        </w:rPr>
        <w:t>provided however</w:t>
      </w:r>
      <w:r>
        <w:rPr>
          <w:rFonts w:ascii="Arial" w:cs="Arial" w:eastAsia="Arial" w:hAnsi="Arial"/>
          <w:sz w:val="16"/>
          <w:szCs w:val="16"/>
          <w:color w:val="auto"/>
        </w:rPr>
        <w:t>, it shall be reasonable for Landlord to withhold its consent in connection with any transfer where such transferee does not satisfy each of the requirements of a Qualified Transferee hereunder;</w:t>
      </w:r>
    </w:p>
    <w:p>
      <w:pPr>
        <w:spacing w:after="0" w:line="157" w:lineRule="exact"/>
        <w:rPr>
          <w:rFonts w:ascii="Arial" w:cs="Arial" w:eastAsia="Arial" w:hAnsi="Arial"/>
          <w:sz w:val="16"/>
          <w:szCs w:val="16"/>
          <w:color w:val="auto"/>
        </w:rPr>
      </w:pPr>
    </w:p>
    <w:p>
      <w:pPr>
        <w:ind w:left="4" w:right="200" w:firstLine="1979"/>
        <w:spacing w:after="0" w:line="287" w:lineRule="auto"/>
        <w:tabs>
          <w:tab w:leader="none" w:pos="2387" w:val="left"/>
        </w:tabs>
        <w:numPr>
          <w:ilvl w:val="2"/>
          <w:numId w:val="151"/>
        </w:numPr>
        <w:rPr>
          <w:rFonts w:ascii="Arial" w:cs="Arial" w:eastAsia="Arial" w:hAnsi="Arial"/>
          <w:sz w:val="16"/>
          <w:szCs w:val="16"/>
          <w:color w:val="auto"/>
        </w:rPr>
      </w:pPr>
      <w:r>
        <w:rPr>
          <w:rFonts w:ascii="Arial" w:cs="Arial" w:eastAsia="Arial" w:hAnsi="Arial"/>
          <w:sz w:val="16"/>
          <w:szCs w:val="16"/>
          <w:color w:val="auto"/>
        </w:rPr>
        <w:t>without Landlord’s prior written consent, assign this Lease or sublease the Leased Property to Tenant’s Parent, a wholly-owned Subsidiary of Tenant’s Parent or a wholly-owned Subsidiary of Tenant if all of the following are first satisfied: (w) such Affiliate becomes an additional party to the Guaranty as a Guarantor and in the case of an assignment of this Lease, becomes party to and bound by this Lease;</w:t>
      </w:r>
    </w:p>
    <w:p>
      <w:pPr>
        <w:spacing w:after="0" w:line="2" w:lineRule="exact"/>
        <w:rPr>
          <w:rFonts w:ascii="Arial" w:cs="Arial" w:eastAsia="Arial" w:hAnsi="Arial"/>
          <w:sz w:val="16"/>
          <w:szCs w:val="16"/>
          <w:color w:val="auto"/>
        </w:rPr>
      </w:pPr>
    </w:p>
    <w:p>
      <w:pPr>
        <w:ind w:left="4" w:right="120" w:hanging="4"/>
        <w:spacing w:after="0" w:line="255" w:lineRule="auto"/>
        <w:tabs>
          <w:tab w:leader="none" w:pos="25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Tenant remains fully liable hereunder; (y) the use of the Leased Property continues to comply with the requirements of this Lease; and (z) Landlord in its reasonable discretion shall have approved the form and content of all documents for such assignment or sublease and received an executed counterpart thereof;</w:t>
      </w:r>
    </w:p>
    <w:p>
      <w:pPr>
        <w:spacing w:after="0" w:line="189" w:lineRule="exact"/>
        <w:rPr>
          <w:rFonts w:ascii="Arial" w:cs="Arial" w:eastAsia="Arial" w:hAnsi="Arial"/>
          <w:sz w:val="18"/>
          <w:szCs w:val="18"/>
          <w:color w:val="auto"/>
        </w:rPr>
      </w:pPr>
    </w:p>
    <w:p>
      <w:pPr>
        <w:ind w:left="2424" w:hanging="441"/>
        <w:spacing w:after="0"/>
        <w:tabs>
          <w:tab w:leader="none" w:pos="2424" w:val="left"/>
        </w:tabs>
        <w:numPr>
          <w:ilvl w:val="2"/>
          <w:numId w:val="152"/>
        </w:numPr>
        <w:rPr>
          <w:rFonts w:ascii="Arial" w:cs="Arial" w:eastAsia="Arial" w:hAnsi="Arial"/>
          <w:sz w:val="18"/>
          <w:szCs w:val="18"/>
          <w:color w:val="auto"/>
        </w:rPr>
      </w:pPr>
      <w:r>
        <w:rPr>
          <w:rFonts w:ascii="Arial" w:cs="Arial" w:eastAsia="Arial" w:hAnsi="Arial"/>
          <w:sz w:val="18"/>
          <w:szCs w:val="18"/>
          <w:color w:val="auto"/>
        </w:rPr>
        <w:t>without Landlord’s prior written consent:</w:t>
      </w:r>
    </w:p>
    <w:p>
      <w:pPr>
        <w:spacing w:after="0" w:line="117" w:lineRule="exact"/>
        <w:rPr>
          <w:rFonts w:ascii="Arial" w:cs="Arial" w:eastAsia="Arial" w:hAnsi="Arial"/>
          <w:sz w:val="18"/>
          <w:szCs w:val="18"/>
          <w:color w:val="auto"/>
        </w:rPr>
      </w:pPr>
    </w:p>
    <w:p>
      <w:pPr>
        <w:ind w:left="1424" w:right="180" w:firstLine="391"/>
        <w:spacing w:after="0" w:line="255" w:lineRule="auto"/>
        <w:tabs>
          <w:tab w:leader="none" w:pos="210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undergo a Change in Control of the type referred to in clause (i) of the definition of Change in Control (such Change in Control, a “</w:t>
      </w:r>
      <w:r>
        <w:rPr>
          <w:rFonts w:ascii="Arial" w:cs="Arial" w:eastAsia="Arial" w:hAnsi="Arial"/>
          <w:sz w:val="18"/>
          <w:szCs w:val="18"/>
          <w:b w:val="1"/>
          <w:bCs w:val="1"/>
          <w:color w:val="auto"/>
        </w:rPr>
        <w:t>Tenant Parent COC</w:t>
      </w:r>
      <w:r>
        <w:rPr>
          <w:rFonts w:ascii="Arial" w:cs="Arial" w:eastAsia="Arial" w:hAnsi="Arial"/>
          <w:sz w:val="18"/>
          <w:szCs w:val="18"/>
          <w:color w:val="auto"/>
        </w:rPr>
        <w:t>”) if (1) a Person acquiring such beneficial ownership or control is a Qualified Transferee, (2) the Parent Company of such Qualified Transferee, if any, has become a Guarantor and provided a Guaranty on terms substantially similar to the Guaranty or otherwise reasonably satisfactory to Landlord or, if such Qualified Transferee does not have a Parent Company, such Qualified Transferee has become a Guarantor and provided a Guaranty on terms substantially similar to the Guaranty</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4"/>
          </w:cols>
          <w:pgMar w:left="436" w:top="274" w:right="479" w:bottom="1440" w:gutter="0" w:footer="0" w:header="0"/>
        </w:sectPr>
      </w:pPr>
    </w:p>
    <w:bookmarkStart w:id="145" w:name="page146"/>
    <w:bookmarkEnd w:id="145"/>
    <w:p>
      <w:pPr>
        <w:ind w:left="420"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otherwise reasonably satisfactory to Landlord and (3) Tenant remains obligated under the Lease and the Guaranty remains in effect except with respect to any release of Tenant’s Parent permitted thereunder;</w:t>
      </w:r>
    </w:p>
    <w:p>
      <w:pPr>
        <w:spacing w:after="0" w:line="62" w:lineRule="exact"/>
        <w:rPr>
          <w:sz w:val="20"/>
          <w:szCs w:val="20"/>
          <w:color w:val="auto"/>
        </w:rPr>
      </w:pPr>
    </w:p>
    <w:p>
      <w:pPr>
        <w:ind w:left="420" w:firstLine="391"/>
        <w:spacing w:after="0" w:line="269" w:lineRule="auto"/>
        <w:tabs>
          <w:tab w:leader="none" w:pos="105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undergo a Change in Control whereby a Person acquires beneficial ownership and control of 100% of the Equity Interests in Tenant in connection with a Change in Control that does not constitute a Tenant Parent COC or a Foreclosure COC (such Change in Control, a “</w:t>
      </w:r>
      <w:r>
        <w:rPr>
          <w:rFonts w:ascii="Arial" w:cs="Arial" w:eastAsia="Arial" w:hAnsi="Arial"/>
          <w:sz w:val="17"/>
          <w:szCs w:val="17"/>
          <w:b w:val="1"/>
          <w:bCs w:val="1"/>
          <w:color w:val="auto"/>
        </w:rPr>
        <w:t>Tenant COC</w:t>
      </w:r>
      <w:r>
        <w:rPr>
          <w:rFonts w:ascii="Arial" w:cs="Arial" w:eastAsia="Arial" w:hAnsi="Arial"/>
          <w:sz w:val="17"/>
          <w:szCs w:val="17"/>
          <w:color w:val="auto"/>
        </w:rPr>
        <w:t>”) if (1) such Person is a Qualified Transferee, (2) the Parent Company of such Qualified Transferee, if any, has become a Guarantor and provided a Guaranty on terms substantially similar to the Guaranty or otherwise reasonably satisfactory to Landlord or, if such Qualified Transferee does not have a Parent Company, such Qualified Transferee has become a Guarantor and provided a Guaranty on terms substantially similar to the Guaranty or otherwise reasonably satisfactory to Landlord, (3) the EBITDAR to Rent Ratio with respect to the Facility (determined at the proposed effective time of the Change in Control) for the then most recently preceding four (4) fiscal quarters for which financial statements are available is at least 1.40:1 and (4) Tenant remains obligated under the Lease and the Guaranty remains in effect except with respect to any release of Tenant’s Parent permitted thereunder;</w:t>
      </w:r>
    </w:p>
    <w:p>
      <w:pPr>
        <w:spacing w:after="0" w:line="77" w:lineRule="exact"/>
        <w:rPr>
          <w:rFonts w:ascii="Arial" w:cs="Arial" w:eastAsia="Arial" w:hAnsi="Arial"/>
          <w:sz w:val="17"/>
          <w:szCs w:val="17"/>
          <w:color w:val="auto"/>
        </w:rPr>
      </w:pPr>
    </w:p>
    <w:p>
      <w:pPr>
        <w:ind w:left="420" w:right="100" w:firstLine="391"/>
        <w:spacing w:after="0" w:line="289" w:lineRule="auto"/>
        <w:tabs>
          <w:tab w:leader="none" w:pos="105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assign this Lease to any Person in an assignment that does not constitute a Foreclosure Assignment if (1) such Person is a Qualified Transferee, (2) such Qualified Transferee agrees in writing to assume the obligations of the Tenant under this Lease without amendment or modification other than as provided below, (3) the Parent Company of such Qualified Transferee, if any, has become a Guarantor and provided a Guaranty on terms substantially similar to the Guaranty or otherwise reasonably satisfactory to Landlord or, if such Qualified Transferee does not have a Parent Company, such Qualified Transferee has become a Guarantor and provided a Guaranty on terms substantially similar to the Guaranty or otherwise reasonably satisfactory to Landlord, (4) the EBITDAR to Rent Ratio with respect to the Facility (determined at the proposed effective time of the assignment) for the then most recently preceding four (4) fiscal quarters for which financial statements are available is at least 1.40:1 and (5) the form and content of all documents for such assignment and assumption are customary and Landlord has received executed counterparts thereof; or</w:t>
      </w:r>
    </w:p>
    <w:p>
      <w:pPr>
        <w:spacing w:after="0" w:line="58" w:lineRule="exact"/>
        <w:rPr>
          <w:rFonts w:ascii="Arial" w:cs="Arial" w:eastAsia="Arial" w:hAnsi="Arial"/>
          <w:sz w:val="16"/>
          <w:szCs w:val="16"/>
          <w:color w:val="auto"/>
        </w:rPr>
      </w:pPr>
    </w:p>
    <w:p>
      <w:pPr>
        <w:ind w:left="420" w:right="60" w:firstLine="391"/>
        <w:spacing w:after="0" w:line="272" w:lineRule="auto"/>
        <w:tabs>
          <w:tab w:leader="none" w:pos="118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 assign this Lease by way of foreclosure of the Leasehold Estate or an assignment-in-lieu of foreclosure to any Person or an assignment (by sale or through a plan of reorganization) pursuant to any applicable bankruptcy or insolvency law to any Person, (any such assignment, a “</w:t>
      </w:r>
      <w:r>
        <w:rPr>
          <w:rFonts w:ascii="Arial" w:cs="Arial" w:eastAsia="Arial" w:hAnsi="Arial"/>
          <w:sz w:val="17"/>
          <w:szCs w:val="17"/>
          <w:b w:val="1"/>
          <w:bCs w:val="1"/>
          <w:color w:val="auto"/>
        </w:rPr>
        <w:t>Foreclosure Assignment</w:t>
      </w:r>
      <w:r>
        <w:rPr>
          <w:rFonts w:ascii="Arial" w:cs="Arial" w:eastAsia="Arial" w:hAnsi="Arial"/>
          <w:sz w:val="17"/>
          <w:szCs w:val="17"/>
          <w:color w:val="auto"/>
        </w:rPr>
        <w:t>”) or (ii) undergo a Change in Control whereby a Person acquires beneficial ownership and control of 100% of the Equity Interests in Tenant as a result of the purchase at a foreclosure on a permitted pledge of, or an assignment (by sale or through a plan of reorganization) pursuant to any applicable bankruptcy or insolvency law to any Person of, the Equity Interests in Tenant or an assignment in lieu of such foreclosure (a “</w:t>
      </w:r>
      <w:r>
        <w:rPr>
          <w:rFonts w:ascii="Arial" w:cs="Arial" w:eastAsia="Arial" w:hAnsi="Arial"/>
          <w:sz w:val="17"/>
          <w:szCs w:val="17"/>
          <w:b w:val="1"/>
          <w:bCs w:val="1"/>
          <w:color w:val="auto"/>
        </w:rPr>
        <w:t>Foreclosure COC</w:t>
      </w:r>
      <w:r>
        <w:rPr>
          <w:rFonts w:ascii="Arial" w:cs="Arial" w:eastAsia="Arial" w:hAnsi="Arial"/>
          <w:sz w:val="17"/>
          <w:szCs w:val="17"/>
          <w:color w:val="auto"/>
        </w:rPr>
        <w:t>”) or (iii) effect the first subsequent sale or assignment of the Leasehold Estate or Change in Control after a Foreclosure</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020"/>
          </w:cols>
          <w:pgMar w:left="1440" w:top="274" w:right="439" w:bottom="1440" w:gutter="0" w:footer="0" w:header="0"/>
        </w:sectPr>
      </w:pPr>
    </w:p>
    <w:bookmarkStart w:id="146" w:name="page147"/>
    <w:bookmarkEnd w:id="146"/>
    <w:p>
      <w:pPr>
        <w:ind w:left="142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or a Foreclosure COC whereby a Person so acquires the Leasehold Estate or beneficial ownership and control of 100% of the Equity Interests in Tenant or the Person who acquired the Leasehold Estate in connection with the Foreclosure Assignment, in each case, effected by a Permitted Leasehold Mortgagee or a Permitted Leasehold Mortgagee Foreclosing Party, to the extent such Permitted Leasehold Mortgagee or Permitted Leasehold Mortgagee Designee has been diligently attempting to expedite such first subsequent sale from the time it has initiated foreclosure proceedings taking into account the interest of such Permitted Leasehold Mortgagee or Permitted Leasehold Mortgagee Designee in maximizing the proceeds of such disposition if (1) in connection with all assignments referenced in clauses (i) through (iii) above other than a Change in Control, such Person must satisfy each of the requirements of a Qualified Transferee, (2) in the case of any Foreclosure Assignment, if such Qualified Transferee is not a Permitted Leasehold Mortgagee Designee such Qualified Transferee agrees in writing to assume the obligations of the Tenant under this Lease without amendment or modification other than as provided below (which written assumption, in the case of a Permitted Leasehold Mortgagee Foreclosing Party, may be made by a Subsidiary of a Permitted Leasehold Mortgagee or a Permitted Leasehold Mortgagee Designee), (3) if such Qualified Transferee is not a Permitted Leasehold Mortgagee Foreclosing Party, the Parent Company of such Qualified Transferee, if any, has become a Guarantor and provided a Guaranty on terms substantially similar to the Guaranty or otherwise reasonably satisfactory to Landlord or, if such Qualified Transferee does not have a Parent Company, such Qualified Transferee has become a Guarantor and provided a Guaranty on terms substantially similar to the Guaranty or otherwise reasonably satisfactory to Landlord, (4) in the case of an assignment, the form and content of all documents for such assignment and assumption are customary and Landlord has received executed counterparts thereof and (5) in the case of a Change in Control, Tenant remains obligated under the Lease and the Guaranty remains in effect except with respect to any release of Tenant’s Parent permitted thereunder; and</w:t>
      </w:r>
    </w:p>
    <w:p>
      <w:pPr>
        <w:spacing w:after="0" w:line="169" w:lineRule="exact"/>
        <w:rPr>
          <w:sz w:val="20"/>
          <w:szCs w:val="20"/>
          <w:color w:val="auto"/>
        </w:rPr>
      </w:pPr>
    </w:p>
    <w:p>
      <w:pPr>
        <w:ind w:firstLine="1979"/>
        <w:spacing w:after="0" w:line="277" w:lineRule="auto"/>
        <w:tabs>
          <w:tab w:leader="none" w:pos="24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without Landlord’s prior written consent, pledge or mortgage its Leasehold Estate to a Permitted Leasehold Mortgagee and permit a pledge of the equity interests in Tenant to be pledged to a Permitted Leasehold Mortgagee.</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Upon the effectiveness of any Change in Control or assignment permitted pursuant to this Section 22.2, such Qualified Transferee (and, if applicable, its Parent Company) and Landlord shall make such amendments and other modifications to this Lease as are reasonably requested by either party to give effect to such Change in Control or assignment and such technical amendments as may be necessary or appropriate in the reasonable opinion of such requesting party in connection with such Change in Control or assignment including, without limitation, changes to the definition of Change in Control to substitute the Parent Company (or, if the Qualified Transferee does not have a Parent Company, the Qualified Transferee) for Tenant’s Parent therein and in the provisions of this Lease regarding delivery of financial statements and other reporting requirements with respect to Tenant’s Parent. After giving effect to any such Change in Control or assignment, unless the context otherwise requires, references to Tenant and Tenant’s Parent hereunder shall be deemed to refer to the Qualified Transferee or its Parent Company, as applicable.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147" w:name="page148"/>
    <w:bookmarkEnd w:id="147"/>
    <w:p>
      <w:pPr>
        <w:ind w:left="4" w:firstLine="1983"/>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22.3 </w:t>
      </w:r>
      <w:r>
        <w:rPr>
          <w:rFonts w:ascii="Arial" w:cs="Arial" w:eastAsia="Arial" w:hAnsi="Arial"/>
          <w:sz w:val="16"/>
          <w:szCs w:val="16"/>
          <w:b w:val="1"/>
          <w:bCs w:val="1"/>
          <w:u w:val="single" w:color="auto"/>
          <w:color w:val="auto"/>
        </w:rPr>
        <w:t>Permitted Sublease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provisions of Section 22.1, but subject to compliance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provisions of this Section 22.3 and of Section 40.1, (a) provided that no Event of Default shall have occurred and be continuing, Tenant shall be permitted to sublease gaming operations to a wholly-owned Subsidiary that becomes a Guarantor by executing the Guaranty in form and substance reasonably satisfactory to Landlord, (b) the Specified Subleases shall be permitted without any further consent from Landlord, and (c) Tenant may enter into any sublease agreement (including any management agreement or similar agreements with sports betting and/or online gaming operators) with respect to a portion (including any portion used for sports betting and/or online gaming operations) of the Facility without the prior written consent of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case of all sublease agreements under clause (c) of this Section 22.3, (i) such sublease agreements are made in furtherance of the Primary Intended Use and are, in Tenant’s reasonable good faith determination, consistent with Tenant’s Operating Standard; (ii) such sublease complies with the requirements of </w:t>
      </w:r>
      <w:r>
        <w:rPr>
          <w:rFonts w:ascii="Arial" w:cs="Arial" w:eastAsia="Arial" w:hAnsi="Arial"/>
          <w:sz w:val="16"/>
          <w:szCs w:val="16"/>
          <w:b w:val="1"/>
          <w:bCs w:val="1"/>
          <w:color w:val="auto"/>
        </w:rPr>
        <w:t>Section 22.4</w:t>
      </w:r>
      <w:r>
        <w:rPr>
          <w:rFonts w:ascii="Arial" w:cs="Arial" w:eastAsia="Arial" w:hAnsi="Arial"/>
          <w:sz w:val="16"/>
          <w:szCs w:val="16"/>
          <w:color w:val="auto"/>
        </w:rPr>
        <w:t xml:space="preserve"> hereof, (iii) no such sublease agreement shall result in a material violation of any Legal Requirements and (iv) any sublease agreement with respect to gaming operations (other than sports betting, online gaming and hotel operations) or any sublease agreement to a Person and/or its Affiliates of substantially all of the Facility shall, in each case, be subject to the prior written consent of Landlord (in its sole discretion). After an Event of Default has occurred and while it is continuing, Landlord may collect rents from any subtenant and apply the net amount collected to the Rent, but no such collection shall be deemed (i) a waiver by Landlord of any of the provisions of this Lease,</w:t>
      </w:r>
    </w:p>
    <w:p>
      <w:pPr>
        <w:spacing w:after="0" w:line="6" w:lineRule="exact"/>
        <w:rPr>
          <w:sz w:val="20"/>
          <w:szCs w:val="20"/>
          <w:color w:val="auto"/>
        </w:rPr>
      </w:pPr>
    </w:p>
    <w:p>
      <w:pPr>
        <w:ind w:left="4" w:right="160" w:hanging="4"/>
        <w:spacing w:after="0" w:line="253" w:lineRule="auto"/>
        <w:tabs>
          <w:tab w:leader="none" w:pos="26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acceptance by Landlord of such subtenant as a tenant or (iii) a release of Tenant from the future performance of its obligations hereunder. If reasonably requested by Tenant in connection with a sublease permitted under clause (c) above, Landlord and such sublessee shall enter into a subordination, non-disturbance and attornment agreement with respect to such sublease in a form reasonably satisfactory to Landlord (and if a Facility Mortgage is then in effect, Landlord shall use reasonable efforts to cause the Facility Mortgagee to enter into such subordination, nondisturbance and attornment agreement).</w:t>
      </w:r>
    </w:p>
    <w:p>
      <w:pPr>
        <w:spacing w:after="0" w:line="190" w:lineRule="exact"/>
        <w:rPr>
          <w:rFonts w:ascii="Arial" w:cs="Arial" w:eastAsia="Arial" w:hAnsi="Arial"/>
          <w:sz w:val="18"/>
          <w:szCs w:val="18"/>
          <w:color w:val="auto"/>
        </w:rPr>
      </w:pPr>
    </w:p>
    <w:p>
      <w:pPr>
        <w:ind w:left="4" w:right="100" w:firstLine="1979"/>
        <w:spacing w:after="0" w:line="259" w:lineRule="auto"/>
        <w:tabs>
          <w:tab w:leader="none" w:pos="220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After an Event of Default under Section 16.1(a) has occurred and while it is continuing, Landlord may collect rents from any subtenant and apply the net amount collected to the Rent, but no such collection shall be deemed (i) a waiver by Landlord of any of the provisions of this Lease, (ii) the acceptance by Landlord of such subtenant as a tenant or (iii) a release of Tenant from the future performance of its obligations hereunder.</w:t>
      </w:r>
    </w:p>
    <w:p>
      <w:pPr>
        <w:spacing w:after="0" w:line="183" w:lineRule="exact"/>
        <w:rPr>
          <w:sz w:val="20"/>
          <w:szCs w:val="20"/>
          <w:color w:val="auto"/>
        </w:rPr>
      </w:pPr>
    </w:p>
    <w:p>
      <w:pPr>
        <w:ind w:left="4" w:right="80" w:firstLine="1983"/>
        <w:spacing w:after="0" w:line="266" w:lineRule="auto"/>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b w:val="1"/>
          <w:bCs w:val="1"/>
          <w:u w:val="single" w:color="auto"/>
          <w:color w:val="auto"/>
        </w:rPr>
        <w:t>Required Assignment and Subletting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Any assignment and/or sublease (excluding a Specified Sublease</w:t>
      </w:r>
      <w:r>
        <w:rPr>
          <w:rFonts w:ascii="Arial" w:cs="Arial" w:eastAsia="Arial" w:hAnsi="Arial"/>
          <w:sz w:val="18"/>
          <w:szCs w:val="18"/>
          <w:b w:val="1"/>
          <w:bCs w:val="1"/>
          <w:color w:val="auto"/>
        </w:rPr>
        <w:t xml:space="preserve"> </w:t>
      </w:r>
      <w:r>
        <w:rPr>
          <w:rFonts w:ascii="Arial" w:cs="Arial" w:eastAsia="Arial" w:hAnsi="Arial"/>
          <w:sz w:val="18"/>
          <w:szCs w:val="18"/>
          <w:color w:val="auto"/>
        </w:rPr>
        <w:t>until such Specified Sublease is amended or modified, in which case such amendment or modification shall incorporate the requirements of Section 22.4) must provide that:</w:t>
      </w:r>
    </w:p>
    <w:p>
      <w:pPr>
        <w:spacing w:after="0" w:line="180" w:lineRule="exact"/>
        <w:rPr>
          <w:sz w:val="20"/>
          <w:szCs w:val="20"/>
          <w:color w:val="auto"/>
        </w:rPr>
      </w:pPr>
    </w:p>
    <w:p>
      <w:pPr>
        <w:ind w:left="2324" w:hanging="341"/>
        <w:spacing w:after="0"/>
        <w:tabs>
          <w:tab w:leader="none" w:pos="23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case of a sublease, it shall be subject and subordinate to all of the terms and conditions of this Lease;</w:t>
      </w:r>
    </w:p>
    <w:p>
      <w:pPr>
        <w:spacing w:after="0" w:line="225" w:lineRule="exact"/>
        <w:rPr>
          <w:rFonts w:ascii="Arial" w:cs="Arial" w:eastAsia="Arial" w:hAnsi="Arial"/>
          <w:sz w:val="18"/>
          <w:szCs w:val="18"/>
          <w:color w:val="auto"/>
        </w:rPr>
      </w:pPr>
    </w:p>
    <w:p>
      <w:pPr>
        <w:ind w:left="4" w:right="120" w:firstLine="1979"/>
        <w:spacing w:after="0" w:line="263" w:lineRule="auto"/>
        <w:tabs>
          <w:tab w:leader="none" w:pos="238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use of the Facility (or portion thereof) shall not conflict with any Legal Requirement or any other provision of this Lease, including the restrictions in </w:t>
      </w:r>
      <w:r>
        <w:rPr>
          <w:rFonts w:ascii="Arial" w:cs="Arial" w:eastAsia="Arial" w:hAnsi="Arial"/>
          <w:sz w:val="18"/>
          <w:szCs w:val="18"/>
          <w:b w:val="1"/>
          <w:bCs w:val="1"/>
          <w:color w:val="auto"/>
        </w:rPr>
        <w:t>Section 40.1</w:t>
      </w:r>
      <w:r>
        <w:rPr>
          <w:rFonts w:ascii="Arial" w:cs="Arial" w:eastAsia="Arial" w:hAnsi="Arial"/>
          <w:sz w:val="18"/>
          <w:szCs w:val="18"/>
          <w:color w:val="auto"/>
        </w:rPr>
        <w:t>, and any restrictions on Tenant’s activities at the Facility shall also similarly apply to any sublessee’s activities at the Facility;</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4"/>
          </w:cols>
          <w:pgMar w:left="436" w:top="270" w:right="479" w:bottom="1440" w:gutter="0" w:footer="0" w:header="0"/>
        </w:sectPr>
      </w:pPr>
    </w:p>
    <w:bookmarkStart w:id="148" w:name="page149"/>
    <w:bookmarkEnd w:id="148"/>
    <w:p>
      <w:pPr>
        <w:jc w:val="both"/>
        <w:ind w:left="4" w:right="40" w:firstLine="1979"/>
        <w:spacing w:after="0" w:line="259" w:lineRule="auto"/>
        <w:tabs>
          <w:tab w:leader="none" w:pos="24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provided herein, no subtenant or assignee shall be permitted to further sublet all or any part of the applicable Leased Property or assign its sublease except to a party that is not an Affiliate of Tenant and insofar as the same would be permitted if it were a sublease by Tenant under this Lease (it being understood that any subtenant under Section 22.3(a) may pledge and mortgage its subleasehold estate (or allow the pledge of its equity interests) to a Permitted Leasehold Mortgagee);</w:t>
      </w:r>
    </w:p>
    <w:p>
      <w:pPr>
        <w:spacing w:after="0" w:line="186" w:lineRule="exact"/>
        <w:rPr>
          <w:rFonts w:ascii="Arial" w:cs="Arial" w:eastAsia="Arial" w:hAnsi="Arial"/>
          <w:sz w:val="18"/>
          <w:szCs w:val="18"/>
          <w:color w:val="auto"/>
        </w:rPr>
      </w:pPr>
    </w:p>
    <w:p>
      <w:pPr>
        <w:ind w:left="4" w:right="20" w:firstLine="1979"/>
        <w:spacing w:after="0" w:line="272" w:lineRule="auto"/>
        <w:tabs>
          <w:tab w:leader="none" w:pos="242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the case of a sublease, in the event of cancellation or termination of this Lease for any reason whatsoever or of the surrender of this Lease (whether voluntary, involuntary or by operation of law) prior to the expiration date of such sublease, including extensions and renewals granted thereunder, then, subject to Article XXXVI, at Landlord’s option, the subtenant shall make full and complete attornment to Landlord for the balance of the term of the sublease, which attornment shall be evidenced by an agreement in form and substance satisfactory to Landlord and which the subtenant shall execute and deliver within five (5)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Lease; and</w:t>
      </w:r>
    </w:p>
    <w:p>
      <w:pPr>
        <w:spacing w:after="0" w:line="177" w:lineRule="exact"/>
        <w:rPr>
          <w:rFonts w:ascii="Arial" w:cs="Arial" w:eastAsia="Arial" w:hAnsi="Arial"/>
          <w:sz w:val="17"/>
          <w:szCs w:val="17"/>
          <w:color w:val="auto"/>
        </w:rPr>
      </w:pPr>
    </w:p>
    <w:p>
      <w:pPr>
        <w:ind w:left="4" w:right="120" w:firstLine="1979"/>
        <w:spacing w:after="0" w:line="259" w:lineRule="auto"/>
        <w:tabs>
          <w:tab w:leader="none" w:pos="237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event the subtenant receives a written notice from Landlord stating that this Lease has been cancelled, surrendered or terminated, then, subject to Article XXXVI, the subtenant shall thereafter be obligated to pay all rentals accruing under said sublease directly to Landlord (or as Landlord shall so direct); all rentals received from the subtenant by Landlord shall be credited against the amounts owing by Tenant under this Lease.</w:t>
      </w:r>
    </w:p>
    <w:p>
      <w:pPr>
        <w:spacing w:after="0" w:line="183" w:lineRule="exact"/>
        <w:rPr>
          <w:sz w:val="20"/>
          <w:szCs w:val="20"/>
          <w:color w:val="auto"/>
        </w:rPr>
      </w:pPr>
    </w:p>
    <w:p>
      <w:pPr>
        <w:ind w:left="4" w:right="180" w:firstLine="1983"/>
        <w:spacing w:after="0" w:line="261"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b w:val="1"/>
          <w:bCs w:val="1"/>
          <w:u w:val="single" w:color="auto"/>
          <w:color w:val="auto"/>
        </w:rPr>
        <w:t>Costs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reimburse Landlord for Landlord’s reasonable costs and expenses incurred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in conjunction with the processing and documentation of any assignment, subletting or management arrangement, including reasonable attorneys’, architects’, engineers’ or other consultants’ fees whether or not such sublease, assignment or management agreement is actually consummated.</w:t>
      </w:r>
    </w:p>
    <w:p>
      <w:pPr>
        <w:spacing w:after="0" w:line="180"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u w:val="single" w:color="auto"/>
          <w:color w:val="auto"/>
        </w:rPr>
        <w:t>No Release of Tenant’s Obligations; Exception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No assignment (other than a permitted transfer pursuant to</w:t>
      </w:r>
    </w:p>
    <w:p>
      <w:pPr>
        <w:spacing w:after="0" w:line="27" w:lineRule="exact"/>
        <w:rPr>
          <w:sz w:val="20"/>
          <w:szCs w:val="20"/>
          <w:color w:val="auto"/>
        </w:rPr>
      </w:pPr>
    </w:p>
    <w:p>
      <w:pPr>
        <w:ind w:left="4" w:hanging="4"/>
        <w:spacing w:after="0" w:line="287" w:lineRule="auto"/>
        <w:tabs>
          <w:tab w:leader="none" w:pos="21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Section 22.2(i), (ii) Section 22.2(iii)(y) or (iii) if such permitted transfer is to a Qualified Transferee, Section 22.2(iii)(z)(i) or Section 22.2(iii)(z)(iii)), subletting or management agreement shall relieve Tenant of its obligation to pay the Rent and to perform all of the other obligations to be performed by Tenant hereunder. The liability of Tenant and any immediate and remote successor in interest of Tenant (by assignment or otherwise), and the due performance of the obligations of this Lease on Tenant’s part to be performed or observed, shall not in any way be discharged, released or impaired by any (i) stipulation which extends the time within which an obligation under this Lease is to be performed, (ii) waiver of the performance of an obligation required under this Lease that is not entered into for the benefit of Tenant or such successor, or (iii) failure to enforce any of the obligations set forth in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 shall not be responsible for any additional obligations or liability arising as the result of any modification or amendment of this Lease by Landlord and any assignee of Tenant that is not an Affiliate of Tenant.</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4"/>
          </w:cols>
          <w:pgMar w:left="436" w:top="274" w:right="459" w:bottom="1440" w:gutter="0" w:footer="0" w:header="0"/>
        </w:sectPr>
      </w:pPr>
    </w:p>
    <w:bookmarkStart w:id="149" w:name="page150"/>
    <w:bookmarkEnd w:id="149"/>
    <w:p>
      <w:pPr>
        <w:jc w:val="right"/>
        <w:ind w:righ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XXIII</w:t>
      </w:r>
    </w:p>
    <w:p>
      <w:pPr>
        <w:spacing w:after="0" w:line="117" w:lineRule="exact"/>
        <w:rPr>
          <w:sz w:val="20"/>
          <w:szCs w:val="20"/>
          <w:color w:val="auto"/>
        </w:rPr>
      </w:pPr>
    </w:p>
    <w:p>
      <w:pPr>
        <w:jc w:val="right"/>
        <w:ind w:right="4840"/>
        <w:spacing w:after="0"/>
        <w:tabs>
          <w:tab w:leader="none" w:pos="84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u w:val="single" w:color="auto"/>
          <w:color w:val="auto"/>
        </w:rPr>
        <w:t>Officer’s Certificates and Financial Statements</w:t>
      </w:r>
      <w:r>
        <w:rPr>
          <w:rFonts w:ascii="Arial" w:cs="Arial" w:eastAsia="Arial" w:hAnsi="Arial"/>
          <w:sz w:val="16"/>
          <w:szCs w:val="16"/>
          <w:b w:val="1"/>
          <w:bCs w:val="1"/>
          <w:color w:val="auto"/>
        </w:rPr>
        <w:t>.</w:t>
      </w:r>
    </w:p>
    <w:p>
      <w:pPr>
        <w:spacing w:after="0" w:line="229" w:lineRule="exact"/>
        <w:rPr>
          <w:sz w:val="20"/>
          <w:szCs w:val="20"/>
          <w:color w:val="auto"/>
        </w:rPr>
      </w:pPr>
    </w:p>
    <w:p>
      <w:pPr>
        <w:ind w:left="4" w:firstLine="1979"/>
        <w:spacing w:after="0" w:line="283" w:lineRule="auto"/>
        <w:tabs>
          <w:tab w:leader="none" w:pos="2366" w:val="left"/>
        </w:tabs>
        <w:numPr>
          <w:ilvl w:val="2"/>
          <w:numId w:val="159"/>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Each of Landlord and Tenant shall, at any time and from time to time upon receipt of not less than ten (10) Business Days’ prior written request from the other party hereto, furnish an Officer’s Certificate certifying (i) that this Lease is unmodified and in full force and effect, or that this Lease is in full force and effect as modified and setting forth the modifications; (ii) the Rent and Additional Charges payable hereunder and the dates to which the Rent and Additional Charges payable have been paid; (iii) that the address for notices to be sent to the party furnishing such Officer’s Certificate is as set forth in this Lease (or, if such address for notices has changed, the correct address for notices to such party); (iv) whether or not, to its actual knowledge, such party or the other party hereto is in default in the performance of any covenant, agreement or condition contained in this Lease (together with back-up calculation and information reasonably necessary to support such determination) and, if so, specifying each such default of which such party may have knowledge; (v) that Tenant is in possession of the Leased Property (other than portions that are subleased or assigned to third parties in accordance with this Lease); and (vi) responses to such other questions or statements of fact as such other party, any ground or underlying landlord, any purchaser or any current or prospective Facility Mortgagee or Permitted Leasehold Mortgagee shall reasonably request. Landlord’s or Tenant’s failure to deliver such statement within such time shall constitute an acknowledgement by such failing party that, to such party’s knowledge, (x) this Lease is unmodified and in full force and effect except as may be represented to the contrary by the other party;</w:t>
      </w:r>
    </w:p>
    <w:p>
      <w:pPr>
        <w:spacing w:after="0" w:line="2" w:lineRule="exact"/>
        <w:rPr>
          <w:rFonts w:ascii="Arial" w:cs="Arial" w:eastAsia="Arial" w:hAnsi="Arial"/>
          <w:sz w:val="16"/>
          <w:szCs w:val="16"/>
          <w:color w:val="auto"/>
        </w:rPr>
      </w:pPr>
    </w:p>
    <w:p>
      <w:pPr>
        <w:ind w:left="4" w:right="20" w:hanging="4"/>
        <w:spacing w:after="0" w:line="292" w:lineRule="auto"/>
        <w:tabs>
          <w:tab w:leader="none" w:pos="25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other party is not in default in the performance of any covenant, agreement or condition contained in this Lease; and (z) the other matters set forth in such request, if any, are true and correct. Any such certificate furnished pursuant to this Article XXIII may be relied upon by the receiving party and any current or prospective Facility Mortgagee, Permitted Leasehold Mortgagee, ground or underlying landlord or purchaser of the Leased Property. Tenant shall deliver a written notice to Landlord within five (5) Business Days of obtaining knowledge of the occurrence of a default hereunder. Such notice shall include a detailed description of the default and the actions Tenant has taken or shall take, if any, to remedy such default.</w:t>
      </w:r>
    </w:p>
    <w:p>
      <w:pPr>
        <w:spacing w:after="0" w:line="162" w:lineRule="exact"/>
        <w:rPr>
          <w:rFonts w:ascii="Arial" w:cs="Arial" w:eastAsia="Arial" w:hAnsi="Arial"/>
          <w:sz w:val="16"/>
          <w:szCs w:val="16"/>
          <w:color w:val="auto"/>
        </w:rPr>
      </w:pPr>
    </w:p>
    <w:p>
      <w:pPr>
        <w:ind w:left="2364" w:hanging="381"/>
        <w:spacing w:after="0"/>
        <w:tabs>
          <w:tab w:leader="none" w:pos="2364" w:val="left"/>
        </w:tabs>
        <w:numPr>
          <w:ilvl w:val="2"/>
          <w:numId w:val="160"/>
        </w:numPr>
        <w:rPr>
          <w:rFonts w:ascii="Arial" w:cs="Arial" w:eastAsia="Arial" w:hAnsi="Arial"/>
          <w:sz w:val="18"/>
          <w:szCs w:val="18"/>
          <w:color w:val="auto"/>
        </w:rPr>
      </w:pPr>
      <w:r>
        <w:rPr>
          <w:rFonts w:ascii="Arial" w:cs="Arial" w:eastAsia="Arial" w:hAnsi="Arial"/>
          <w:sz w:val="18"/>
          <w:szCs w:val="18"/>
          <w:u w:val="single" w:color="auto"/>
          <w:color w:val="auto"/>
        </w:rPr>
        <w:t>Statements</w:t>
      </w:r>
      <w:r>
        <w:rPr>
          <w:rFonts w:ascii="Arial" w:cs="Arial" w:eastAsia="Arial" w:hAnsi="Arial"/>
          <w:sz w:val="18"/>
          <w:szCs w:val="18"/>
          <w:color w:val="auto"/>
        </w:rPr>
        <w:t>. Tenant shall furnish the following statements to Landlord:</w:t>
      </w:r>
    </w:p>
    <w:p>
      <w:pPr>
        <w:spacing w:after="0" w:line="117" w:lineRule="exact"/>
        <w:rPr>
          <w:rFonts w:ascii="Arial" w:cs="Arial" w:eastAsia="Arial" w:hAnsi="Arial"/>
          <w:sz w:val="18"/>
          <w:szCs w:val="18"/>
          <w:color w:val="auto"/>
        </w:rPr>
      </w:pPr>
    </w:p>
    <w:p>
      <w:pPr>
        <w:ind w:left="1424" w:right="40" w:firstLine="391"/>
        <w:spacing w:after="0" w:line="291" w:lineRule="auto"/>
        <w:tabs>
          <w:tab w:leader="none" w:pos="2154" w:val="left"/>
        </w:tabs>
        <w:numPr>
          <w:ilvl w:val="1"/>
          <w:numId w:val="160"/>
        </w:numPr>
        <w:rPr>
          <w:rFonts w:ascii="Arial" w:cs="Arial" w:eastAsia="Arial" w:hAnsi="Arial"/>
          <w:sz w:val="16"/>
          <w:szCs w:val="16"/>
          <w:color w:val="auto"/>
        </w:rPr>
      </w:pPr>
      <w:r>
        <w:rPr>
          <w:rFonts w:ascii="Arial" w:cs="Arial" w:eastAsia="Arial" w:hAnsi="Arial"/>
          <w:sz w:val="16"/>
          <w:szCs w:val="16"/>
          <w:color w:val="auto"/>
        </w:rPr>
        <w:t>Within ninety (90) days after the end of Tenant’s Parent’s Fiscal Years (commencing with the Fiscal Year ending December 31, 2022): (x) Tenant’s Parent’s Financial Statements; (y) a certificate, executed by a Responsible Officer of the Tenant’s Parent (a) certifying that no default has occurred under this Lease or, if such a default has occurred, specifying the nature and extent thereof and any corrective action taken or proposed to be taken with respect thereto and (b) setting forth the calculation of the financial covenant set forth in Section 23.3(a) hereof in reasonable detail as of such Fiscal Year (commencing with the Fiscal Year ending [ ● ]</w:t>
      </w:r>
      <w:r>
        <w:rPr>
          <w:rFonts w:ascii="Arial" w:cs="Arial" w:eastAsia="Arial" w:hAnsi="Arial"/>
          <w:sz w:val="13"/>
          <w:szCs w:val="13"/>
          <w:color w:val="auto"/>
        </w:rPr>
        <w:t>4</w:t>
      </w:r>
      <w:r>
        <w:rPr>
          <w:rFonts w:ascii="Arial" w:cs="Arial" w:eastAsia="Arial" w:hAnsi="Arial"/>
          <w:sz w:val="16"/>
          <w:szCs w:val="16"/>
          <w:color w:val="auto"/>
        </w:rPr>
        <w:t>); and (z) a report with respect to Tenant’s Parent’s Financial Statements from Tenant’s Parent’s accountants, which report shall be without a going concern or similar qualification or exception as to scope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715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5424" w:right="960" w:hanging="5424"/>
        <w:spacing w:after="0" w:line="449" w:lineRule="auto"/>
        <w:tabs>
          <w:tab w:leader="none" w:pos="438" w:val="left"/>
        </w:tabs>
        <w:numPr>
          <w:ilvl w:val="0"/>
          <w:numId w:val="161"/>
        </w:numPr>
        <w:rPr>
          <w:rFonts w:ascii="Arial" w:cs="Arial" w:eastAsia="Arial" w:hAnsi="Arial"/>
          <w:sz w:val="15"/>
          <w:szCs w:val="15"/>
          <w:color w:val="auto"/>
        </w:rPr>
      </w:pPr>
      <w:r>
        <w:rPr>
          <w:rFonts w:ascii="Arial" w:cs="Arial" w:eastAsia="Arial" w:hAnsi="Arial"/>
          <w:sz w:val="18"/>
          <w:szCs w:val="18"/>
          <w:color w:val="auto"/>
        </w:rPr>
        <w:t>NTD: To be the first Fiscal Year ending on or after the last day of the fourth full fiscal quarter ending after the Commencement Date. 81</w:t>
      </w:r>
    </w:p>
    <w:p>
      <w:pPr>
        <w:sectPr>
          <w:pgSz w:w="11900" w:h="16838" w:orient="portrait"/>
          <w:cols w:equalWidth="0" w:num="1">
            <w:col w:w="10964"/>
          </w:cols>
          <w:pgMar w:left="436" w:top="270" w:right="499" w:bottom="1440" w:gutter="0" w:footer="0" w:header="0"/>
        </w:sectPr>
      </w:pPr>
    </w:p>
    <w:bookmarkStart w:id="150" w:name="page151"/>
    <w:bookmarkEnd w:id="150"/>
    <w:p>
      <w:pPr>
        <w:ind w:left="142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than any going concern or similar qualification or exception related to (i) an upcoming maturity date within twelve (12) months under any Indebtedness or any projected financial performance in such twelve month period, (ii) any prospective or actual default of any financial covenant or event of default under Section 23.3(a) hereof or any Indebtedness or (iii) an Unavoidable Delay and/or a Discretionary Closure);</w:t>
      </w:r>
    </w:p>
    <w:p>
      <w:pPr>
        <w:spacing w:after="0" w:line="79" w:lineRule="exact"/>
        <w:rPr>
          <w:sz w:val="20"/>
          <w:szCs w:val="20"/>
          <w:color w:val="auto"/>
        </w:rPr>
      </w:pPr>
    </w:p>
    <w:p>
      <w:pPr>
        <w:ind w:left="1424" w:firstLine="391"/>
        <w:spacing w:after="0" w:line="286" w:lineRule="auto"/>
        <w:tabs>
          <w:tab w:leader="none" w:pos="2204" w:val="left"/>
        </w:tabs>
        <w:numPr>
          <w:ilvl w:val="1"/>
          <w:numId w:val="162"/>
        </w:numPr>
        <w:rPr>
          <w:rFonts w:ascii="Arial" w:cs="Arial" w:eastAsia="Arial" w:hAnsi="Arial"/>
          <w:sz w:val="16"/>
          <w:szCs w:val="16"/>
          <w:color w:val="auto"/>
        </w:rPr>
      </w:pPr>
      <w:r>
        <w:rPr>
          <w:rFonts w:ascii="Arial" w:cs="Arial" w:eastAsia="Arial" w:hAnsi="Arial"/>
          <w:sz w:val="16"/>
          <w:szCs w:val="16"/>
          <w:color w:val="auto"/>
        </w:rPr>
        <w:t>Within forty-five (45) days after the end of each of the first three (3) fiscal quarters of the Tenant’s Parent’s Fiscal Year (commencing with the fiscal quarter ending [ ● ]</w:t>
      </w:r>
      <w:r>
        <w:rPr>
          <w:rFonts w:ascii="Arial" w:cs="Arial" w:eastAsia="Arial" w:hAnsi="Arial"/>
          <w:sz w:val="13"/>
          <w:szCs w:val="13"/>
          <w:color w:val="auto"/>
        </w:rPr>
        <w:t>5</w:t>
      </w:r>
      <w:r>
        <w:rPr>
          <w:rFonts w:ascii="Arial" w:cs="Arial" w:eastAsia="Arial" w:hAnsi="Arial"/>
          <w:sz w:val="16"/>
          <w:szCs w:val="16"/>
          <w:color w:val="auto"/>
        </w:rPr>
        <w:t>, 2022), a copy of Tenant’s Parent’s Financial Statements for such period, together with a certificate, executed by a Responsible Officer of Tenant’s Parent (i) certifying that no default has occurred or, if such a default has occurred, specifying the nature and extent thereof and any corrective action taken or proposed to be taken with respect thereto,</w:t>
      </w:r>
    </w:p>
    <w:p>
      <w:pPr>
        <w:spacing w:after="0" w:line="1" w:lineRule="exact"/>
        <w:rPr>
          <w:rFonts w:ascii="Arial" w:cs="Arial" w:eastAsia="Arial" w:hAnsi="Arial"/>
          <w:sz w:val="16"/>
          <w:szCs w:val="16"/>
          <w:color w:val="auto"/>
        </w:rPr>
      </w:pPr>
    </w:p>
    <w:p>
      <w:pPr>
        <w:ind w:left="1424" w:right="140" w:firstLine="8"/>
        <w:spacing w:after="0" w:line="273" w:lineRule="auto"/>
        <w:tabs>
          <w:tab w:leader="none" w:pos="168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setting forth the calculation of the financial covenant set forth in Section 23.3(a) hereof in reasonable detail as of such fiscal quarter (commencing with the fiscal quarter ending [ ● ]</w:t>
      </w:r>
      <w:r>
        <w:rPr>
          <w:rFonts w:ascii="Arial" w:cs="Arial" w:eastAsia="Arial" w:hAnsi="Arial"/>
          <w:sz w:val="14"/>
          <w:szCs w:val="14"/>
          <w:color w:val="auto"/>
        </w:rPr>
        <w:t>6</w:t>
      </w:r>
      <w:r>
        <w:rPr>
          <w:rFonts w:ascii="Arial" w:cs="Arial" w:eastAsia="Arial" w:hAnsi="Arial"/>
          <w:sz w:val="17"/>
          <w:szCs w:val="17"/>
          <w:color w:val="auto"/>
        </w:rPr>
        <w:t>) and (iii) certifying that such Financial Statements fairly present, in all material respects, the financial condition and results of operations of Tenant’s Parent and its Subsidiaries on a consolidated basis in accordance with GAAP (subject to normal year-end audit adjustments and the absence of footnotes);</w:t>
      </w:r>
    </w:p>
    <w:p>
      <w:pPr>
        <w:spacing w:after="0" w:line="68" w:lineRule="exact"/>
        <w:rPr>
          <w:rFonts w:ascii="Arial" w:cs="Arial" w:eastAsia="Arial" w:hAnsi="Arial"/>
          <w:sz w:val="17"/>
          <w:szCs w:val="17"/>
          <w:color w:val="auto"/>
        </w:rPr>
      </w:pPr>
    </w:p>
    <w:p>
      <w:pPr>
        <w:ind w:left="2264" w:hanging="449"/>
        <w:spacing w:after="0"/>
        <w:tabs>
          <w:tab w:leader="none" w:pos="2264"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Tenant will furnish to Landlord annually within ninety (90) days following the end of each Fiscal Year, the Annual</w:t>
      </w:r>
    </w:p>
    <w:p>
      <w:pPr>
        <w:spacing w:after="0" w:line="34" w:lineRule="exact"/>
        <w:rPr>
          <w:rFonts w:ascii="Arial" w:cs="Arial" w:eastAsia="Arial" w:hAnsi="Arial"/>
          <w:sz w:val="17"/>
          <w:szCs w:val="17"/>
          <w:color w:val="auto"/>
        </w:rPr>
      </w:pPr>
    </w:p>
    <w:p>
      <w:pPr>
        <w:ind w:left="1424"/>
        <w:spacing w:after="0"/>
        <w:rPr>
          <w:rFonts w:ascii="Arial" w:cs="Arial" w:eastAsia="Arial" w:hAnsi="Arial"/>
          <w:sz w:val="17"/>
          <w:szCs w:val="17"/>
          <w:color w:val="auto"/>
        </w:rPr>
      </w:pPr>
      <w:r>
        <w:rPr>
          <w:rFonts w:ascii="Arial" w:cs="Arial" w:eastAsia="Arial" w:hAnsi="Arial"/>
          <w:sz w:val="18"/>
          <w:szCs w:val="18"/>
          <w:color w:val="auto"/>
        </w:rPr>
        <w:t>Certificate;</w:t>
      </w:r>
    </w:p>
    <w:p>
      <w:pPr>
        <w:spacing w:after="0" w:line="102" w:lineRule="exact"/>
        <w:rPr>
          <w:rFonts w:ascii="Arial" w:cs="Arial" w:eastAsia="Arial" w:hAnsi="Arial"/>
          <w:sz w:val="17"/>
          <w:szCs w:val="17"/>
          <w:color w:val="auto"/>
        </w:rPr>
      </w:pPr>
    </w:p>
    <w:p>
      <w:pPr>
        <w:ind w:left="1424" w:right="460" w:firstLine="391"/>
        <w:spacing w:after="0" w:line="277" w:lineRule="auto"/>
        <w:tabs>
          <w:tab w:leader="none" w:pos="224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Within forty-five (45) days after the expiration of any calendar quarter, Tenant shall deliver to Landlord a quarterly operating report in substantially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424" w:right="40" w:firstLine="391"/>
        <w:spacing w:after="0" w:line="293" w:lineRule="auto"/>
        <w:tabs>
          <w:tab w:leader="none" w:pos="219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Prompt Notice to Landlord of any action or investigation by any agency or entity, or complaint to such agency or entity, (any of which is called a “</w:t>
      </w:r>
      <w:r>
        <w:rPr>
          <w:rFonts w:ascii="Arial" w:cs="Arial" w:eastAsia="Arial" w:hAnsi="Arial"/>
          <w:sz w:val="16"/>
          <w:szCs w:val="16"/>
          <w:b w:val="1"/>
          <w:bCs w:val="1"/>
          <w:color w:val="auto"/>
        </w:rPr>
        <w:t>Proceeding</w:t>
      </w:r>
      <w:r>
        <w:rPr>
          <w:rFonts w:ascii="Arial" w:cs="Arial" w:eastAsia="Arial" w:hAnsi="Arial"/>
          <w:sz w:val="16"/>
          <w:szCs w:val="16"/>
          <w:color w:val="auto"/>
        </w:rPr>
        <w:t>”), known to Tenant, the result of which Proceeding would reasonably be expected to be to revoke or suspend or terminate or modify, or fail to renew or fully continue in effect, any license or certificate or operating authority pursuant to which Tenant carries on any part of the Primary Intended Use of all or any portion of the Leased Property and such revocation, suspension, termination, modification, failure to renew or continuation would reasonably be expected to have a material adverse effect on Tenant, the Facility, or on the Leased Property, in each case, taken as a whole;</w:t>
      </w:r>
    </w:p>
    <w:p>
      <w:pPr>
        <w:spacing w:after="0" w:line="56" w:lineRule="exact"/>
        <w:rPr>
          <w:rFonts w:ascii="Arial" w:cs="Arial" w:eastAsia="Arial" w:hAnsi="Arial"/>
          <w:sz w:val="16"/>
          <w:szCs w:val="16"/>
          <w:color w:val="auto"/>
        </w:rPr>
      </w:pPr>
    </w:p>
    <w:p>
      <w:pPr>
        <w:ind w:left="1424" w:right="540" w:firstLine="391"/>
        <w:spacing w:after="0" w:line="342" w:lineRule="auto"/>
        <w:tabs>
          <w:tab w:leader="none" w:pos="223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As soon as it is prepared and in no event later than ninety (90) days after the end of each Fiscal Year, a capital and operating budget, including projections by fiscal quarter, for the Facility for the Fiscal Year in which it is delivered; and</w:t>
      </w:r>
    </w:p>
    <w:p>
      <w:pPr>
        <w:spacing w:after="0" w:line="15" w:lineRule="exact"/>
        <w:rPr>
          <w:rFonts w:ascii="Arial" w:cs="Arial" w:eastAsia="Arial" w:hAnsi="Arial"/>
          <w:sz w:val="16"/>
          <w:szCs w:val="16"/>
          <w:color w:val="auto"/>
        </w:rPr>
      </w:pPr>
    </w:p>
    <w:p>
      <w:pPr>
        <w:ind w:left="1424" w:right="340" w:firstLine="391"/>
        <w:spacing w:after="0" w:line="342" w:lineRule="auto"/>
        <w:tabs>
          <w:tab w:leader="none" w:pos="229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Concurrently with the Financial Statements delivered pursuant to Section 23.1(b)(i) and Section 23.1(b)(ii), a report containing a reasonably detailed description of any material Capital Improvements and other material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71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7" w:lineRule="exact"/>
        <w:rPr>
          <w:sz w:val="20"/>
          <w:szCs w:val="20"/>
          <w:color w:val="auto"/>
        </w:rPr>
      </w:pPr>
    </w:p>
    <w:p>
      <w:pPr>
        <w:ind w:left="424" w:hanging="424"/>
        <w:spacing w:after="0"/>
        <w:tabs>
          <w:tab w:leader="none" w:pos="424" w:val="left"/>
        </w:tabs>
        <w:numPr>
          <w:ilvl w:val="0"/>
          <w:numId w:val="164"/>
        </w:numPr>
        <w:rPr>
          <w:rFonts w:ascii="Arial" w:cs="Arial" w:eastAsia="Arial" w:hAnsi="Arial"/>
          <w:sz w:val="15"/>
          <w:szCs w:val="15"/>
          <w:color w:val="auto"/>
        </w:rPr>
      </w:pPr>
      <w:r>
        <w:rPr>
          <w:rFonts w:ascii="Arial" w:cs="Arial" w:eastAsia="Arial" w:hAnsi="Arial"/>
          <w:sz w:val="18"/>
          <w:szCs w:val="18"/>
          <w:color w:val="auto"/>
        </w:rPr>
        <w:t>NTD: To be the first fiscal quarter ending after the Commencement Date.</w:t>
      </w:r>
    </w:p>
    <w:p>
      <w:pPr>
        <w:spacing w:after="0" w:line="22" w:lineRule="exact"/>
        <w:rPr>
          <w:sz w:val="20"/>
          <w:szCs w:val="20"/>
          <w:color w:val="auto"/>
        </w:rPr>
      </w:pPr>
    </w:p>
    <w:p>
      <w:pPr>
        <w:ind w:left="424" w:right="480" w:hanging="424"/>
        <w:spacing w:after="0" w:line="262" w:lineRule="auto"/>
        <w:tabs>
          <w:tab w:leader="none" w:pos="424" w:val="left"/>
        </w:tabs>
        <w:numPr>
          <w:ilvl w:val="0"/>
          <w:numId w:val="165"/>
        </w:numPr>
        <w:rPr>
          <w:rFonts w:ascii="Arial" w:cs="Arial" w:eastAsia="Arial" w:hAnsi="Arial"/>
          <w:sz w:val="15"/>
          <w:szCs w:val="15"/>
          <w:color w:val="auto"/>
        </w:rPr>
      </w:pPr>
      <w:r>
        <w:rPr>
          <w:rFonts w:ascii="Arial" w:cs="Arial" w:eastAsia="Arial" w:hAnsi="Arial"/>
          <w:sz w:val="18"/>
          <w:szCs w:val="18"/>
          <w:color w:val="auto"/>
        </w:rPr>
        <w:t>NTD: To be the first fiscal quarter (excluding the 4th fiscal quarter of any Fiscal Year) ending on or after the last day of the fourth full fiscal quarter ending after the Commencement Date.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4"/>
          </w:cols>
          <w:pgMar w:left="436" w:top="274" w:right="479" w:bottom="1440" w:gutter="0" w:footer="0" w:header="0"/>
        </w:sectPr>
      </w:pPr>
    </w:p>
    <w:bookmarkStart w:id="151" w:name="page152"/>
    <w:bookmarkEnd w:id="151"/>
    <w:p>
      <w:pPr>
        <w:ind w:left="140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Tenant made with respect to the Leased Property and Tenant’s Property during the period covered by the applicable Financial Statements.</w:t>
      </w:r>
    </w:p>
    <w:p>
      <w:pPr>
        <w:spacing w:after="0" w:line="170" w:lineRule="exact"/>
        <w:rPr>
          <w:sz w:val="20"/>
          <w:szCs w:val="20"/>
          <w:color w:val="auto"/>
        </w:rPr>
      </w:pPr>
    </w:p>
    <w:p>
      <w:pPr>
        <w:ind w:left="-20" w:firstLine="1979"/>
        <w:spacing w:after="0" w:line="269" w:lineRule="auto"/>
        <w:tabs>
          <w:tab w:leader="none" w:pos="234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Notwithstanding the foregoing provisions of Section 23.1, Tenant shall not be obligated (1) to provide information that is subject to the quality assurance immunity or is subject to attorney-client privilege or the attorney work product doctrine or (2) to provide information or assistance that could give Landlord or its Affiliates a “competitive” advantage with respect to markets in which Landlord’s Parent, Landlord or any of Landlord’s Affiliates and Tenant, Tenant’s Parent or any of Tenant’s Affiliates might be competing at any time (“</w:t>
      </w:r>
      <w:r>
        <w:rPr>
          <w:rFonts w:ascii="Arial" w:cs="Arial" w:eastAsia="Arial" w:hAnsi="Arial"/>
          <w:sz w:val="17"/>
          <w:szCs w:val="17"/>
          <w:b w:val="1"/>
          <w:bCs w:val="1"/>
          <w:color w:val="auto"/>
        </w:rPr>
        <w:t>Restricted Information</w:t>
      </w:r>
      <w:r>
        <w:rPr>
          <w:rFonts w:ascii="Arial" w:cs="Arial" w:eastAsia="Arial" w:hAnsi="Arial"/>
          <w:sz w:val="17"/>
          <w:szCs w:val="17"/>
          <w:color w:val="auto"/>
        </w:rPr>
        <w:t xml:space="preserve">”) it being understood that Restricted Information shall not include revenue and expense information relevant to Landlord’s calculation and verification of (i) the Escalation amount hereunder and (ii) Tenant’s compliance with Section 23.3 hereof. Landlord shall retain audit rights with respect to Restricted Information to the extent required to confirm Tenant’s compliance with the Lease terms (and Landlord’s Parent’s compliance with SEC, Internal Revenue Service and other legal and regulatory requirements)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appropriate measures are in place to ensure that only Landlord’s auditors and attorneys (and not Landlord or Landlord’s Parent or any of Landlord’s other Affiliates) are provided access to such information. In addition, Landlord shall not disclose any Restricted Information to any Person or any employee, officer or director of any Person (other than Landlord’s Parent or a Subsidiary of Landlord) that directly or indirectly owns or operates any gaming business or is a competitor of Tenant, Tenant’s Parent or any Affiliate of Tenant.</w:t>
      </w:r>
    </w:p>
    <w:p>
      <w:pPr>
        <w:spacing w:after="0" w:line="178" w:lineRule="exact"/>
        <w:rPr>
          <w:rFonts w:ascii="Arial" w:cs="Arial" w:eastAsia="Arial" w:hAnsi="Arial"/>
          <w:sz w:val="17"/>
          <w:szCs w:val="17"/>
          <w:color w:val="auto"/>
        </w:rPr>
      </w:pPr>
    </w:p>
    <w:p>
      <w:pPr>
        <w:ind w:left="-20" w:right="120" w:firstLine="1979"/>
        <w:spacing w:after="0" w:line="342" w:lineRule="auto"/>
        <w:tabs>
          <w:tab w:leader="none" w:pos="235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connection with the incurrence of any Facility Mortgage, Tenant shall, upon the reasonable written request of Landlord, at the sole cost and expense of Landlord, reasonably cooperate with Landlord in providing information with respect to the Facility or Tenant.</w:t>
      </w:r>
    </w:p>
    <w:p>
      <w:pPr>
        <w:spacing w:after="0" w:line="120" w:lineRule="exact"/>
        <w:rPr>
          <w:sz w:val="20"/>
          <w:szCs w:val="20"/>
          <w:color w:val="auto"/>
        </w:rPr>
      </w:pPr>
    </w:p>
    <w:p>
      <w:pPr>
        <w:ind w:left="1960"/>
        <w:spacing w:after="0"/>
        <w:tabs>
          <w:tab w:leader="none" w:pos="244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u w:val="single" w:color="auto"/>
          <w:color w:val="auto"/>
        </w:rPr>
        <w:t>Confidentiality; Public Offering Information</w:t>
      </w:r>
      <w:r>
        <w:rPr>
          <w:rFonts w:ascii="Arial" w:cs="Arial" w:eastAsia="Arial" w:hAnsi="Arial"/>
          <w:sz w:val="16"/>
          <w:szCs w:val="16"/>
          <w:b w:val="1"/>
          <w:bCs w:val="1"/>
          <w:color w:val="auto"/>
        </w:rPr>
        <w:t>.</w:t>
      </w:r>
    </w:p>
    <w:p>
      <w:pPr>
        <w:spacing w:after="0" w:line="229" w:lineRule="exact"/>
        <w:rPr>
          <w:sz w:val="20"/>
          <w:szCs w:val="20"/>
          <w:color w:val="auto"/>
        </w:rPr>
      </w:pPr>
    </w:p>
    <w:p>
      <w:pPr>
        <w:ind w:left="-20" w:right="80" w:firstLine="1979"/>
        <w:spacing w:after="0" w:line="287" w:lineRule="auto"/>
        <w:tabs>
          <w:tab w:leader="none" w:pos="233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parties recognize and acknowledge that they may receive certain Confidential Information of the other party. Each party agrees that neither such party nor any of its representatives acting on its behalf shall, during or within five (5) years after the term of the termination or expiration of this Lease, directly or indirectly use any Confidential Information of the other party or disclose Confidential Information of the other party to any person for any reason or purpose whatsoever, except as reasonably required in order to comply with the obligations and otherwise as permitted under the provisions of this Lease. Notwithstanding the foregoing, in the event that a party or any of its representatives is requested or becomes legally compelled (pursuant to any legal, governmental, administrative or regulatory order, authority or process) to disclose any Confidential Information of the other party, it will, to the extent reasonably practicable and not prohibited by law, provide the party to whom such Confidential Information belongs prompt written notice of the existence, terms or circumstances of such event so that the party to whom such Confidential Information belongs may seek a protective order or other appropriate remedy or waive compliance with the provisions of this Section 23.2(a). In the event that such protective order or other remedy is not obtained or the party to whom such Confidential Information belongs waives compliance with this Section 23.2(a), the party compelled to disclose such Confidential information will furnish only that portion of the Confidential Information or take only such action as, based upon the advice of your legal counsel, is legally required and will use commercially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60" w:top="274" w:right="459" w:bottom="1440" w:gutter="0" w:footer="0" w:header="0"/>
        </w:sectPr>
      </w:pPr>
    </w:p>
    <w:bookmarkStart w:id="152" w:name="page153"/>
    <w:bookmarkEnd w:id="152"/>
    <w:p>
      <w:pPr>
        <w:ind w:left="4"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efforts to obtain reliable assurance that confidential treatment will be accorded any Confidential Information so furnished. The party compelled to disclose the Confidential Information shall cooperate with any action reasonably requested by the party to whom such Confidential Information belongs to obtain a protective order or other reliable assurance that confidential treatment will be accorded to the Confidential Information.</w:t>
      </w:r>
    </w:p>
    <w:p>
      <w:pPr>
        <w:spacing w:after="0" w:line="149" w:lineRule="exact"/>
        <w:rPr>
          <w:sz w:val="20"/>
          <w:szCs w:val="20"/>
          <w:color w:val="auto"/>
        </w:rPr>
      </w:pPr>
    </w:p>
    <w:p>
      <w:pPr>
        <w:ind w:left="4" w:firstLine="1979"/>
        <w:spacing w:after="0" w:line="284" w:lineRule="auto"/>
        <w:tabs>
          <w:tab w:leader="none" w:pos="237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Section 23.2(a), Tenant specifically agrees that Landlord may include financial information and such information concerning the operation of the Facility (1) which is approved by Tenant in its sole discretion, (2) which is publicly available, (3) the EBITDAR to Rent Ratio, or (4)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Landlord’s Parent’s or Landlord’s securities or loans or securities or loans of any direct or indirect parent entity of Landlord, and any other reporting requirements under applicable federal and state laws, including those of any successor to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matters permitted to be disclosed solely under this clause (4), the recipients thereof shall be obligated to maintain the confidentiality thereof pursuant to Section 23.2(a) or pursuant to confidentiality provisions substantially similar thereto and to comply with all federal, state and other securities laws applicable with respect to such information. Unless otherwise agreed by Tenant, neither Landlord nor Landlord’s Parent shall revise or change the wording of information previously publicly disclosed by Tenant and furnished to Landlord or Landlord’s Parent or any direct or indirect parent entity of Landlord pursuant to Section 23.1 or this Section 23.2 and Landlord’s Form 10-Q or Form 10-K (or supplemental report filed in connection therewith) shall not disclose the operational results of the Facility prior to Tenant’s Parent’s, Tenant’s or its Affiliate’s public disclosure thereof so long as Tenant’s Parent, Tenant or such Affiliate reports such information in a timely manner consistent with historical practices and SEC disclosure requirements. Tenant agrees to provide such other reasonable information and, if necessary, participation in road shows and other presentations at Landlord’s or Landlord’s Parent’s sole cost and expense, with respect to Tenant and its Leased Property to facilitate a public or private debt or equity offering or syndication by Landlord or Landlord’s Parent or any direct or indirect parent entity of Landlord or Landlord’s Parent or to satisfy Landlord’s Parent’s or Landlord’s SEC disclosure requirements or the disclosure requirements of any direct or indirect parent entity of Landlord or Landlord’s Parent. In this regard, Landlord shall provide to Tenant a copy of any information prepared by Landlord to be published, and Tenant shall have a reasonable period of time (not to exceed three (3) Business Days) after receipt of such information to notify Landlord of any corrections.</w:t>
      </w:r>
    </w:p>
    <w:p>
      <w:pPr>
        <w:spacing w:after="0" w:line="178"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u w:val="single" w:color="auto"/>
          <w:color w:val="auto"/>
        </w:rPr>
        <w:t>Financial Covenant</w:t>
      </w:r>
      <w:r>
        <w:rPr>
          <w:rFonts w:ascii="Arial" w:cs="Arial" w:eastAsia="Arial" w:hAnsi="Arial"/>
          <w:sz w:val="16"/>
          <w:szCs w:val="16"/>
          <w:b w:val="1"/>
          <w:bCs w:val="1"/>
          <w:color w:val="auto"/>
        </w:rPr>
        <w:t>.</w:t>
      </w:r>
    </w:p>
    <w:p>
      <w:pPr>
        <w:spacing w:after="0" w:line="229" w:lineRule="exact"/>
        <w:rPr>
          <w:sz w:val="20"/>
          <w:szCs w:val="20"/>
          <w:color w:val="auto"/>
        </w:rPr>
      </w:pPr>
    </w:p>
    <w:p>
      <w:pPr>
        <w:ind w:left="4" w:right="20" w:firstLine="1979"/>
        <w:spacing w:after="0" w:line="308" w:lineRule="auto"/>
        <w:tabs>
          <w:tab w:leader="none" w:pos="236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Tenant shall maintain an EBITDAR to Rent Ratio determined on the last day of any fiscal quarter on a cumulative basis for the preceding Test Period (commencing with the Test Period ending on [ ]</w:t>
      </w:r>
      <w:r>
        <w:rPr>
          <w:rFonts w:ascii="Arial" w:cs="Arial" w:eastAsia="Arial" w:hAnsi="Arial"/>
          <w:sz w:val="14"/>
          <w:szCs w:val="14"/>
          <w:color w:val="auto"/>
        </w:rPr>
        <w:t>7</w:t>
      </w:r>
      <w:r>
        <w:rPr>
          <w:rFonts w:ascii="Arial" w:cs="Arial" w:eastAsia="Arial" w:hAnsi="Arial"/>
          <w:sz w:val="17"/>
          <w:szCs w:val="17"/>
          <w:color w:val="auto"/>
        </w:rPr>
        <w:t>, but excluding any fiscal quarter the last day of which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71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9" w:lineRule="exact"/>
        <w:rPr>
          <w:sz w:val="20"/>
          <w:szCs w:val="20"/>
          <w:color w:val="auto"/>
        </w:rPr>
      </w:pPr>
    </w:p>
    <w:p>
      <w:pPr>
        <w:ind w:left="5424" w:right="2800" w:hanging="5424"/>
        <w:spacing w:after="0" w:line="449" w:lineRule="auto"/>
        <w:tabs>
          <w:tab w:leader="none" w:pos="438" w:val="left"/>
        </w:tabs>
        <w:numPr>
          <w:ilvl w:val="0"/>
          <w:numId w:val="170"/>
        </w:numPr>
        <w:rPr>
          <w:rFonts w:ascii="Arial" w:cs="Arial" w:eastAsia="Arial" w:hAnsi="Arial"/>
          <w:sz w:val="15"/>
          <w:szCs w:val="15"/>
          <w:color w:val="auto"/>
        </w:rPr>
      </w:pPr>
      <w:r>
        <w:rPr>
          <w:rFonts w:ascii="Arial" w:cs="Arial" w:eastAsia="Arial" w:hAnsi="Arial"/>
          <w:sz w:val="18"/>
          <w:szCs w:val="18"/>
          <w:color w:val="auto"/>
        </w:rPr>
        <w:t>NTD: Testing to begin on the last day of the fourth full fiscal quarter ending after the Commencement Date. 84</w:t>
      </w:r>
    </w:p>
    <w:p>
      <w:pPr>
        <w:sectPr>
          <w:pgSz w:w="11900" w:h="16838" w:orient="portrait"/>
          <w:cols w:equalWidth="0" w:num="1">
            <w:col w:w="11004"/>
          </w:cols>
          <w:pgMar w:left="436" w:top="274" w:right="4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 Covenant Suspension Period) of at least 1.5:1.0 (or, from and after a Wynn Tenant Transfer, 1.8:1.0).</w:t>
      </w:r>
    </w:p>
    <w:p>
      <w:pPr>
        <w:spacing w:after="0" w:line="225" w:lineRule="exact"/>
        <w:rPr>
          <w:sz w:val="20"/>
          <w:szCs w:val="20"/>
          <w:color w:val="auto"/>
        </w:rPr>
      </w:pPr>
    </w:p>
    <w:p>
      <w:pPr>
        <w:ind w:firstLine="1979"/>
        <w:spacing w:after="0" w:line="284" w:lineRule="auto"/>
        <w:tabs>
          <w:tab w:leader="none" w:pos="237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16.1, if Tenant does not satisfy the EBITDAR to Rent Ratio set forth in Section 23.3(a) for four consecutive Test Periods ending on the last day of four consecutive fiscal quarters, then, within thirty (30) days following Tenant’s delivery to Landlord of the Financial Statements required for such fourth consecutive fiscal quarter (or, if such fourth consecutive fiscal quarter ends on the last day of the Fiscal Year, the Financial Statements required for such Fiscal Year) pursuant to Section 23.1(b) hereof, Tenant shall have the right (the “</w:t>
      </w:r>
      <w:r>
        <w:rPr>
          <w:rFonts w:ascii="Arial" w:cs="Arial" w:eastAsia="Arial" w:hAnsi="Arial"/>
          <w:sz w:val="16"/>
          <w:szCs w:val="16"/>
          <w:b w:val="1"/>
          <w:bCs w:val="1"/>
          <w:color w:val="auto"/>
        </w:rPr>
        <w:t>Cure Right</w:t>
      </w:r>
      <w:r>
        <w:rPr>
          <w:rFonts w:ascii="Arial" w:cs="Arial" w:eastAsia="Arial" w:hAnsi="Arial"/>
          <w:sz w:val="16"/>
          <w:szCs w:val="16"/>
          <w:color w:val="auto"/>
        </w:rPr>
        <w:t>”) from time to time to (i) deposit (or cause to be deposited) into an escrow account established and maintained by Landlord (such account, the “</w:t>
      </w:r>
      <w:r>
        <w:rPr>
          <w:rFonts w:ascii="Arial" w:cs="Arial" w:eastAsia="Arial" w:hAnsi="Arial"/>
          <w:sz w:val="16"/>
          <w:szCs w:val="16"/>
          <w:b w:val="1"/>
          <w:bCs w:val="1"/>
          <w:color w:val="auto"/>
        </w:rPr>
        <w:t>Rent Escrow Account</w:t>
      </w:r>
      <w:r>
        <w:rPr>
          <w:rFonts w:ascii="Arial" w:cs="Arial" w:eastAsia="Arial" w:hAnsi="Arial"/>
          <w:sz w:val="16"/>
          <w:szCs w:val="16"/>
          <w:color w:val="auto"/>
        </w:rPr>
        <w:t>”) and/or (ii) deliver (or cause to be delivered) a Letter of Credit to Landlord, in an aggregate amount equal to the positive difference (if any) of (I) the projected amount of Rent as reasonably projected by Tenant to be payable for the period of six (6) calendar months (or, from and after a Wynn Tenant Transfer, twelve (12) calendar months) commencing immediately subsequent to such thirtieth (30</w:t>
      </w:r>
      <w:r>
        <w:rPr>
          <w:rFonts w:ascii="Arial" w:cs="Arial" w:eastAsia="Arial" w:hAnsi="Arial"/>
          <w:sz w:val="13"/>
          <w:szCs w:val="13"/>
          <w:color w:val="auto"/>
        </w:rPr>
        <w:t>th</w:t>
      </w:r>
      <w:r>
        <w:rPr>
          <w:rFonts w:ascii="Arial" w:cs="Arial" w:eastAsia="Arial" w:hAnsi="Arial"/>
          <w:sz w:val="16"/>
          <w:szCs w:val="16"/>
          <w:color w:val="auto"/>
        </w:rPr>
        <w:t>) day minus (II) the sum of (x) any amounts then on deposit in the Rent Escrow Account and (y) the face amount of any Letters of Credit then held by Landlord in connection with Tenant’s exercise of the Cure Right. If Tenant exercises the Cure Right, then Tenant shall be deemed to have satisfied the requirements of Section 23.3(a) as of the relevant date of determination with the same effect as there had been no failure to comply therewith at such time, and the applicable breach or default of Section 23.3(a) that had occurred shall be deemed cured for the purposes of this Lease. For the avoidance of doubt, Tenant’s exercise of the Cure Right shall not reduce Tenant’s obligation to pay Rent in accordance with Article III. At any time after providing five (5) days’ written notice to Tenant that an Event of Default has occurred, Landlord may apply any and all sums and amounts in the Rent Escrow Account and the proceeds of any Letter of Credit to the payment of any then outstanding and unpaid obligations of the Tenant hereunder in such priority as Landlord may determine. All Letters of Credit and all sums in the Rent Escrow Account shall be held by Landlord in escrow as additional security for Tenant’s obligations to Landlord and, if an Event of Default occurs, may be applied by Landlord in payment of any such outstanding and unpaid obligations of Tenant hereunder in such priority as Landlord may determine. Within ten (10) days after the end of the Term and upon demand after the EBITDAR to Rent Ratio determined on the last day of any fiscal quarter on a cumulative basis for the preceding Test Period is at least 1.6:1.0 (or, from and after a Wynn Tenant Transfer, 1.9:1.0), (a) at Tenant’s election, Landlord shall either deposit any balance in the Rent Escrow Account as instructed by Tenant or apply such balance against monthly Rent obligations then due and payable and (b) Landlord shall return any Letter of Credit to Tenant.</w:t>
      </w:r>
    </w:p>
    <w:p>
      <w:pPr>
        <w:spacing w:after="0" w:line="176" w:lineRule="exact"/>
        <w:rPr>
          <w:sz w:val="20"/>
          <w:szCs w:val="20"/>
          <w:color w:val="auto"/>
        </w:rPr>
      </w:pPr>
    </w:p>
    <w:p>
      <w:pPr>
        <w:ind w:firstLine="1983"/>
        <w:spacing w:after="0" w:line="273" w:lineRule="auto"/>
        <w:rPr>
          <w:sz w:val="20"/>
          <w:szCs w:val="20"/>
          <w:color w:val="auto"/>
        </w:rPr>
      </w:pPr>
      <w:r>
        <w:rPr>
          <w:rFonts w:ascii="Arial" w:cs="Arial" w:eastAsia="Arial" w:hAnsi="Arial"/>
          <w:sz w:val="17"/>
          <w:szCs w:val="17"/>
          <w:b w:val="1"/>
          <w:bCs w:val="1"/>
          <w:color w:val="auto"/>
        </w:rPr>
        <w:t xml:space="preserve">23.4 </w:t>
      </w:r>
      <w:r>
        <w:rPr>
          <w:rFonts w:ascii="Arial" w:cs="Arial" w:eastAsia="Arial" w:hAnsi="Arial"/>
          <w:sz w:val="17"/>
          <w:szCs w:val="17"/>
          <w:b w:val="1"/>
          <w:bCs w:val="1"/>
          <w:u w:val="single" w:color="auto"/>
          <w:color w:val="auto"/>
        </w:rPr>
        <w:t>Landlord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acknowledges and agrees that certain of the information contained in the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Statements may be non-public financial or operational information with respect to Tenant, Tenant’s Parent and/or the Leased Property. Landlord further agrees (i) to maintain the confidentiality of such non-public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and notwithstanding anything to the contrary in Section 23.2(a) hereof or otherwise herein, Landlord shall have the right to share such information with Landlord’s Parent and their respective officers, employees, directors, Facility Mortgagee, agents and lenders party to material debt instruments entered into by Landlord’s Parent or Landlord, actual or prospective arrangers, underwriters, investors or lenders with respect to Indebtedness or Equity Interests that may be issued by Landlord’s Parent or Landlord, rating agencies, accountants,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154" w:name="page155"/>
    <w:bookmarkEnd w:id="15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attorneys and other consultants (the “</w:t>
      </w:r>
      <w:r>
        <w:rPr>
          <w:rFonts w:ascii="Arial" w:cs="Arial" w:eastAsia="Arial" w:hAnsi="Arial"/>
          <w:sz w:val="16"/>
          <w:szCs w:val="16"/>
          <w:b w:val="1"/>
          <w:bCs w:val="1"/>
          <w:color w:val="auto"/>
        </w:rPr>
        <w:t>Landlord Representatives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Landlord Representative is advised of the confidential nature of such information and agrees, to the extent such information is not publicly available, to maintain the confidentiality thereof pursuant to Section 23.2(a) or pursuant to confidentiality provisions substantially similar thereto and to comply with all federal, state and other securities laws applicable with respect to such information and (ii) that neither it nor any Landlord Representative shall be permitted to engage in any transactions with respect to the stock or other equity or debt securities or syndicated loans of Tenant or Tenant’s Parent based on any such non-public information provided by or on behalf of Landlord or Landlord’s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provision shall not govern the provision of information by Tenant or Tenant’s Parent). In addition to the foregoing, Landlord agrees that, upon request of Tenant, it shall from time to time provide such information as may be reasonably requested by Tenant with respect to Landlord’s capital structure and/or any financing secured by this Lease or the Leased Property in connection with Tenant’s review of the treatment of this Lease under GAAP. In connection therewith, Tenant agrees to maintain the confidentiality of any such non-public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Tenant shall have the right to share such information with Tenant’s Parent and their respective officers, employees, directors, Permitted Leasehold Mortgagees, agents and lenders party to material debt instruments entered into by Tenant or Tenant’s Parent, actual or prospective arrangers, underwriters, investors or lenders with respect to Indebtedness or Equity Interests that may be issued by Tenant or Tenant’s Parent, rating agencies, accountants, attorneys and other consultants (the “</w:t>
      </w:r>
      <w:r>
        <w:rPr>
          <w:rFonts w:ascii="Arial" w:cs="Arial" w:eastAsia="Arial" w:hAnsi="Arial"/>
          <w:sz w:val="16"/>
          <w:szCs w:val="16"/>
          <w:b w:val="1"/>
          <w:bCs w:val="1"/>
          <w:color w:val="auto"/>
        </w:rPr>
        <w:t>Tenant Representatives</w:t>
      </w:r>
      <w:r>
        <w:rPr>
          <w:rFonts w:ascii="Arial" w:cs="Arial" w:eastAsia="Arial" w:hAnsi="Arial"/>
          <w:sz w:val="16"/>
          <w:szCs w:val="16"/>
          <w:color w:val="auto"/>
        </w:rPr>
        <w:t>”) so long as such Tenant Representative is advised of the confidential nature of such information and agrees, to the extent such information is not publicly available, (i) to maintain the confidentiality thereof pursuant to Section 23.2(a) or pursuant to confidentiality provisions substantially similar thereto and to comply with all federal, state and other securities laws applicable with respect to such information and (ii) not to engage in any transactions with respect to the stock or other equity or debt securities or syndicated loans of Landlord’s Parent or Landlord based on any such non-public information provided by or on behalf of Tenant or Tenant’s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provision shall not govern the provision of information by Landlord or Landlord’s Parent).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XXIV</w:t>
      </w:r>
    </w:p>
    <w:p>
      <w:pPr>
        <w:spacing w:after="0" w:line="117" w:lineRule="exact"/>
        <w:rPr>
          <w:sz w:val="20"/>
          <w:szCs w:val="20"/>
          <w:color w:val="auto"/>
        </w:rPr>
      </w:pPr>
    </w:p>
    <w:p>
      <w:pPr>
        <w:ind w:right="20" w:firstLine="1983"/>
        <w:spacing w:after="0" w:line="261"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b w:val="1"/>
          <w:bCs w:val="1"/>
          <w:u w:val="single" w:color="auto"/>
          <w:color w:val="auto"/>
        </w:rPr>
        <w:t>Landlord’s Right to Inspect</w:t>
      </w:r>
      <w:r>
        <w:rPr>
          <w:rFonts w:ascii="Arial" w:cs="Arial" w:eastAsia="Arial" w:hAnsi="Arial"/>
          <w:sz w:val="18"/>
          <w:szCs w:val="18"/>
          <w:b w:val="1"/>
          <w:bCs w:val="1"/>
          <w:color w:val="auto"/>
        </w:rPr>
        <w:t xml:space="preserve">. </w:t>
      </w:r>
      <w:r>
        <w:rPr>
          <w:rFonts w:ascii="Arial" w:cs="Arial" w:eastAsia="Arial" w:hAnsi="Arial"/>
          <w:sz w:val="18"/>
          <w:szCs w:val="18"/>
          <w:color w:val="auto"/>
        </w:rPr>
        <w:t>Upon reasonable advance notice to Tenant and subject to the rights of hotel guests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subtenants under subleases, Tenant shall permit Landlord and its authorized representatives (including any Facility Mortgagee and its representatives) to inspect the Leased Property during usual business hours. Landlord shall take care to minimize disturbance of the operations on the Leased Property, except in the case of emergency.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XXV</w:t>
      </w:r>
    </w:p>
    <w:p>
      <w:pPr>
        <w:spacing w:after="0" w:line="117" w:lineRule="exact"/>
        <w:rPr>
          <w:sz w:val="20"/>
          <w:szCs w:val="20"/>
          <w:color w:val="auto"/>
        </w:rPr>
      </w:pPr>
    </w:p>
    <w:p>
      <w:pPr>
        <w:ind w:right="40" w:firstLine="1983"/>
        <w:spacing w:after="0" w:line="303" w:lineRule="auto"/>
        <w:rPr>
          <w:sz w:val="20"/>
          <w:szCs w:val="20"/>
          <w:color w:val="auto"/>
        </w:rPr>
      </w:pPr>
      <w:r>
        <w:rPr>
          <w:rFonts w:ascii="Arial" w:cs="Arial" w:eastAsia="Arial" w:hAnsi="Arial"/>
          <w:sz w:val="16"/>
          <w:szCs w:val="16"/>
          <w:b w:val="1"/>
          <w:bCs w:val="1"/>
          <w:color w:val="auto"/>
        </w:rPr>
        <w:t xml:space="preserve">25.1 </w:t>
      </w:r>
      <w:r>
        <w:rPr>
          <w:rFonts w:ascii="Arial" w:cs="Arial" w:eastAsia="Arial" w:hAnsi="Arial"/>
          <w:sz w:val="16"/>
          <w:szCs w:val="16"/>
          <w:b w:val="1"/>
          <w:bCs w:val="1"/>
          <w:u w:val="single" w:color="auto"/>
          <w:color w:val="auto"/>
        </w:rPr>
        <w:t>No Waiver</w:t>
      </w:r>
      <w:r>
        <w:rPr>
          <w:rFonts w:ascii="Arial" w:cs="Arial" w:eastAsia="Arial" w:hAnsi="Arial"/>
          <w:sz w:val="16"/>
          <w:szCs w:val="16"/>
          <w:b w:val="1"/>
          <w:bCs w:val="1"/>
          <w:color w:val="auto"/>
        </w:rPr>
        <w:t xml:space="preserve">. </w:t>
      </w:r>
      <w:r>
        <w:rPr>
          <w:rFonts w:ascii="Arial" w:cs="Arial" w:eastAsia="Arial" w:hAnsi="Arial"/>
          <w:sz w:val="16"/>
          <w:szCs w:val="16"/>
          <w:color w:val="auto"/>
        </w:rPr>
        <w:t>No delay, omission or failure by Landlord or Tenant to insist upon the strict performance of any term</w:t>
      </w:r>
      <w:r>
        <w:rPr>
          <w:rFonts w:ascii="Arial" w:cs="Arial" w:eastAsia="Arial" w:hAnsi="Arial"/>
          <w:sz w:val="16"/>
          <w:szCs w:val="16"/>
          <w:b w:val="1"/>
          <w:bCs w:val="1"/>
          <w:color w:val="auto"/>
        </w:rPr>
        <w:t xml:space="preserve"> </w:t>
      </w:r>
      <w:r>
        <w:rPr>
          <w:rFonts w:ascii="Arial" w:cs="Arial" w:eastAsia="Arial" w:hAnsi="Arial"/>
          <w:sz w:val="16"/>
          <w:szCs w:val="16"/>
          <w:color w:val="auto"/>
        </w:rPr>
        <w:t>hereof or to exercise any right, power or remedy hereunder and no acceptance of full or partial payment of Rent by Landlord during the continuance of any default or Event of Default, shall impair any such right or constitute a waiver of any such breach or of any such term. No waiver of any breach shall affect or alter this Lease, which shall continue in full force and effect with respect to any other then existing or subsequent breach.</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0" w:right="47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XXVI</w:t>
      </w:r>
    </w:p>
    <w:p>
      <w:pPr>
        <w:spacing w:after="0" w:line="117" w:lineRule="exact"/>
        <w:rPr>
          <w:sz w:val="20"/>
          <w:szCs w:val="20"/>
          <w:color w:val="auto"/>
        </w:rPr>
      </w:pPr>
    </w:p>
    <w:p>
      <w:pPr>
        <w:ind w:right="40" w:firstLine="1983"/>
        <w:spacing w:after="0" w:line="303" w:lineRule="auto"/>
        <w:rPr>
          <w:sz w:val="20"/>
          <w:szCs w:val="20"/>
          <w:color w:val="auto"/>
        </w:rPr>
      </w:pPr>
      <w:r>
        <w:rPr>
          <w:rFonts w:ascii="Arial" w:cs="Arial" w:eastAsia="Arial" w:hAnsi="Arial"/>
          <w:sz w:val="16"/>
          <w:szCs w:val="16"/>
          <w:b w:val="1"/>
          <w:bCs w:val="1"/>
          <w:color w:val="auto"/>
        </w:rPr>
        <w:t xml:space="preserve">26.1 </w:t>
      </w:r>
      <w:r>
        <w:rPr>
          <w:rFonts w:ascii="Arial" w:cs="Arial" w:eastAsia="Arial" w:hAnsi="Arial"/>
          <w:sz w:val="16"/>
          <w:szCs w:val="16"/>
          <w:b w:val="1"/>
          <w:bCs w:val="1"/>
          <w:u w:val="single" w:color="auto"/>
          <w:color w:val="auto"/>
        </w:rPr>
        <w:t>Remedies Cumulative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permitted by law, each legal, equitable or contractual right, power and remedy</w:t>
      </w:r>
      <w:r>
        <w:rPr>
          <w:rFonts w:ascii="Arial" w:cs="Arial" w:eastAsia="Arial" w:hAnsi="Arial"/>
          <w:sz w:val="16"/>
          <w:szCs w:val="16"/>
          <w:b w:val="1"/>
          <w:bCs w:val="1"/>
          <w:color w:val="auto"/>
        </w:rPr>
        <w:t xml:space="preserve"> </w:t>
      </w:r>
      <w:r>
        <w:rPr>
          <w:rFonts w:ascii="Arial" w:cs="Arial" w:eastAsia="Arial" w:hAnsi="Arial"/>
          <w:sz w:val="16"/>
          <w:szCs w:val="16"/>
          <w:color w:val="auto"/>
        </w:rPr>
        <w:t>of Landlord now or hereafter provided either in this Lease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XXVII</w:t>
      </w:r>
    </w:p>
    <w:p>
      <w:pPr>
        <w:spacing w:after="0" w:line="117" w:lineRule="exact"/>
        <w:rPr>
          <w:sz w:val="20"/>
          <w:szCs w:val="20"/>
          <w:color w:val="auto"/>
        </w:rPr>
      </w:pPr>
    </w:p>
    <w:p>
      <w:pPr>
        <w:ind w:firstLine="1983"/>
        <w:spacing w:after="0" w:line="289" w:lineRule="auto"/>
        <w:rPr>
          <w:sz w:val="20"/>
          <w:szCs w:val="20"/>
          <w:color w:val="auto"/>
        </w:rPr>
      </w:pPr>
      <w:r>
        <w:rPr>
          <w:rFonts w:ascii="Arial" w:cs="Arial" w:eastAsia="Arial" w:hAnsi="Arial"/>
          <w:sz w:val="17"/>
          <w:szCs w:val="17"/>
          <w:b w:val="1"/>
          <w:bCs w:val="1"/>
          <w:color w:val="auto"/>
        </w:rPr>
        <w:t xml:space="preserve">27.1 </w:t>
      </w:r>
      <w:r>
        <w:rPr>
          <w:rFonts w:ascii="Arial" w:cs="Arial" w:eastAsia="Arial" w:hAnsi="Arial"/>
          <w:sz w:val="17"/>
          <w:szCs w:val="17"/>
          <w:b w:val="1"/>
          <w:bCs w:val="1"/>
          <w:u w:val="single" w:color="auto"/>
          <w:color w:val="auto"/>
        </w:rPr>
        <w:t>Acceptance of Surrender</w:t>
      </w:r>
      <w:r>
        <w:rPr>
          <w:rFonts w:ascii="Arial" w:cs="Arial" w:eastAsia="Arial" w:hAnsi="Arial"/>
          <w:sz w:val="17"/>
          <w:szCs w:val="17"/>
          <w:b w:val="1"/>
          <w:bCs w:val="1"/>
          <w:color w:val="auto"/>
        </w:rPr>
        <w:t xml:space="preserve">. </w:t>
      </w:r>
      <w:r>
        <w:rPr>
          <w:rFonts w:ascii="Arial" w:cs="Arial" w:eastAsia="Arial" w:hAnsi="Arial"/>
          <w:sz w:val="17"/>
          <w:szCs w:val="17"/>
          <w:color w:val="auto"/>
        </w:rPr>
        <w:t>No surrender to Landlord of this Lease or of any Leased Property or any part thereof, or of</w:t>
      </w:r>
      <w:r>
        <w:rPr>
          <w:rFonts w:ascii="Arial" w:cs="Arial" w:eastAsia="Arial" w:hAnsi="Arial"/>
          <w:sz w:val="17"/>
          <w:szCs w:val="17"/>
          <w:b w:val="1"/>
          <w:bCs w:val="1"/>
          <w:color w:val="auto"/>
        </w:rPr>
        <w:t xml:space="preserve"> </w:t>
      </w:r>
      <w:r>
        <w:rPr>
          <w:rFonts w:ascii="Arial" w:cs="Arial" w:eastAsia="Arial" w:hAnsi="Arial"/>
          <w:sz w:val="17"/>
          <w:szCs w:val="17"/>
          <w:color w:val="auto"/>
        </w:rPr>
        <w:t>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XXVIII</w:t>
      </w:r>
    </w:p>
    <w:p>
      <w:pPr>
        <w:spacing w:after="0" w:line="117" w:lineRule="exact"/>
        <w:rPr>
          <w:sz w:val="20"/>
          <w:szCs w:val="20"/>
          <w:color w:val="auto"/>
        </w:rPr>
      </w:pPr>
    </w:p>
    <w:p>
      <w:pPr>
        <w:jc w:val="both"/>
        <w:ind w:right="20" w:firstLine="1983"/>
        <w:spacing w:after="0" w:line="266" w:lineRule="auto"/>
        <w:rPr>
          <w:sz w:val="20"/>
          <w:szCs w:val="20"/>
          <w:color w:val="auto"/>
        </w:rPr>
      </w:pPr>
      <w:r>
        <w:rPr>
          <w:rFonts w:ascii="Arial" w:cs="Arial" w:eastAsia="Arial" w:hAnsi="Arial"/>
          <w:sz w:val="18"/>
          <w:szCs w:val="18"/>
          <w:b w:val="1"/>
          <w:bCs w:val="1"/>
          <w:color w:val="auto"/>
        </w:rPr>
        <w:t xml:space="preserve">28.1 </w:t>
      </w:r>
      <w:r>
        <w:rPr>
          <w:rFonts w:ascii="Arial" w:cs="Arial" w:eastAsia="Arial" w:hAnsi="Arial"/>
          <w:sz w:val="18"/>
          <w:szCs w:val="18"/>
          <w:b w:val="1"/>
          <w:bCs w:val="1"/>
          <w:u w:val="single" w:color="auto"/>
          <w:color w:val="auto"/>
        </w:rPr>
        <w:t>No Merger</w:t>
      </w:r>
      <w:r>
        <w:rPr>
          <w:rFonts w:ascii="Arial" w:cs="Arial" w:eastAsia="Arial" w:hAnsi="Arial"/>
          <w:sz w:val="18"/>
          <w:szCs w:val="18"/>
          <w:b w:val="1"/>
          <w:bCs w:val="1"/>
          <w:color w:val="auto"/>
        </w:rPr>
        <w:t xml:space="preserve">. </w:t>
      </w:r>
      <w:r>
        <w:rPr>
          <w:rFonts w:ascii="Arial" w:cs="Arial" w:eastAsia="Arial" w:hAnsi="Arial"/>
          <w:sz w:val="18"/>
          <w:szCs w:val="18"/>
          <w:color w:val="auto"/>
        </w:rPr>
        <w:t>There shall be no merger of this Lease or of the leasehold estate created hereby by reason of the fact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Person may acquire, own or hold, directly or indirectly, (i) this Lease or the leasehold estate created hereby or any interest in this Lease or such leasehold estate and (ii) the fee estate in the Leased Property.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XXIX</w:t>
      </w:r>
    </w:p>
    <w:p>
      <w:pPr>
        <w:spacing w:after="0" w:line="117" w:lineRule="exact"/>
        <w:rPr>
          <w:sz w:val="20"/>
          <w:szCs w:val="20"/>
          <w:color w:val="auto"/>
        </w:rPr>
      </w:pPr>
    </w:p>
    <w:p>
      <w:pPr>
        <w:ind w:right="180" w:firstLine="1983"/>
        <w:spacing w:after="0" w:line="277" w:lineRule="auto"/>
        <w:rPr>
          <w:sz w:val="20"/>
          <w:szCs w:val="20"/>
          <w:color w:val="auto"/>
        </w:rPr>
      </w:pPr>
      <w:r>
        <w:rPr>
          <w:rFonts w:ascii="Arial" w:cs="Arial" w:eastAsia="Arial" w:hAnsi="Arial"/>
          <w:sz w:val="17"/>
          <w:szCs w:val="17"/>
          <w:b w:val="1"/>
          <w:bCs w:val="1"/>
          <w:color w:val="auto"/>
        </w:rPr>
        <w:t xml:space="preserve">29.1 </w:t>
      </w:r>
      <w:r>
        <w:rPr>
          <w:rFonts w:ascii="Arial" w:cs="Arial" w:eastAsia="Arial" w:hAnsi="Arial"/>
          <w:sz w:val="17"/>
          <w:szCs w:val="17"/>
          <w:b w:val="1"/>
          <w:bCs w:val="1"/>
          <w:u w:val="single" w:color="auto"/>
          <w:color w:val="auto"/>
        </w:rPr>
        <w:t>Conveyance by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If Landlord or any successor owner of the Leased Property shall convey the Leased</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in accordance with Section 18.1 and the other terms of this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the Landlord under this Lease arising or accruing from and after the date of such conveyance or other transfer and all such future liabilities and obligations shall thereupon be binding upon the new owner.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XXX</w:t>
      </w:r>
    </w:p>
    <w:p>
      <w:pPr>
        <w:spacing w:after="0" w:line="117" w:lineRule="exact"/>
        <w:rPr>
          <w:sz w:val="20"/>
          <w:szCs w:val="20"/>
          <w:color w:val="auto"/>
        </w:rPr>
      </w:pPr>
    </w:p>
    <w:p>
      <w:pPr>
        <w:ind w:right="20" w:firstLine="1983"/>
        <w:spacing w:after="0" w:line="273" w:lineRule="auto"/>
        <w:rPr>
          <w:sz w:val="20"/>
          <w:szCs w:val="20"/>
          <w:color w:val="auto"/>
        </w:rPr>
      </w:pPr>
      <w:r>
        <w:rPr>
          <w:rFonts w:ascii="Arial" w:cs="Arial" w:eastAsia="Arial" w:hAnsi="Arial"/>
          <w:sz w:val="17"/>
          <w:szCs w:val="17"/>
          <w:b w:val="1"/>
          <w:bCs w:val="1"/>
          <w:color w:val="auto"/>
        </w:rPr>
        <w:t xml:space="preserve">30.1 </w:t>
      </w:r>
      <w:r>
        <w:rPr>
          <w:rFonts w:ascii="Arial" w:cs="Arial" w:eastAsia="Arial" w:hAnsi="Arial"/>
          <w:sz w:val="17"/>
          <w:szCs w:val="17"/>
          <w:b w:val="1"/>
          <w:bCs w:val="1"/>
          <w:u w:val="single" w:color="auto"/>
          <w:color w:val="auto"/>
        </w:rPr>
        <w:t>Quiet Enjoyment</w:t>
      </w:r>
      <w:r>
        <w:rPr>
          <w:rFonts w:ascii="Arial" w:cs="Arial" w:eastAsia="Arial" w:hAnsi="Arial"/>
          <w:sz w:val="17"/>
          <w:szCs w:val="17"/>
          <w:b w:val="1"/>
          <w:bCs w:val="1"/>
          <w:color w:val="auto"/>
        </w:rPr>
        <w:t xml:space="preserve">. </w:t>
      </w:r>
      <w:r>
        <w:rPr>
          <w:rFonts w:ascii="Arial" w:cs="Arial" w:eastAsia="Arial" w:hAnsi="Arial"/>
          <w:sz w:val="17"/>
          <w:szCs w:val="17"/>
          <w:color w:val="auto"/>
        </w:rPr>
        <w:t>So long as Tenant shall pay the Rent as the same becomes due and shall fully comply with all of</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this Lease and fully perform its obligations hereunder, Tenant shall peaceably and quietly have, hold and enjoy the Leased Property for the Term, free of any claim or other action by Landlord or anyone claiming by, through or under Landlord, but subject to all liens and encumbrances of record as of the Commencement Date or thereafter provided for in this Lease or consented to by Tenant. No failure by Landlord to comply with the foregoing covenant shall give Tenant any right to cancel or terminate this Lease or abate, reduce or make a deduction from or offset against the Rent or any other sum payable under this Lease, or to fail to perform any other obligation of Tenant hereunder. Notwithstanding the foregoing, Tenant shall have the right, by separate and independent action to pursue any claim it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0" w:right="459" w:bottom="1440" w:gutter="0" w:footer="0" w:header="0"/>
        </w:sectPr>
      </w:pPr>
    </w:p>
    <w:bookmarkStart w:id="156" w:name="page157"/>
    <w:bookmarkEnd w:id="156"/>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have against Landlord as a result of a breach by Landlord of the covenant of quiet enjoyment contained in this Article XXX or any other covenant of Landlord set forth in this Lease.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XXXI</w:t>
      </w:r>
    </w:p>
    <w:p>
      <w:pPr>
        <w:spacing w:after="0" w:line="117" w:lineRule="exact"/>
        <w:rPr>
          <w:sz w:val="20"/>
          <w:szCs w:val="20"/>
          <w:color w:val="auto"/>
        </w:rPr>
      </w:pPr>
    </w:p>
    <w:p>
      <w:pPr>
        <w:ind w:firstLine="1983"/>
        <w:spacing w:after="0" w:line="284" w:lineRule="auto"/>
        <w:rPr>
          <w:sz w:val="20"/>
          <w:szCs w:val="20"/>
          <w:color w:val="auto"/>
        </w:rPr>
      </w:pPr>
      <w:r>
        <w:rPr>
          <w:rFonts w:ascii="Arial" w:cs="Arial" w:eastAsia="Arial" w:hAnsi="Arial"/>
          <w:sz w:val="16"/>
          <w:szCs w:val="16"/>
          <w:b w:val="1"/>
          <w:bCs w:val="1"/>
          <w:color w:val="auto"/>
        </w:rPr>
        <w:t xml:space="preserve">31.1 </w:t>
      </w:r>
      <w:r>
        <w:rPr>
          <w:rFonts w:ascii="Arial" w:cs="Arial" w:eastAsia="Arial" w:hAnsi="Arial"/>
          <w:sz w:val="16"/>
          <w:szCs w:val="16"/>
          <w:b w:val="1"/>
          <w:bCs w:val="1"/>
          <w:u w:val="single" w:color="auto"/>
          <w:color w:val="auto"/>
        </w:rPr>
        <w:t>Landlord’s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consent of Tenant, Landlord may from time to time, directly or indirectly, create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otherwise cause to exist any Facility Mortgage upon the Leased Property or any portion thereof or interest therein. This Lease is and at all times shall be subject and subordinate to any such Facility Mortgage which may now or hereafter affect the Leased Property or any portion thereof or interest therein and to all renewals, modifications, consolidations, replacements, restatements and extensions thereof or any parts or portions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subjection and subordination of this Lease and Tenant’s leasehold interest hereunder to any Facility Mortgage shall be conditioned upon the execution by the holder of each Facility Mortgage and delivery to Tenant of a nondisturbance and attornment agreement substantially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request of Landlord such nondisturbance and attornment agreement shall also incorporate subordination provisions referenced above, as contemplated below, and be in substantially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and be executed by Tenant as well as Landlord), which will bind such holder of such Facility Mortgage and its successors and assigns as well as any person who acquires any portion of the Leased Property in a foreclosure or similar proceeding or in a transfer in lieu of any such foreclosure or a successor owner of the Leased Property (each, a “</w:t>
      </w:r>
      <w:r>
        <w:rPr>
          <w:rFonts w:ascii="Arial" w:cs="Arial" w:eastAsia="Arial" w:hAnsi="Arial"/>
          <w:sz w:val="16"/>
          <w:szCs w:val="16"/>
          <w:b w:val="1"/>
          <w:bCs w:val="1"/>
          <w:color w:val="auto"/>
        </w:rPr>
        <w:t>Foreclosure Purchaser</w:t>
      </w:r>
      <w:r>
        <w:rPr>
          <w:rFonts w:ascii="Arial" w:cs="Arial" w:eastAsia="Arial" w:hAnsi="Arial"/>
          <w:sz w:val="16"/>
          <w:szCs w:val="16"/>
          <w:color w:val="auto"/>
        </w:rPr>
        <w:t xml:space="preserve">”) and which provides that so long as there is not then outstanding and continuing an Event of Default under this Lease, the holder of such Facility Mortgage, and any Foreclosure Purchaser shall disturb neither Tenant’s leasehold interest or possession of the Leased Property in accordance with the terms hereof, nor any of its rights, privileges and options, and shall give effect to this Lease, including the provisions of Article XVII which benefit any Permitted Leasehold Mortgagee (as if such Facility Mortgagee or Foreclosure Purchaser were the landlord under this Lease (it being understood that if an Event of Default has occurred and is continuing at such time such parties shall be subject to the terms and provisions hereof concerning the exercise of rights and remedies upon such Event of Default including the provisions of Articles XVI and XXXVI)). In connection with the foregoing and at the request of Landlord, Tenant shall promptly execute a subordination, nondisturbance and attornment agreement, in form and substance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or otherwise reasonably satisfactory to Tenant, and the Facility Mortgagee or prospective Facility Mortgagee, as the case may be, which will incorporate the terms set forth in the preceding sentence. Except for the documents described in the preceding sentences, this provision shall be self-operative and no further instrument of subordination shall be required to give it full force and effect. If, in connection with obtaining any Facility Mortgage for the Leased Property or any portion thereof or interest therein, a Facility Mortgagee or prospective Facility Mortgagee shall request (A) reasonable cooperation from Tenant, Tenant shall provide the same at no cost or expense to Tenant, it being understood and agreed that Landlord shall be required to reimburse Tenant for all such costs and expenses so incurred by Tenant, including, but not limited to, its reasonable attorneys’ fees, or (B) reasonable amendments or modifications to this Lease as a condition thereto, Tenant hereby agrees to execute and deliver the same so long as any such amendments or modifications do not (i) increase Tenant’s monetary obligations under this Lease, (ii) adversely increase Tenant’s non-monetary obligations under this Lease in any material respect, or (iii) diminish Tenant’s rights under this Lease in any material respect.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157" w:name="page158"/>
    <w:bookmarkEnd w:id="157"/>
    <w:p>
      <w:pPr>
        <w:ind w:left="4" w:firstLine="1983"/>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31.2 </w:t>
      </w:r>
      <w:r>
        <w:rPr>
          <w:rFonts w:ascii="Arial" w:cs="Arial" w:eastAsia="Arial" w:hAnsi="Arial"/>
          <w:sz w:val="16"/>
          <w:szCs w:val="16"/>
          <w:b w:val="1"/>
          <w:bCs w:val="1"/>
          <w:u w:val="single" w:color="auto"/>
          <w:color w:val="auto"/>
        </w:rPr>
        <w:t>Attornment</w:t>
      </w:r>
      <w:r>
        <w:rPr>
          <w:rFonts w:ascii="Arial" w:cs="Arial" w:eastAsia="Arial" w:hAnsi="Arial"/>
          <w:sz w:val="16"/>
          <w:szCs w:val="16"/>
          <w:b w:val="1"/>
          <w:bCs w:val="1"/>
          <w:color w:val="auto"/>
        </w:rPr>
        <w:t xml:space="preserve">. </w:t>
      </w:r>
      <w:r>
        <w:rPr>
          <w:rFonts w:ascii="Arial" w:cs="Arial" w:eastAsia="Arial" w:hAnsi="Arial"/>
          <w:sz w:val="16"/>
          <w:szCs w:val="16"/>
          <w:color w:val="auto"/>
        </w:rPr>
        <w:t>If Landlord’s interest in the Leased Property or any portion thereof or interest therein is sold, conveyed</w:t>
      </w:r>
      <w:r>
        <w:rPr>
          <w:rFonts w:ascii="Arial" w:cs="Arial" w:eastAsia="Arial" w:hAnsi="Arial"/>
          <w:sz w:val="16"/>
          <w:szCs w:val="16"/>
          <w:b w:val="1"/>
          <w:bCs w:val="1"/>
          <w:color w:val="auto"/>
        </w:rPr>
        <w:t xml:space="preserve"> </w:t>
      </w:r>
      <w:r>
        <w:rPr>
          <w:rFonts w:ascii="Arial" w:cs="Arial" w:eastAsia="Arial" w:hAnsi="Arial"/>
          <w:sz w:val="16"/>
          <w:szCs w:val="16"/>
          <w:color w:val="auto"/>
        </w:rPr>
        <w:t>or terminated upon the exercise of any remedy provided for in any Facility Mortgage Documents (or in lieu of such exercise), or otherwise by operation of law: (a) at the request and option of the new owner or superior lessor, as the case may be, Tenant shall attorn to and recognize the new owner or superior lessor as Tenant’s “landlord” under this Lease or enter into a new lease substantially in the form of this Lease with the new owner or superior lessor, and Tenant shall take such actions to confirm the foregoing within ten (10) days after request; and (b) the new owner or superior lessor shall not be (i) liable for any act or omission of Landlord under this Lease occurring prior to such sale, conveyance or termination; (ii) subject to any offset, abatement or reduction of rent because of any default of Landlord under this Lease occurring prior to such sale, conveyance or termination; (iii) bound by any previous modification or amendment to this Lease or any previous prepayment of more than one month’s rent, unless such modification, amendment or prepayment shall have been approved in writing by such Facility Mortgagee (to the extent such approval was required at the time of such amendment or modification or prepayment under the terms of the applicable Facility Mortgage Documents) or, in the case of such prepayment, such prepayment of rent has actually been delivered to such new owner or superior lessor or in either case, such modification, amendment or prepayment occurred before Landlord provided Tenant with notice of the Facility Mortgage and the identity and address of the Facility Mortgagee; or (iv) liable for any security deposit or other collateral deposited or delivered to Landlord pursuant to this Lease unless such security deposit or other collateral has actually been delivered to such new owner or superior lessor.</w:t>
      </w:r>
    </w:p>
    <w:p>
      <w:pPr>
        <w:spacing w:after="0" w:line="171" w:lineRule="exact"/>
        <w:rPr>
          <w:sz w:val="20"/>
          <w:szCs w:val="20"/>
          <w:color w:val="auto"/>
        </w:rPr>
      </w:pPr>
    </w:p>
    <w:p>
      <w:pPr>
        <w:ind w:left="4" w:right="20" w:firstLine="1983"/>
        <w:spacing w:after="0" w:line="282" w:lineRule="auto"/>
        <w:rPr>
          <w:sz w:val="20"/>
          <w:szCs w:val="20"/>
          <w:color w:val="auto"/>
        </w:rPr>
      </w:pPr>
      <w:r>
        <w:rPr>
          <w:rFonts w:ascii="Arial" w:cs="Arial" w:eastAsia="Arial" w:hAnsi="Arial"/>
          <w:sz w:val="18"/>
          <w:szCs w:val="18"/>
          <w:b w:val="1"/>
          <w:bCs w:val="1"/>
          <w:color w:val="auto"/>
        </w:rPr>
        <w:t xml:space="preserve">31.3 </w:t>
      </w:r>
      <w:r>
        <w:rPr>
          <w:rFonts w:ascii="Arial" w:cs="Arial" w:eastAsia="Arial" w:hAnsi="Arial"/>
          <w:sz w:val="18"/>
          <w:szCs w:val="18"/>
          <w:b w:val="1"/>
          <w:bCs w:val="1"/>
          <w:u w:val="single" w:color="auto"/>
          <w:color w:val="auto"/>
        </w:rPr>
        <w:t>Compliance with Facility Mortgage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If requested by Landlord and the Facility Mortgagee,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make Rent payments into “lockbox accounts” maintained for the benefit of Facility Mortgagee.</w:t>
      </w:r>
    </w:p>
    <w:p>
      <w:pPr>
        <w:spacing w:after="0" w:line="378"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XXXII</w:t>
      </w:r>
    </w:p>
    <w:p>
      <w:pPr>
        <w:spacing w:after="0" w:line="117" w:lineRule="exact"/>
        <w:rPr>
          <w:sz w:val="20"/>
          <w:szCs w:val="20"/>
          <w:color w:val="auto"/>
        </w:rPr>
      </w:pPr>
    </w:p>
    <w:p>
      <w:pPr>
        <w:ind w:left="4" w:right="40" w:firstLine="1983"/>
        <w:spacing w:after="0" w:line="254" w:lineRule="auto"/>
        <w:rPr>
          <w:sz w:val="20"/>
          <w:szCs w:val="20"/>
          <w:color w:val="auto"/>
        </w:rPr>
      </w:pPr>
      <w:r>
        <w:rPr>
          <w:rFonts w:ascii="Arial" w:cs="Arial" w:eastAsia="Arial" w:hAnsi="Arial"/>
          <w:sz w:val="18"/>
          <w:szCs w:val="18"/>
          <w:b w:val="1"/>
          <w:bCs w:val="1"/>
          <w:color w:val="auto"/>
        </w:rPr>
        <w:t xml:space="preserve">32.1 </w:t>
      </w:r>
      <w:r>
        <w:rPr>
          <w:rFonts w:ascii="Arial" w:cs="Arial" w:eastAsia="Arial" w:hAnsi="Arial"/>
          <w:sz w:val="18"/>
          <w:szCs w:val="18"/>
          <w:b w:val="1"/>
          <w:bCs w:val="1"/>
          <w:u w:val="single" w:color="auto"/>
          <w:color w:val="auto"/>
        </w:rPr>
        <w:t>Hazardous Substances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not allow any Hazardous Substance to be located in, on, under or about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Leased Property or incorporated in the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Hazardous Substances may be located, brought, kept, stored, used or disposed of in, on, under or about the Leased Property in quantities and for purposes similar to those located, brought, kept, stored, used or disposed of in, on, under or about similar facilities used for purposes similar to the Primary Intended Use or in connection with the construction of facilities similar to the Facility or to the extent in existence at the Facility and which are located, brought, kept, stored, used and disposed of in strict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compliance with applicable Legal Requirements.</w:t>
      </w:r>
    </w:p>
    <w:p>
      <w:pPr>
        <w:spacing w:after="0" w:line="192" w:lineRule="exact"/>
        <w:rPr>
          <w:sz w:val="20"/>
          <w:szCs w:val="20"/>
          <w:color w:val="auto"/>
        </w:rPr>
      </w:pPr>
    </w:p>
    <w:p>
      <w:pPr>
        <w:ind w:left="4" w:right="60" w:firstLine="1983"/>
        <w:spacing w:after="0" w:line="287" w:lineRule="auto"/>
        <w:rPr>
          <w:sz w:val="20"/>
          <w:szCs w:val="20"/>
          <w:color w:val="auto"/>
        </w:rPr>
      </w:pPr>
      <w:r>
        <w:rPr>
          <w:rFonts w:ascii="Arial" w:cs="Arial" w:eastAsia="Arial" w:hAnsi="Arial"/>
          <w:sz w:val="16"/>
          <w:szCs w:val="16"/>
          <w:b w:val="1"/>
          <w:bCs w:val="1"/>
          <w:color w:val="auto"/>
        </w:rPr>
        <w:t xml:space="preserve">32.2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provide to Landlord, within five (5) Business Days after Tenant’s receipt thereof, a copy of any</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or notification from any governmental or quasi-governmental authority or other Person with respect to (i) any violation of any Legal Requirement relating to the presence or release of Hazardous Substances located in, on, under or about the Leased Property; (ii) any material enforcement, cleanup, removal, or other governmental or regulatory action instituted, completed or threatened with respect to the Leased Property;</w:t>
      </w:r>
    </w:p>
    <w:p>
      <w:pPr>
        <w:spacing w:after="0" w:line="2" w:lineRule="exact"/>
        <w:rPr>
          <w:sz w:val="20"/>
          <w:szCs w:val="20"/>
          <w:color w:val="auto"/>
        </w:rPr>
      </w:pPr>
    </w:p>
    <w:p>
      <w:pPr>
        <w:ind w:left="5424" w:right="3760" w:hanging="5424"/>
        <w:spacing w:after="0" w:line="433" w:lineRule="auto"/>
        <w:tabs>
          <w:tab w:leader="none" w:pos="32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claim made or threatened by any Person against Tenant with respect to the Leased Property 89</w:t>
      </w:r>
    </w:p>
    <w:p>
      <w:pPr>
        <w:sectPr>
          <w:pgSz w:w="11900" w:h="16838" w:orient="portrait"/>
          <w:cols w:equalWidth="0" w:num="1">
            <w:col w:w="10944"/>
          </w:cols>
          <w:pgMar w:left="436" w:top="270" w:right="519" w:bottom="1440" w:gutter="0" w:footer="0" w:header="0"/>
        </w:sectPr>
      </w:pPr>
    </w:p>
    <w:bookmarkStart w:id="158" w:name="page159"/>
    <w:bookmarkEnd w:id="15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to damage, contribution, cost recovery, compensation, loss, or injury resulting from or claimed to result from any Hazardous Substance; and</w:t>
      </w:r>
    </w:p>
    <w:p>
      <w:pPr>
        <w:spacing w:after="0" w:line="46" w:lineRule="exact"/>
        <w:rPr>
          <w:sz w:val="20"/>
          <w:szCs w:val="20"/>
          <w:color w:val="auto"/>
        </w:rPr>
      </w:pPr>
    </w:p>
    <w:p>
      <w:pPr>
        <w:ind w:left="4" w:right="240" w:hanging="4"/>
        <w:spacing w:after="0" w:line="290" w:lineRule="auto"/>
        <w:tabs>
          <w:tab w:leader="none" w:pos="30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any reports made to any federal, state or local environmental agency arising out of or in connection with any Hazardous Substances in, on, under, about or removed from the Leased Property, including any complaints, notices or assertions of violations in connection therewith.</w:t>
      </w:r>
    </w:p>
    <w:p>
      <w:pPr>
        <w:spacing w:after="0" w:line="157" w:lineRule="exact"/>
        <w:rPr>
          <w:sz w:val="20"/>
          <w:szCs w:val="20"/>
          <w:color w:val="auto"/>
        </w:rPr>
      </w:pPr>
    </w:p>
    <w:p>
      <w:pPr>
        <w:ind w:left="4" w:right="20" w:firstLine="1983"/>
        <w:spacing w:after="0" w:line="283" w:lineRule="auto"/>
        <w:rPr>
          <w:sz w:val="20"/>
          <w:szCs w:val="20"/>
          <w:color w:val="auto"/>
        </w:rPr>
      </w:pPr>
      <w:r>
        <w:rPr>
          <w:rFonts w:ascii="Arial" w:cs="Arial" w:eastAsia="Arial" w:hAnsi="Arial"/>
          <w:sz w:val="16"/>
          <w:szCs w:val="16"/>
          <w:b w:val="1"/>
          <w:bCs w:val="1"/>
          <w:color w:val="auto"/>
        </w:rPr>
        <w:t xml:space="preserve">32.3 </w:t>
      </w:r>
      <w:r>
        <w:rPr>
          <w:rFonts w:ascii="Arial" w:cs="Arial" w:eastAsia="Arial" w:hAnsi="Arial"/>
          <w:sz w:val="16"/>
          <w:szCs w:val="16"/>
          <w:b w:val="1"/>
          <w:bCs w:val="1"/>
          <w:u w:val="single" w:color="auto"/>
          <w:color w:val="auto"/>
        </w:rPr>
        <w:t>Remediation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Tenant becomes aware of a violation of any Environmental Law relating to the presence or release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Hazardous Substance in, on, under or about the Leased Property, or if Tenant, Landlord or the Leased Property becomes subject to any order of any federal, state or local governmental agency to repair, close, detoxify, decontaminate, clean, investigate, perform corrective action or otherwise remediate (“</w:t>
      </w:r>
      <w:r>
        <w:rPr>
          <w:rFonts w:ascii="Arial" w:cs="Arial" w:eastAsia="Arial" w:hAnsi="Arial"/>
          <w:sz w:val="16"/>
          <w:szCs w:val="16"/>
          <w:b w:val="1"/>
          <w:bCs w:val="1"/>
          <w:color w:val="auto"/>
        </w:rPr>
        <w:t>Remediate</w:t>
      </w:r>
      <w:r>
        <w:rPr>
          <w:rFonts w:ascii="Arial" w:cs="Arial" w:eastAsia="Arial" w:hAnsi="Arial"/>
          <w:sz w:val="16"/>
          <w:szCs w:val="16"/>
          <w:color w:val="auto"/>
        </w:rPr>
        <w:t>”) the Leased Property, Tenant shall promptly notify Landlord of such event and, at its sole cost and expense, cure such violation or effect such repair, closure, detoxification, decontamination, cleanup, investigation, corrective action or other remediation (“</w:t>
      </w:r>
      <w:r>
        <w:rPr>
          <w:rFonts w:ascii="Arial" w:cs="Arial" w:eastAsia="Arial" w:hAnsi="Arial"/>
          <w:sz w:val="16"/>
          <w:szCs w:val="16"/>
          <w:b w:val="1"/>
          <w:bCs w:val="1"/>
          <w:color w:val="auto"/>
        </w:rPr>
        <w:t>Remediation</w:t>
      </w:r>
      <w:r>
        <w:rPr>
          <w:rFonts w:ascii="Arial" w:cs="Arial" w:eastAsia="Arial" w:hAnsi="Arial"/>
          <w:sz w:val="16"/>
          <w:szCs w:val="16"/>
          <w:color w:val="auto"/>
        </w:rPr>
        <w:t>”) to the extent required pursuant to Environmental Law; provided that Remediation is required only to the extent as is required or necessary to attain compliance with remedial standards applicable under Environmental Law, employing where applicable risk-based remedial standards and institutional or engineering controls, where the performance of such Remediation or such standards or controls would not unreasonably interfere with the operation and use of the Leased Property for purposes similar to the Primary Intended Use, provided, further, that Landlord shall have the right to review and approve in accordance with Section 11.1 any encumbrances to be placed upon the Leased Property in connection with any Remediation undertaken by Tenant. If Tenant fails to implement and diligently pursue any such cure, repair, closure, detoxification, decontamination or other remediation where such failure continues after: (i) fifteen (15) days after a first notice delivered by Landlord to Tenant informing Tenant of its failure to perform the required Remediation, and (ii) if the fifteen (15) day period in clause (i) has elapsed and Tenant has not taken actions to perform the Remediation, fifteen</w:t>
      </w:r>
    </w:p>
    <w:p>
      <w:pPr>
        <w:spacing w:after="0" w:line="6" w:lineRule="exact"/>
        <w:rPr>
          <w:sz w:val="20"/>
          <w:szCs w:val="20"/>
          <w:color w:val="auto"/>
        </w:rPr>
      </w:pPr>
    </w:p>
    <w:p>
      <w:pPr>
        <w:ind w:left="4" w:right="20" w:hanging="4"/>
        <w:spacing w:after="0" w:line="253" w:lineRule="auto"/>
        <w:tabs>
          <w:tab w:leader="none" w:pos="34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days after a second notice delivered by Landlord to Tenant informing Tenant of its failure to perform the required Remediation, in each case, with a subject line that in all caps saying “FAILURE TO PERFORM THE REQUIRED REMEDIATION WILL RESULT IN LANDLORD PERFORMING THE REMEDIATION AT TENANT’S COST”, Landlord shall have the right, but not the obligation, to carry out such action and to recover from Tenant all of Landlord’s costs and expenses incurred in connection therewith.</w:t>
      </w:r>
    </w:p>
    <w:p>
      <w:pPr>
        <w:spacing w:after="0" w:line="189" w:lineRule="exact"/>
        <w:rPr>
          <w:sz w:val="20"/>
          <w:szCs w:val="20"/>
          <w:color w:val="auto"/>
        </w:rPr>
      </w:pPr>
    </w:p>
    <w:p>
      <w:pPr>
        <w:ind w:left="4" w:firstLine="1983"/>
        <w:spacing w:after="0" w:line="289" w:lineRule="auto"/>
        <w:rPr>
          <w:sz w:val="20"/>
          <w:szCs w:val="20"/>
          <w:color w:val="auto"/>
        </w:rPr>
      </w:pPr>
      <w:r>
        <w:rPr>
          <w:rFonts w:ascii="Arial" w:cs="Arial" w:eastAsia="Arial" w:hAnsi="Arial"/>
          <w:sz w:val="16"/>
          <w:szCs w:val="16"/>
          <w:b w:val="1"/>
          <w:bCs w:val="1"/>
          <w:color w:val="auto"/>
        </w:rPr>
        <w:t xml:space="preserve">32.4 </w:t>
      </w:r>
      <w:r>
        <w:rPr>
          <w:rFonts w:ascii="Arial" w:cs="Arial" w:eastAsia="Arial" w:hAnsi="Arial"/>
          <w:sz w:val="16"/>
          <w:szCs w:val="16"/>
          <w:b w:val="1"/>
          <w:bCs w:val="1"/>
          <w:u w:val="single" w:color="auto"/>
          <w:color w:val="auto"/>
        </w:rPr>
        <w:t>Indemnity by Tenant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indemnify, defend, protect, save, hold harmless, and reimburse Landlord for, from</w:t>
      </w:r>
      <w:r>
        <w:rPr>
          <w:rFonts w:ascii="Arial" w:cs="Arial" w:eastAsia="Arial" w:hAnsi="Arial"/>
          <w:sz w:val="16"/>
          <w:szCs w:val="16"/>
          <w:b w:val="1"/>
          <w:bCs w:val="1"/>
          <w:color w:val="auto"/>
        </w:rPr>
        <w:t xml:space="preserve"> </w:t>
      </w:r>
      <w:r>
        <w:rPr>
          <w:rFonts w:ascii="Arial" w:cs="Arial" w:eastAsia="Arial" w:hAnsi="Arial"/>
          <w:sz w:val="16"/>
          <w:szCs w:val="16"/>
          <w:color w:val="auto"/>
        </w:rPr>
        <w:t>and against any and all costs, losses (including, losses of use), liabilities, damages, assessments, lawsuits, deficiencies, demands, claims and expenses (collectively, “</w:t>
      </w:r>
      <w:r>
        <w:rPr>
          <w:rFonts w:ascii="Arial" w:cs="Arial" w:eastAsia="Arial" w:hAnsi="Arial"/>
          <w:sz w:val="16"/>
          <w:szCs w:val="16"/>
          <w:b w:val="1"/>
          <w:bCs w:val="1"/>
          <w:color w:val="auto"/>
        </w:rPr>
        <w:t>Environmental Costs</w:t>
      </w:r>
      <w:r>
        <w:rPr>
          <w:rFonts w:ascii="Arial" w:cs="Arial" w:eastAsia="Arial" w:hAnsi="Arial"/>
          <w:sz w:val="16"/>
          <w:szCs w:val="16"/>
          <w:color w:val="auto"/>
        </w:rPr>
        <w:t>”) (whether or not arising out of third-party claims and regardless of whether liability without fault is imposed, or sought to be imposed, on Landlord) incurred in connection with, arising out of, resulting from or incident to, directly or indirectly, before (except to the extent first discovered after the end of the Term) or during (but not after) the Term or such portion thereof during which the Leased Property is leased to Tenant (i) the production, use, generation, storage, treatment, transporting, disposal, discharge, release or other handling or disposition of any Hazardous Substances from, in, on, under or about the Leased Property (collectively, “</w:t>
      </w:r>
      <w:r>
        <w:rPr>
          <w:rFonts w:ascii="Arial" w:cs="Arial" w:eastAsia="Arial" w:hAnsi="Arial"/>
          <w:sz w:val="16"/>
          <w:szCs w:val="16"/>
          <w:b w:val="1"/>
          <w:bCs w:val="1"/>
          <w:color w:val="auto"/>
        </w:rPr>
        <w:t>Handling</w:t>
      </w:r>
      <w:r>
        <w:rPr>
          <w:rFonts w:ascii="Arial" w:cs="Arial" w:eastAsia="Arial" w:hAnsi="Arial"/>
          <w:sz w:val="16"/>
          <w:szCs w:val="16"/>
          <w:color w:val="auto"/>
        </w:rPr>
        <w:t>”), including the effects of such Handling of any Hazardous Substances on any Person or property within or outside the boundaries of the Leased Property, (ii) the presence of any Hazardous Substances present or located in, on, under or about the Leased Property and (iii) the violation of any Environmental Law. “Environmental Costs” include costs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4"/>
          </w:cols>
          <w:pgMar w:left="436" w:top="274" w:right="459" w:bottom="1440" w:gutter="0" w:footer="0" w:header="0"/>
        </w:sectPr>
      </w:pPr>
    </w:p>
    <w:bookmarkStart w:id="159" w:name="page160"/>
    <w:bookmarkEnd w:id="159"/>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response, removal, remediation action, containment and cleanup, investigation, design, engineering and construction, damages (including actual but excluding consequential damages or loss of value) for personal injuries and for injury to, destruction of or loss of property or natural resources, relocation or replacement costs, penalties, fines, charges or expenses, reasonable attorney’s fees, expert fees, consultation fees, and court costs, and all amounts paid in investigating, defending or settling any of the foregoing. For purposes of clarity, the indemnification under this </w:t>
      </w:r>
      <w:r>
        <w:rPr>
          <w:rFonts w:ascii="Arial" w:cs="Arial" w:eastAsia="Arial" w:hAnsi="Arial"/>
          <w:sz w:val="17"/>
          <w:szCs w:val="17"/>
          <w:b w:val="1"/>
          <w:bCs w:val="1"/>
          <w:color w:val="auto"/>
        </w:rPr>
        <w:t>Section 32.4</w:t>
      </w:r>
      <w:r>
        <w:rPr>
          <w:rFonts w:ascii="Arial" w:cs="Arial" w:eastAsia="Arial" w:hAnsi="Arial"/>
          <w:sz w:val="17"/>
          <w:szCs w:val="17"/>
          <w:color w:val="auto"/>
        </w:rPr>
        <w:t xml:space="preserve"> shall cover remediation of any environmental conditions that existed prior to the Commencement Date, and shall include all costs and expenses incurred in connected with the ongoing maintenance and monitoring of the Hazardous Substances on the Leased Property.</w:t>
      </w:r>
    </w:p>
    <w:p>
      <w:pPr>
        <w:spacing w:after="0" w:line="178" w:lineRule="exact"/>
        <w:rPr>
          <w:sz w:val="20"/>
          <w:szCs w:val="20"/>
          <w:color w:val="auto"/>
        </w:rPr>
      </w:pPr>
    </w:p>
    <w:p>
      <w:pPr>
        <w:jc w:val="both"/>
        <w:ind w:right="100" w:firstLine="1983"/>
        <w:spacing w:after="0" w:line="263" w:lineRule="auto"/>
        <w:rPr>
          <w:sz w:val="20"/>
          <w:szCs w:val="20"/>
          <w:color w:val="auto"/>
        </w:rPr>
      </w:pPr>
      <w:r>
        <w:rPr>
          <w:rFonts w:ascii="Arial" w:cs="Arial" w:eastAsia="Arial" w:hAnsi="Arial"/>
          <w:sz w:val="18"/>
          <w:szCs w:val="18"/>
          <w:color w:val="auto"/>
        </w:rPr>
        <w:t>Without limiting the scope or generality of the foregoing, Tenant expressly agrees that, in the event of a breach by Tenant in its obligations under this Article XXXII that is not cured within any applicable notice and cure period, Tenant shall reimburse Landlord for any and all reasonable costs of Remediation and other Environmental Costs related to such breach.</w:t>
      </w:r>
    </w:p>
    <w:p>
      <w:pPr>
        <w:spacing w:after="0" w:line="184" w:lineRule="exact"/>
        <w:rPr>
          <w:sz w:val="20"/>
          <w:szCs w:val="20"/>
          <w:color w:val="auto"/>
        </w:rPr>
      </w:pPr>
    </w:p>
    <w:p>
      <w:pPr>
        <w:jc w:val="both"/>
        <w:ind w:right="40" w:firstLine="1983"/>
        <w:spacing w:after="0" w:line="311" w:lineRule="auto"/>
        <w:rPr>
          <w:sz w:val="20"/>
          <w:szCs w:val="20"/>
          <w:color w:val="auto"/>
        </w:rPr>
      </w:pPr>
      <w:r>
        <w:rPr>
          <w:rFonts w:ascii="Arial" w:cs="Arial" w:eastAsia="Arial" w:hAnsi="Arial"/>
          <w:sz w:val="16"/>
          <w:szCs w:val="16"/>
          <w:color w:val="auto"/>
        </w:rPr>
        <w:t>If any claim is made by Landlord for reimbursement for Environmental Costs incurred by it hereunder, Tenant agrees to pay such claim promptly, and in any event to pay such claim within sixty (60) calendar days after receipt by Tenant of written notice thereof and any amount not so paid within such sixty (60) calendar day period shall bear interest at the Overdue Rate from the date due to the date paid in full.</w:t>
      </w:r>
    </w:p>
    <w:p>
      <w:pPr>
        <w:spacing w:after="0" w:line="145" w:lineRule="exact"/>
        <w:rPr>
          <w:sz w:val="20"/>
          <w:szCs w:val="20"/>
          <w:color w:val="auto"/>
        </w:rPr>
      </w:pPr>
    </w:p>
    <w:p>
      <w:pPr>
        <w:ind w:right="20" w:firstLine="1983"/>
        <w:spacing w:after="0" w:line="283" w:lineRule="auto"/>
        <w:rPr>
          <w:sz w:val="20"/>
          <w:szCs w:val="20"/>
          <w:color w:val="auto"/>
        </w:rPr>
      </w:pPr>
      <w:r>
        <w:rPr>
          <w:rFonts w:ascii="Arial" w:cs="Arial" w:eastAsia="Arial" w:hAnsi="Arial"/>
          <w:sz w:val="16"/>
          <w:szCs w:val="16"/>
          <w:b w:val="1"/>
          <w:bCs w:val="1"/>
          <w:color w:val="auto"/>
        </w:rPr>
        <w:t xml:space="preserve">32.5 </w:t>
      </w:r>
      <w:r>
        <w:rPr>
          <w:rFonts w:ascii="Arial" w:cs="Arial" w:eastAsia="Arial" w:hAnsi="Arial"/>
          <w:sz w:val="16"/>
          <w:szCs w:val="16"/>
          <w:b w:val="1"/>
          <w:bCs w:val="1"/>
          <w:u w:val="single" w:color="auto"/>
          <w:color w:val="auto"/>
        </w:rPr>
        <w:t>Environmental Inspections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Landlord has a reasonable basis to believe that Tenant is in breach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Article XXXII, Landlord shall have the right, from time to time, during normal business hours, subject to the rights of subtenants and hotel guests at the Leased Property and upon not less than five (5) days written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(upon not less than ten (10) days written notice to Tenant for invasive testing except in the case of emergency when no advance notice shall be required; provided, that Landlord shall provide notice to Tenant within a reasonable period thereafter) conduct any testing, sampling and analyses it deems necessary and shall have the right to inspect Hazardous Substances brought into the Leased Property; provided that, except in the case of emergency or during the occurrence and continuance of an Event of Default, Landlord shall use commercially reasonable efforts to cause any such testing, sampling and analyses to be performed in such a manner so as to reasonably minimize any interference with the operations and occupancy of the Leased Property and to reasonably minimize any disturbance to guests of Tenant. Landlord may, in its discretion, retain such experts to conduct the inspection, perform the tests referred to herein, and to prepare a written report in connection therewith. In the event Landlord has a reasonable basis to believe that Tenant is in breach of its obligations under this</w:t>
      </w:r>
    </w:p>
    <w:p>
      <w:pPr>
        <w:spacing w:after="0" w:line="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Article XXXII, all reasonable costs and expenses incurred by Landlord under this Section 32.5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To the extent Tenant may be liable pursuant to this Article XXXII, Tenant shall remain liable for any environmental condition related to or having occurred during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60" w:name="page161"/>
    <w:bookmarkEnd w:id="160"/>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tenancy regardless of when such conditions are discovered and regardless of whether or not Landlord conducts an environmental inspection at the termination of this Lease.</w:t>
      </w:r>
    </w:p>
    <w:p>
      <w:pPr>
        <w:spacing w:after="0" w:line="166"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6"/>
          <w:szCs w:val="16"/>
          <w:b w:val="1"/>
          <w:bCs w:val="1"/>
          <w:u w:val="single" w:color="auto"/>
          <w:color w:val="auto"/>
        </w:rPr>
        <w:t>Survival</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obligations set forth in this Article XXXII shall survive the expiration or earlier termination of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XXXIII</w:t>
      </w:r>
    </w:p>
    <w:p>
      <w:pPr>
        <w:spacing w:after="0" w:line="117" w:lineRule="exact"/>
        <w:rPr>
          <w:sz w:val="20"/>
          <w:szCs w:val="20"/>
          <w:color w:val="auto"/>
        </w:rPr>
      </w:pPr>
    </w:p>
    <w:p>
      <w:pPr>
        <w:ind w:firstLine="1983"/>
        <w:spacing w:after="0" w:line="258" w:lineRule="auto"/>
        <w:rPr>
          <w:sz w:val="20"/>
          <w:szCs w:val="20"/>
          <w:color w:val="auto"/>
        </w:rPr>
      </w:pPr>
      <w:r>
        <w:rPr>
          <w:rFonts w:ascii="Arial" w:cs="Arial" w:eastAsia="Arial" w:hAnsi="Arial"/>
          <w:sz w:val="18"/>
          <w:szCs w:val="18"/>
          <w:b w:val="1"/>
          <w:bCs w:val="1"/>
          <w:color w:val="auto"/>
        </w:rPr>
        <w:t xml:space="preserve">33.1 </w:t>
      </w:r>
      <w:r>
        <w:rPr>
          <w:rFonts w:ascii="Arial" w:cs="Arial" w:eastAsia="Arial" w:hAnsi="Arial"/>
          <w:sz w:val="18"/>
          <w:szCs w:val="18"/>
          <w:b w:val="1"/>
          <w:bCs w:val="1"/>
          <w:u w:val="single" w:color="auto"/>
          <w:color w:val="auto"/>
        </w:rPr>
        <w:t>Notice of Lease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shall enter into one or more short form notice of this Lease, in form suitable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recording in each county or other applicable location in which the Leased Property is located in accordance with M.G.L. c. 183, Section 4. Tenant shall pay all costs and expenses of recording any such memorandum and shall fully cooperate with Landlord in removing from record any such memorandum upon the expiration or earlier termination of the Term with respect to the Facility. To the extent of any conflict between the notice of this Lease and this Lease, the provisions of this Lease shall prevail and control.</w:t>
      </w:r>
    </w:p>
    <w:p>
      <w:pPr>
        <w:spacing w:after="0" w:line="183" w:lineRule="exact"/>
        <w:rPr>
          <w:sz w:val="20"/>
          <w:szCs w:val="20"/>
          <w:color w:val="auto"/>
        </w:rPr>
      </w:pPr>
    </w:p>
    <w:p>
      <w:pPr>
        <w:ind w:right="180" w:firstLine="1983"/>
        <w:spacing w:after="0" w:line="272" w:lineRule="auto"/>
        <w:rPr>
          <w:sz w:val="20"/>
          <w:szCs w:val="20"/>
          <w:color w:val="auto"/>
        </w:rPr>
      </w:pPr>
      <w:r>
        <w:rPr>
          <w:rFonts w:ascii="Arial" w:cs="Arial" w:eastAsia="Arial" w:hAnsi="Arial"/>
          <w:sz w:val="17"/>
          <w:szCs w:val="17"/>
          <w:b w:val="1"/>
          <w:bCs w:val="1"/>
          <w:color w:val="auto"/>
        </w:rPr>
        <w:t xml:space="preserve">33.2 </w:t>
      </w:r>
      <w:r>
        <w:rPr>
          <w:rFonts w:ascii="Arial" w:cs="Arial" w:eastAsia="Arial" w:hAnsi="Arial"/>
          <w:sz w:val="17"/>
          <w:szCs w:val="17"/>
          <w:b w:val="1"/>
          <w:bCs w:val="1"/>
          <w:u w:val="single" w:color="auto"/>
          <w:color w:val="auto"/>
        </w:rPr>
        <w:t>Tenant Financing</w:t>
      </w:r>
      <w:r>
        <w:rPr>
          <w:rFonts w:ascii="Arial" w:cs="Arial" w:eastAsia="Arial" w:hAnsi="Arial"/>
          <w:sz w:val="17"/>
          <w:szCs w:val="17"/>
          <w:b w:val="1"/>
          <w:bCs w:val="1"/>
          <w:color w:val="auto"/>
        </w:rPr>
        <w:t xml:space="preserve">. </w:t>
      </w:r>
      <w:r>
        <w:rPr>
          <w:rFonts w:ascii="Arial" w:cs="Arial" w:eastAsia="Arial" w:hAnsi="Arial"/>
          <w:sz w:val="17"/>
          <w:szCs w:val="17"/>
          <w:color w:val="auto"/>
        </w:rPr>
        <w:t>If, in connection with granting any Permitted Leasehold Mortgage or entering into a Debt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Tenant shall reasonably request (A) reasonable cooperation from Landlord, Landlord shall provide the same at no cost or expense to Landlord, it being understood and agreed that Tenant shall be required to reimburse Landlord for all such costs and expenses so incurred by Landlord, including, but not limited to, its reasonable out-of-pocket attorneys’ fees, or (B) reasonable amendments or modifications to this Lease as a condition thereto, Landlord hereby agrees to execute and deliver the same so long as any such amendments or modifications do not (i) increase Landlord’s monetary obligations under this Lease, (ii) adversely increase Landlord’s non-monetary obligations under this Lease in any material respect, (iii) diminish Landlord’s rights under this Lease in any material respect, (iv) adversely impact the value of the Leased Property or (v) adversely impact Landlord’s (or any Affiliate of Landlord’s) tax treatment or position.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XXXIV</w:t>
      </w:r>
    </w:p>
    <w:p>
      <w:pPr>
        <w:spacing w:after="0" w:line="117"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6"/>
          <w:szCs w:val="16"/>
          <w:b w:val="1"/>
          <w:bCs w:val="1"/>
          <w:u w:val="single" w:color="auto"/>
          <w:color w:val="auto"/>
        </w:rPr>
        <w:t>Expert Valuation Process</w:t>
      </w:r>
      <w:r>
        <w:rPr>
          <w:rFonts w:ascii="Arial" w:cs="Arial" w:eastAsia="Arial" w:hAnsi="Arial"/>
          <w:sz w:val="16"/>
          <w:szCs w:val="16"/>
          <w:b w:val="1"/>
          <w:bCs w:val="1"/>
          <w:color w:val="auto"/>
        </w:rPr>
        <w:t>.</w:t>
      </w:r>
    </w:p>
    <w:p>
      <w:pPr>
        <w:spacing w:after="0" w:line="229" w:lineRule="exact"/>
        <w:rPr>
          <w:sz w:val="20"/>
          <w:szCs w:val="20"/>
          <w:color w:val="auto"/>
        </w:rPr>
      </w:pPr>
    </w:p>
    <w:p>
      <w:pPr>
        <w:ind w:firstLine="1979"/>
        <w:spacing w:after="0" w:line="273" w:lineRule="auto"/>
        <w:tabs>
          <w:tab w:leader="none" w:pos="236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In the event that the opinion of an “Expert” is required under this Lease and Landlord and Tenant have not been able to reach agreement on such Person after at least ten (10) Business Days of good faith negotiations, then either party shall each have the right to seek appointment of the Expert by the “Appointing Authority,” as defined below, by writing to the Appointing Authority, copying the other party, and asking it to serve as the Appointing Authority and appoint the Expert. The Appointing Authority shall appoint an Expert who is independent of the parties and has at least ten (10) years of experience valuing commercial real estate and/or in leasing or other matters, as applicable with respect to any of the matters to be determined by the Expert and in the geographic area where the Leased Property is located.</w:t>
      </w:r>
    </w:p>
    <w:p>
      <w:pPr>
        <w:spacing w:after="0" w:line="173" w:lineRule="exact"/>
        <w:rPr>
          <w:rFonts w:ascii="Arial" w:cs="Arial" w:eastAsia="Arial" w:hAnsi="Arial"/>
          <w:sz w:val="17"/>
          <w:szCs w:val="17"/>
          <w:color w:val="auto"/>
        </w:rPr>
      </w:pPr>
    </w:p>
    <w:p>
      <w:pPr>
        <w:ind w:right="40" w:firstLine="1979"/>
        <w:spacing w:after="0" w:line="261" w:lineRule="auto"/>
        <w:tabs>
          <w:tab w:leader="none" w:pos="236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Appointing Authority</w:t>
      </w:r>
      <w:r>
        <w:rPr>
          <w:rFonts w:ascii="Arial" w:cs="Arial" w:eastAsia="Arial" w:hAnsi="Arial"/>
          <w:sz w:val="18"/>
          <w:szCs w:val="18"/>
          <w:color w:val="auto"/>
        </w:rPr>
        <w:t>” shall be (i) the Institute for Conflict Prevention and Resolution (also known as, and shall be defined herein as, the “</w:t>
      </w:r>
      <w:r>
        <w:rPr>
          <w:rFonts w:ascii="Arial" w:cs="Arial" w:eastAsia="Arial" w:hAnsi="Arial"/>
          <w:sz w:val="18"/>
          <w:szCs w:val="18"/>
          <w:b w:val="1"/>
          <w:bCs w:val="1"/>
          <w:color w:val="auto"/>
        </w:rPr>
        <w:t>CPR Institute</w:t>
      </w:r>
      <w:r>
        <w:rPr>
          <w:rFonts w:ascii="Arial" w:cs="Arial" w:eastAsia="Arial" w:hAnsi="Arial"/>
          <w:sz w:val="18"/>
          <w:szCs w:val="18"/>
          <w:color w:val="auto"/>
        </w:rPr>
        <w:t>”), unless it is unable to serve, in which case the Appointing Authority shall be (ii) the American Arbitration Association (“</w:t>
      </w:r>
      <w:r>
        <w:rPr>
          <w:rFonts w:ascii="Arial" w:cs="Arial" w:eastAsia="Arial" w:hAnsi="Arial"/>
          <w:sz w:val="18"/>
          <w:szCs w:val="18"/>
          <w:b w:val="1"/>
          <w:bCs w:val="1"/>
          <w:color w:val="auto"/>
        </w:rPr>
        <w:t>AAA</w:t>
      </w:r>
      <w:r>
        <w:rPr>
          <w:rFonts w:ascii="Arial" w:cs="Arial" w:eastAsia="Arial" w:hAnsi="Arial"/>
          <w:sz w:val="18"/>
          <w:szCs w:val="18"/>
          <w:color w:val="auto"/>
        </w:rPr>
        <w:t>”) under its Arbitrator Select Program for non-administered arbitrations or whatever AAA process is in effect at the time for the appointment of arbitrators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4" w:right="479" w:bottom="1440" w:gutter="0" w:footer="0" w:header="0"/>
        </w:sectPr>
      </w:pPr>
    </w:p>
    <w:bookmarkStart w:id="161" w:name="page162"/>
    <w:bookmarkEnd w:id="161"/>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cases not administered by the AAA, unless it is unable to serve, in which case (iii) the parties shall have the right to apply to any court of competent jurisdiction to appoint an Appointing Authority or an Expert in accordance with the court’s power to appoint arbitrators. The CPR Institute and the AAA shall each be considered unable to serve if it no longer exists, or if it no longer provides neutral appointment services, or if it does not confirm (in form or substance) that it will serve as the Appointing Authority within thirty (30) days after receiving a written request from Landlord or Tenant to serve as the Appointing Authority, or if, despite agreeing to serve as the Appointing Authority, it does not confirm its Expert appointment within sixty (60) after receiving such written request. The Appointing Authority’s appointment of the Expert shall be final and binding upon the parties. The Appointing Authority shall have no power or authority except to appoint the Expert, and no rules of the Appointing Authority shall be applied to the valuation or other determination of the Expert other than the rules necessary for the appointment of the Expert.</w:t>
      </w:r>
    </w:p>
    <w:p>
      <w:pPr>
        <w:spacing w:after="0" w:line="178" w:lineRule="exact"/>
        <w:rPr>
          <w:sz w:val="20"/>
          <w:szCs w:val="20"/>
          <w:color w:val="auto"/>
        </w:rPr>
      </w:pPr>
    </w:p>
    <w:p>
      <w:pPr>
        <w:ind w:firstLine="1979"/>
        <w:spacing w:after="0" w:line="287" w:lineRule="auto"/>
        <w:tabs>
          <w:tab w:leader="none" w:pos="236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Once the Expert is finally selected, either by agreement of the parties or by confirmation to the parties from the Appointing Authority, the Expert will determine the matter in question, by proceeding as follows: In the case of an Expert required for any purpose, including without limitation under Section 13.2 and Section 36.2(a) hereof, each of Landlord and Tenant shall have a period of ten (10) Business Days to submit to the Expert its position as to the Maximum Foreseeable Loss or fair market value rent (or as to any other matter to be resolved by an Expert hereunder), as the case may be, and any materials each of Landlord and Tenant wishes the Expert to consider when determining such Maximum Foreseeable Loss or fair market value rent (or as to any other matter to be resolved by an Expert hereunder), and the Expert will then make the relevant determination, by a “baseball arbitration” proceeding with the Expert limited to awarding only one or the other of the two positions submitted (and not any position in between or other compromise or ruling not consistent with one of the two positions submitted), which shall then be binding on the parties hereto. The Expert, in his or her sole discretion, shall consider any and all materials that he or she deems relevant, except that there shall be no live hearings and the parties shall not be permitted to take discovery. The Expert may submit written questions or information requests to the parties, and the parties may respond with written materials within a time frame agreed by the parties or, absent agreement by the parties, set by the Expert.</w:t>
      </w:r>
    </w:p>
    <w:p>
      <w:pPr>
        <w:spacing w:after="0" w:line="171" w:lineRule="exact"/>
        <w:rPr>
          <w:rFonts w:ascii="Arial" w:cs="Arial" w:eastAsia="Arial" w:hAnsi="Arial"/>
          <w:sz w:val="16"/>
          <w:szCs w:val="16"/>
          <w:color w:val="auto"/>
        </w:rPr>
      </w:pPr>
    </w:p>
    <w:p>
      <w:pPr>
        <w:ind w:right="80" w:firstLine="1979"/>
        <w:spacing w:after="0" w:line="277" w:lineRule="auto"/>
        <w:tabs>
          <w:tab w:leader="none" w:pos="236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communications between a party and either the Appointing Authority or the Expert shall also be copied to the other party. The parties shall cooperate in good faith to facilitate the valuation or other determination by the Expert.</w:t>
      </w:r>
    </w:p>
    <w:p>
      <w:pPr>
        <w:spacing w:after="0" w:line="170" w:lineRule="exact"/>
        <w:rPr>
          <w:rFonts w:ascii="Arial" w:cs="Arial" w:eastAsia="Arial" w:hAnsi="Arial"/>
          <w:sz w:val="18"/>
          <w:szCs w:val="18"/>
          <w:color w:val="auto"/>
        </w:rPr>
      </w:pPr>
    </w:p>
    <w:p>
      <w:pPr>
        <w:ind w:right="140" w:firstLine="1979"/>
        <w:spacing w:after="0" w:line="259" w:lineRule="auto"/>
        <w:tabs>
          <w:tab w:leader="none" w:pos="235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costs of any Appointing Authority or Expert engaged with respect to any issue under Section 34.1(c) of this Lease shall be borne by the party against whom the Expert rules on such issue. If Landlord pays such Expert or Appointing Authority and is the prevailing party, such costs shall be Additional Charges hereunder and if Tenant pays such Expert or Appointing Authority and is the prevailing party, such costs shall be a credit against the next Rent payment hereunder.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XXXV</w:t>
      </w:r>
    </w:p>
    <w:p>
      <w:pPr>
        <w:spacing w:after="0" w:line="117" w:lineRule="exact"/>
        <w:rPr>
          <w:sz w:val="20"/>
          <w:szCs w:val="20"/>
          <w:color w:val="auto"/>
        </w:rPr>
      </w:pPr>
    </w:p>
    <w:p>
      <w:pPr>
        <w:ind w:right="120" w:firstLine="1983"/>
        <w:spacing w:after="0" w:line="282" w:lineRule="auto"/>
        <w:rPr>
          <w:sz w:val="20"/>
          <w:szCs w:val="20"/>
          <w:color w:val="auto"/>
        </w:rPr>
      </w:pPr>
      <w:r>
        <w:rPr>
          <w:rFonts w:ascii="Arial" w:cs="Arial" w:eastAsia="Arial" w:hAnsi="Arial"/>
          <w:sz w:val="18"/>
          <w:szCs w:val="18"/>
          <w:b w:val="1"/>
          <w:bCs w:val="1"/>
          <w:color w:val="auto"/>
        </w:rPr>
        <w:t xml:space="preserve">35.1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request or other communication to be given by any party hereunder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sent by registered or certified mail, postage prepaid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440" w:top="274" w:right="439" w:bottom="1440" w:gutter="0" w:footer="0" w:header="0"/>
        </w:sectPr>
      </w:pPr>
    </w:p>
    <w:bookmarkStart w:id="162" w:name="page163"/>
    <w:bookmarkEnd w:id="162"/>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return receipt requested, by hand delivery or express courier service, by facsimile transmission or by an overnight express service to the following address:</w:t>
      </w:r>
    </w:p>
    <w:p>
      <w:pPr>
        <w:sectPr>
          <w:pgSz w:w="11900" w:h="16838" w:orient="portrait"/>
          <w:cols w:equalWidth="0" w:num="1">
            <w:col w:w="10920"/>
          </w:cols>
          <w:pgMar w:left="440" w:top="274" w:right="539" w:bottom="1440" w:gutter="0" w:footer="0" w:header="0"/>
        </w:sectPr>
      </w:pPr>
    </w:p>
    <w:p>
      <w:pPr>
        <w:spacing w:after="0" w:line="197" w:lineRule="exact"/>
        <w:rPr>
          <w:sz w:val="20"/>
          <w:szCs w:val="20"/>
          <w:color w:val="auto"/>
        </w:rPr>
      </w:pPr>
    </w:p>
    <w:p>
      <w:pPr>
        <w:jc w:val="center"/>
        <w:ind w:left="480"/>
        <w:spacing w:after="0"/>
        <w:rPr>
          <w:sz w:val="20"/>
          <w:szCs w:val="20"/>
          <w:color w:val="auto"/>
        </w:rPr>
      </w:pPr>
      <w:r>
        <w:rPr>
          <w:rFonts w:ascii="Arial" w:cs="Arial" w:eastAsia="Arial" w:hAnsi="Arial"/>
          <w:sz w:val="15"/>
          <w:szCs w:val="15"/>
          <w:color w:val="auto"/>
        </w:rPr>
        <w:t>To Tenant: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Wynn MA,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TENANT]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Everett, MA 02149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Jacqui Krum, SVP and General Counsel</w:t>
      </w:r>
    </w:p>
    <w:p>
      <w:pPr>
        <w:spacing w:after="0" w:line="139" w:lineRule="exact"/>
        <w:rPr>
          <w:sz w:val="20"/>
          <w:szCs w:val="20"/>
          <w:color w:val="auto"/>
        </w:rPr>
      </w:pPr>
    </w:p>
    <w:p>
      <w:pPr>
        <w:sectPr>
          <w:pgSz w:w="11900" w:h="16838" w:orient="portrait"/>
          <w:cols w:equalWidth="0" w:num="2">
            <w:col w:w="4240" w:space="720"/>
            <w:col w:w="5960"/>
          </w:cols>
          <w:pgMar w:left="440" w:top="274" w:right="539" w:bottom="1440" w:gutter="0" w:footer="0" w:header="0"/>
          <w:type w:val="continuous"/>
        </w:sectPr>
      </w:pPr>
    </w:p>
    <w:p>
      <w:pPr>
        <w:ind w:left="198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(that shall not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Brett Rosenblatt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(858) 523-5450</w:t>
      </w:r>
    </w:p>
    <w:p>
      <w:pPr>
        <w:spacing w:after="0" w:line="139" w:lineRule="exact"/>
        <w:rPr>
          <w:sz w:val="20"/>
          <w:szCs w:val="20"/>
          <w:color w:val="auto"/>
        </w:rPr>
      </w:pPr>
    </w:p>
    <w:p>
      <w:pPr>
        <w:sectPr>
          <w:pgSz w:w="11900" w:h="16838" w:orient="portrait"/>
          <w:cols w:equalWidth="0" w:num="2">
            <w:col w:w="4240" w:space="720"/>
            <w:col w:w="5960"/>
          </w:cols>
          <w:pgMar w:left="440" w:top="274" w:right="539" w:bottom="1440" w:gutter="0" w:footer="0" w:header="0"/>
          <w:type w:val="continuous"/>
        </w:sectPr>
      </w:pPr>
    </w:p>
    <w:p>
      <w:pPr>
        <w:jc w:val="center"/>
        <w:ind w:left="660"/>
        <w:spacing w:after="0"/>
        <w:rPr>
          <w:sz w:val="20"/>
          <w:szCs w:val="20"/>
          <w:color w:val="auto"/>
        </w:rPr>
      </w:pPr>
      <w:r>
        <w:rPr>
          <w:rFonts w:ascii="Arial" w:cs="Arial" w:eastAsia="Arial" w:hAnsi="Arial"/>
          <w:sz w:val="16"/>
          <w:szCs w:val="16"/>
          <w:color w:val="auto"/>
        </w:rPr>
        <w:t>To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EBH MA Property,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MDC Encore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11995 El Camino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(858) 481-4862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notices@realtyincome.com</w:t>
      </w:r>
    </w:p>
    <w:p>
      <w:pPr>
        <w:spacing w:after="0" w:line="200" w:lineRule="exact"/>
        <w:rPr>
          <w:sz w:val="20"/>
          <w:szCs w:val="20"/>
          <w:color w:val="auto"/>
        </w:rPr>
      </w:pPr>
    </w:p>
    <w:p>
      <w:pPr>
        <w:sectPr>
          <w:pgSz w:w="11900" w:h="16838" w:orient="portrait"/>
          <w:cols w:equalWidth="0" w:num="2">
            <w:col w:w="4240" w:space="720"/>
            <w:col w:w="5960"/>
          </w:cols>
          <w:pgMar w:left="440" w:top="274" w:right="539" w:bottom="1440" w:gutter="0" w:footer="0" w:header="0"/>
          <w:type w:val="continuous"/>
        </w:sectPr>
      </w:pPr>
    </w:p>
    <w:p>
      <w:pPr>
        <w:spacing w:after="0" w:line="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Notice sent by facsimile transmission shall be deemed given upon confirmation that such Notice was received at the number specified above or in a Notice to the sender.</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XXXVI</w:t>
      </w:r>
    </w:p>
    <w:p>
      <w:pPr>
        <w:spacing w:after="0" w:line="117" w:lineRule="exact"/>
        <w:rPr>
          <w:sz w:val="20"/>
          <w:szCs w:val="20"/>
          <w:color w:val="auto"/>
        </w:rPr>
      </w:pPr>
    </w:p>
    <w:p>
      <w:pPr>
        <w:ind w:firstLine="1983"/>
        <w:spacing w:after="0" w:line="289" w:lineRule="auto"/>
        <w:rPr>
          <w:sz w:val="20"/>
          <w:szCs w:val="20"/>
          <w:color w:val="auto"/>
        </w:rPr>
      </w:pPr>
      <w:r>
        <w:rPr>
          <w:rFonts w:ascii="Arial" w:cs="Arial" w:eastAsia="Arial" w:hAnsi="Arial"/>
          <w:sz w:val="16"/>
          <w:szCs w:val="16"/>
          <w:b w:val="1"/>
          <w:bCs w:val="1"/>
          <w:color w:val="auto"/>
        </w:rPr>
        <w:t xml:space="preserve">36.1 </w:t>
      </w:r>
      <w:r>
        <w:rPr>
          <w:rFonts w:ascii="Arial" w:cs="Arial" w:eastAsia="Arial" w:hAnsi="Arial"/>
          <w:sz w:val="16"/>
          <w:szCs w:val="16"/>
          <w:b w:val="1"/>
          <w:bCs w:val="1"/>
          <w:u w:val="single" w:color="auto"/>
          <w:color w:val="auto"/>
        </w:rPr>
        <w:t>Transfer of Tenant’s Property and Operational Control of the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written request (an “</w:t>
      </w:r>
      <w:r>
        <w:rPr>
          <w:rFonts w:ascii="Arial" w:cs="Arial" w:eastAsia="Arial" w:hAnsi="Arial"/>
          <w:sz w:val="16"/>
          <w:szCs w:val="16"/>
          <w:b w:val="1"/>
          <w:bCs w:val="1"/>
          <w:color w:val="auto"/>
        </w:rPr>
        <w:t>End of Term Gaming Asset Transfer Notice</w:t>
      </w:r>
      <w:r>
        <w:rPr>
          <w:rFonts w:ascii="Arial" w:cs="Arial" w:eastAsia="Arial" w:hAnsi="Arial"/>
          <w:sz w:val="16"/>
          <w:szCs w:val="16"/>
          <w:color w:val="auto"/>
        </w:rPr>
        <w:t>”) of Landlord either immediately prior to or in connection with the expiration or earlier termination of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of Tenant in connection with a termination of this Lease that occurs (i) either on the last date of the Initial Term or the last date of the Renewal Term, or (ii) in the event Landlord exercises its right to terminate this Lease or repossess the Leased Property in accordance with the terms of this Lease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of the foregoing clauses (i) or (ii), Tenant complies with the provisions of Section 36.3, Tenant shall transfer (or cause to be transferred) upon the expiration of the Term, or as soon thereafter as Landlord shall request, the business operations conducted by Tenant and its Subsidiaries at the Facility (including, for the avoidance of doubt, all Tenant Capital Improvements and all Tenant’s Property relating to the Facility other than tradenames, trademarks, trade dress (whether registered or unregistered), copyrights, design and utility patents, and Excluded Art but including all other Facility specific information and assets) to a successor lessee or operator (or lessees or operators) of the Facility (collectively, the “</w:t>
      </w:r>
      <w:r>
        <w:rPr>
          <w:rFonts w:ascii="Arial" w:cs="Arial" w:eastAsia="Arial" w:hAnsi="Arial"/>
          <w:sz w:val="16"/>
          <w:szCs w:val="16"/>
          <w:b w:val="1"/>
          <w:bCs w:val="1"/>
          <w:color w:val="auto"/>
        </w:rPr>
        <w:t>Successor Tenant</w:t>
      </w:r>
      <w:r>
        <w:rPr>
          <w:rFonts w:ascii="Arial" w:cs="Arial" w:eastAsia="Arial" w:hAnsi="Arial"/>
          <w:sz w:val="16"/>
          <w:szCs w:val="16"/>
          <w:color w:val="auto"/>
        </w:rPr>
        <w:t>”) designated by Landlord or, if applicable, pursuant to Section 36.2 for consideration to be received</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20"/>
          </w:cols>
          <w:pgMar w:left="440" w:top="274" w:right="539" w:bottom="1440" w:gutter="0" w:footer="0" w:header="0"/>
          <w:type w:val="continuous"/>
        </w:sectPr>
      </w:pPr>
    </w:p>
    <w:bookmarkStart w:id="163" w:name="page164"/>
    <w:bookmarkEnd w:id="163"/>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Tenant (or its Subsidiaries or Affiliates) from the Successor Tenant in an amount to be negotiated and agreed to by Tenant and such Successor Tenant or, if applicable, determined pursuant to </w:t>
      </w:r>
      <w:r>
        <w:rPr>
          <w:rFonts w:ascii="Arial" w:cs="Arial" w:eastAsia="Arial" w:hAnsi="Arial"/>
          <w:sz w:val="16"/>
          <w:szCs w:val="16"/>
          <w:u w:val="single" w:color="auto"/>
          <w:color w:val="auto"/>
        </w:rPr>
        <w:t>Section 36.3</w:t>
      </w:r>
      <w:r>
        <w:rPr>
          <w:rFonts w:ascii="Arial" w:cs="Arial" w:eastAsia="Arial" w:hAnsi="Arial"/>
          <w:sz w:val="16"/>
          <w:szCs w:val="16"/>
          <w:color w:val="auto"/>
        </w:rPr>
        <w:t xml:space="preserve"> (the “</w:t>
      </w:r>
      <w:r>
        <w:rPr>
          <w:rFonts w:ascii="Arial" w:cs="Arial" w:eastAsia="Arial" w:hAnsi="Arial"/>
          <w:sz w:val="16"/>
          <w:szCs w:val="16"/>
          <w:b w:val="1"/>
          <w:bCs w:val="1"/>
          <w:color w:val="auto"/>
        </w:rPr>
        <w:t>Gaming Assets FMV</w:t>
      </w:r>
      <w:r>
        <w:rPr>
          <w:rFonts w:ascii="Arial" w:cs="Arial" w:eastAsia="Arial" w:hAnsi="Arial"/>
          <w:sz w:val="16"/>
          <w:szCs w:val="16"/>
          <w:color w:val="auto"/>
        </w:rPr>
        <w:t xml:space="preserve">”) as negotiated and agreed by Tenant and the Successor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an End of Term Gaming Asset Transfer Notice is delivered hereunder, then notwithstanding the expiration or earlier termination of the Term, until such time that Tenant transfers the business operations conducted at the Facility and Tenant’s Property to a Successor Tenant, Tenant shall (or shall cause its Subsidiaries to) continue to (and Landlord shall permit Tenant to maintain possession of the Leased Property to the extent necessary to) operate the Facility in accordance with the applicable terms of this Lease and the course and manner in which Tenant (or its Subsidiaries) has operated the Facility prior to the end of the Term (including, but not limited to, the payment of Rent hereunder, provided that for any period following the last day of the calendar month in which the expiration or earlier termination of the Term occurs, Rent shall be a per annum amount equal to the product of: (A) the annual amount of Rent payable hereunder immediately prior to such expiration or earlier termination, multiplied by</w:t>
      </w:r>
    </w:p>
    <w:p>
      <w:pPr>
        <w:spacing w:after="0" w:line="6" w:lineRule="exact"/>
        <w:rPr>
          <w:sz w:val="20"/>
          <w:szCs w:val="20"/>
          <w:color w:val="auto"/>
        </w:rPr>
      </w:pPr>
    </w:p>
    <w:p>
      <w:pPr>
        <w:ind w:left="4" w:right="80" w:hanging="4"/>
        <w:spacing w:after="0" w:line="253" w:lineRule="auto"/>
        <w:tabs>
          <w:tab w:leader="none" w:pos="28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Escalated Rent Percentage). If Tenant and a potential Successor Tenant designated by Landlord cannot agree on the Gaming Assets FMV within a reasonable time not to exceed thirty (30) days after receipt of an End of Term Gaming Asset Transfer Notice hereunder, then such Gaming Assets FMV shall be determined, and Tenant’s transfer of Tenant’s Property to a Successor Tenant in consideration for a payment in such amount shall be determined and transferred, in accordance with the provisions of Section 36.2.</w:t>
      </w:r>
    </w:p>
    <w:p>
      <w:pPr>
        <w:spacing w:after="0" w:line="189" w:lineRule="exact"/>
        <w:rPr>
          <w:sz w:val="20"/>
          <w:szCs w:val="20"/>
          <w:color w:val="auto"/>
        </w:rPr>
      </w:pPr>
    </w:p>
    <w:p>
      <w:pPr>
        <w:ind w:left="4" w:firstLine="1983"/>
        <w:spacing w:after="0" w:line="285" w:lineRule="auto"/>
        <w:rPr>
          <w:sz w:val="20"/>
          <w:szCs w:val="20"/>
          <w:color w:val="auto"/>
        </w:rPr>
      </w:pPr>
      <w:r>
        <w:rPr>
          <w:rFonts w:ascii="Arial" w:cs="Arial" w:eastAsia="Arial" w:hAnsi="Arial"/>
          <w:sz w:val="16"/>
          <w:szCs w:val="16"/>
          <w:b w:val="1"/>
          <w:bCs w:val="1"/>
          <w:color w:val="auto"/>
        </w:rPr>
        <w:t xml:space="preserve">36.2 </w:t>
      </w:r>
      <w:r>
        <w:rPr>
          <w:rFonts w:ascii="Arial" w:cs="Arial" w:eastAsia="Arial" w:hAnsi="Arial"/>
          <w:sz w:val="16"/>
          <w:szCs w:val="16"/>
          <w:b w:val="1"/>
          <w:bCs w:val="1"/>
          <w:u w:val="single" w:color="auto"/>
          <w:color w:val="auto"/>
        </w:rPr>
        <w:t>Determination of Successor Tenant and Gaming Assets FMV</w:t>
      </w:r>
      <w:r>
        <w:rPr>
          <w:rFonts w:ascii="Arial" w:cs="Arial" w:eastAsia="Arial" w:hAnsi="Arial"/>
          <w:sz w:val="16"/>
          <w:szCs w:val="16"/>
          <w:b w:val="1"/>
          <w:bCs w:val="1"/>
          <w:color w:val="auto"/>
        </w:rPr>
        <w:t xml:space="preserve">. </w:t>
      </w:r>
      <w:r>
        <w:rPr>
          <w:rFonts w:ascii="Arial" w:cs="Arial" w:eastAsia="Arial" w:hAnsi="Arial"/>
          <w:sz w:val="16"/>
          <w:szCs w:val="16"/>
          <w:color w:val="auto"/>
        </w:rPr>
        <w:t>If not effected pursuant to Section 36.1, then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determination of the Gaming Assets FMV and the transfer of Tenant’s Property to a Successor Tenant in consideration for the Gaming Assets FMV shall be effected by (i) </w:t>
      </w:r>
      <w:r>
        <w:rPr>
          <w:rFonts w:ascii="Arial" w:cs="Arial" w:eastAsia="Arial" w:hAnsi="Arial"/>
          <w:sz w:val="16"/>
          <w:szCs w:val="16"/>
          <w:u w:val="single" w:color="auto"/>
          <w:color w:val="auto"/>
        </w:rPr>
        <w:t>first</w:t>
      </w:r>
      <w:r>
        <w:rPr>
          <w:rFonts w:ascii="Arial" w:cs="Arial" w:eastAsia="Arial" w:hAnsi="Arial"/>
          <w:sz w:val="16"/>
          <w:szCs w:val="16"/>
          <w:color w:val="auto"/>
        </w:rPr>
        <w:t>, determining in accordance with Section 36.2(a) the rent that Landlord would be entitled to receive from Successor Tenant assuming a lease term of ten (10) years (the “</w:t>
      </w:r>
      <w:r>
        <w:rPr>
          <w:rFonts w:ascii="Arial" w:cs="Arial" w:eastAsia="Arial" w:hAnsi="Arial"/>
          <w:sz w:val="16"/>
          <w:szCs w:val="16"/>
          <w:b w:val="1"/>
          <w:bCs w:val="1"/>
          <w:color w:val="auto"/>
        </w:rPr>
        <w:t>Successor Tenant Rent</w:t>
      </w:r>
      <w:r>
        <w:rPr>
          <w:rFonts w:ascii="Arial" w:cs="Arial" w:eastAsia="Arial" w:hAnsi="Arial"/>
          <w:sz w:val="16"/>
          <w:szCs w:val="16"/>
          <w:color w:val="auto"/>
        </w:rPr>
        <w:t xml:space="preserve">”) pursuant to a lease agreement containing substantially the same terms and conditions of this Lease (other than, in the case of a new lease at the end of the Renewal Term, the terms of this Article XXXVI, which will not be included in such new lease), (ii) </w:t>
      </w:r>
      <w:r>
        <w:rPr>
          <w:rFonts w:ascii="Arial" w:cs="Arial" w:eastAsia="Arial" w:hAnsi="Arial"/>
          <w:sz w:val="16"/>
          <w:szCs w:val="16"/>
          <w:u w:val="single" w:color="auto"/>
          <w:color w:val="auto"/>
        </w:rPr>
        <w:t>second</w:t>
      </w:r>
      <w:r>
        <w:rPr>
          <w:rFonts w:ascii="Arial" w:cs="Arial" w:eastAsia="Arial" w:hAnsi="Arial"/>
          <w:sz w:val="16"/>
          <w:szCs w:val="16"/>
          <w:color w:val="auto"/>
        </w:rPr>
        <w:t>, identifying and designating in accordance with the terms of Section 36.2(b), a pool of qualified potential Successor Tenants (each, a “</w:t>
      </w:r>
      <w:r>
        <w:rPr>
          <w:rFonts w:ascii="Arial" w:cs="Arial" w:eastAsia="Arial" w:hAnsi="Arial"/>
          <w:sz w:val="16"/>
          <w:szCs w:val="16"/>
          <w:b w:val="1"/>
          <w:bCs w:val="1"/>
          <w:color w:val="auto"/>
        </w:rPr>
        <w:t>Qualified Successor Tenant</w:t>
      </w:r>
      <w:r>
        <w:rPr>
          <w:rFonts w:ascii="Arial" w:cs="Arial" w:eastAsia="Arial" w:hAnsi="Arial"/>
          <w:sz w:val="16"/>
          <w:szCs w:val="16"/>
          <w:color w:val="auto"/>
        </w:rPr>
        <w:t xml:space="preserve">”) prepared to lease the Facility at the Successor Tenant Rent and to bid for the business operations (which will include a transition arrangement related to the tradenames and trademarks used at the Facility to be agreed to the extent Tenant is able to grant rights therein) conducted at the Facility and Tenant’s Property, and (iii) </w:t>
      </w:r>
      <w:r>
        <w:rPr>
          <w:rFonts w:ascii="Arial" w:cs="Arial" w:eastAsia="Arial" w:hAnsi="Arial"/>
          <w:sz w:val="16"/>
          <w:szCs w:val="16"/>
          <w:u w:val="single" w:color="auto"/>
          <w:color w:val="auto"/>
        </w:rPr>
        <w:t>third</w:t>
      </w:r>
      <w:r>
        <w:rPr>
          <w:rFonts w:ascii="Arial" w:cs="Arial" w:eastAsia="Arial" w:hAnsi="Arial"/>
          <w:sz w:val="16"/>
          <w:szCs w:val="16"/>
          <w:color w:val="auto"/>
        </w:rPr>
        <w:t>, in accordance with the terms of Section 36.2(c), determining the highest price a Qualified Successor Tenant would agree to pay for Tenant’s Property and setting such highest price as the Gaming Assets FMV in exchange for which Tenant shall be required to transfer Tenant’s Property and Landlord will enter into a lease with such Qualified Successor Tenant on substantially the same terms and conditions of this Lease (other than, in the case of a new lease at the end of the Renewal Term, the terms of this Article XXXVI, which will not be included in such new lease) through the remaining term of this Lease (assuming that this Lease will not have terminated prior to its natural expiration at the end of the Renewal Term) or ten (10) years, whichever is greater for a rent calculated pursuant to Section 36.2(a) hereof. Notwithstanding anything in the contrary in this Article XXXVI, the transfer of Tenant’s Property will be conditioned upon the Successor Tenant obtaining the Gaming Licenses or the approval of the applicable regulatory agencies of the transfer of the Gaming Licenses and any other gaming assets to the Successor Tenant and/or the issuance of new gaming licenses as required by applicable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4"/>
          </w:cols>
          <w:pgMar w:left="436" w:top="274" w:right="459" w:bottom="1440" w:gutter="0" w:footer="0" w:header="0"/>
        </w:sectPr>
      </w:pPr>
    </w:p>
    <w:bookmarkStart w:id="164" w:name="page165"/>
    <w:bookmarkEnd w:id="16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Gaming Regulations and the relevant regulatory agencies both with respect to operating and suitability criteria, as the case may be.</w:t>
      </w:r>
    </w:p>
    <w:p>
      <w:pPr>
        <w:spacing w:after="0" w:line="225" w:lineRule="exact"/>
        <w:rPr>
          <w:sz w:val="20"/>
          <w:szCs w:val="20"/>
          <w:color w:val="auto"/>
        </w:rPr>
      </w:pPr>
    </w:p>
    <w:p>
      <w:pPr>
        <w:ind w:left="4" w:right="100" w:firstLine="1979"/>
        <w:spacing w:after="0" w:line="296" w:lineRule="auto"/>
        <w:tabs>
          <w:tab w:leader="none" w:pos="2366"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Determining Successor Tenant Rent</w:t>
      </w:r>
      <w:r>
        <w:rPr>
          <w:rFonts w:ascii="Arial" w:cs="Arial" w:eastAsia="Arial" w:hAnsi="Arial"/>
          <w:sz w:val="16"/>
          <w:szCs w:val="16"/>
          <w:color w:val="auto"/>
        </w:rPr>
        <w:t>. Landlord and Tenant shall first attempt to agree on the amount of Successor Tenant Rent that it will be assumed Landlord will be entitled to receive for a term of ten (10) years and pursuant to a lease containing substantially the same terms and conditions of this Lease (other than, in the case of a new lease at the end of the Renewal Term, the terms of this Article XXXVI, which will not be included in such new lease). If Landlord and Tenant cannot agree on the Successor Tenant Rent amount within a reasonable time not to exceed sixty (60) days after receipt of an End of Term Gaming Asset Transfer Notice hereunder, then the Successor Tenant Rent shall be set as follows:</w:t>
      </w:r>
    </w:p>
    <w:p>
      <w:pPr>
        <w:spacing w:after="0" w:line="161" w:lineRule="exact"/>
        <w:rPr>
          <w:sz w:val="20"/>
          <w:szCs w:val="20"/>
          <w:color w:val="auto"/>
        </w:rPr>
      </w:pPr>
    </w:p>
    <w:p>
      <w:pPr>
        <w:ind w:left="4" w:right="100" w:firstLine="1979"/>
        <w:spacing w:after="0" w:line="301" w:lineRule="auto"/>
        <w:tabs>
          <w:tab w:leader="none" w:pos="233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for the period preceding the thirtieth (30</w:t>
      </w:r>
      <w:r>
        <w:rPr>
          <w:rFonts w:ascii="Arial" w:cs="Arial" w:eastAsia="Arial" w:hAnsi="Arial"/>
          <w:sz w:val="13"/>
          <w:szCs w:val="13"/>
          <w:color w:val="auto"/>
        </w:rPr>
        <w:t>th</w:t>
      </w:r>
      <w:r>
        <w:rPr>
          <w:rFonts w:ascii="Arial" w:cs="Arial" w:eastAsia="Arial" w:hAnsi="Arial"/>
          <w:sz w:val="16"/>
          <w:szCs w:val="16"/>
          <w:color w:val="auto"/>
        </w:rPr>
        <w:t>) anniversary of the Initial Term End Date, Successor Tenant Rent shall be an amount equal to the annual Rent that would have accrued under the terms of this Lease for such period (assuming this Lease will have not been terminated prior to its natural expiration), which Successor Tenant Rent shall be increased on each anniversary of the beginning of such period to an amount equal to the sum of (1) Successor Tenant Rent payable for the immediately preceding lease year, plus (2) the Escalation; and</w:t>
      </w:r>
    </w:p>
    <w:p>
      <w:pPr>
        <w:spacing w:after="0" w:line="157" w:lineRule="exact"/>
        <w:rPr>
          <w:rFonts w:ascii="Arial" w:cs="Arial" w:eastAsia="Arial" w:hAnsi="Arial"/>
          <w:sz w:val="16"/>
          <w:szCs w:val="16"/>
          <w:color w:val="auto"/>
        </w:rPr>
      </w:pPr>
    </w:p>
    <w:p>
      <w:pPr>
        <w:ind w:left="4" w:right="200" w:firstLine="1979"/>
        <w:spacing w:after="0" w:line="291" w:lineRule="auto"/>
        <w:tabs>
          <w:tab w:leader="none" w:pos="238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for the period on and following the thirtieth (30</w:t>
      </w:r>
      <w:r>
        <w:rPr>
          <w:rFonts w:ascii="Arial" w:cs="Arial" w:eastAsia="Arial" w:hAnsi="Arial"/>
          <w:sz w:val="13"/>
          <w:szCs w:val="13"/>
          <w:color w:val="auto"/>
        </w:rPr>
        <w:t>th</w:t>
      </w:r>
      <w:r>
        <w:rPr>
          <w:rFonts w:ascii="Arial" w:cs="Arial" w:eastAsia="Arial" w:hAnsi="Arial"/>
          <w:sz w:val="16"/>
          <w:szCs w:val="16"/>
          <w:color w:val="auto"/>
        </w:rPr>
        <w:t>) anniversary of the Initial Term End Date, Successor Tenant Rent shall be calculated in the same manner as Rent is calculated under this Lease, it being understood that Successor Tenant Rent for the first lease year of</w:t>
      </w:r>
    </w:p>
    <w:p>
      <w:pPr>
        <w:ind w:left="4"/>
        <w:spacing w:after="0"/>
        <w:rPr>
          <w:sz w:val="20"/>
          <w:szCs w:val="20"/>
          <w:color w:val="auto"/>
        </w:rPr>
      </w:pPr>
      <w:r>
        <w:rPr>
          <w:rFonts w:ascii="Arial" w:cs="Arial" w:eastAsia="Arial" w:hAnsi="Arial"/>
          <w:sz w:val="16"/>
          <w:szCs w:val="16"/>
          <w:color w:val="auto"/>
        </w:rPr>
        <w:t>the new lease shall equal the greater of: (A) the sum of (1) Rent for the Lease Year immediately preceding such expiration, plus (2) the Escalation, and</w:t>
      </w:r>
    </w:p>
    <w:p>
      <w:pPr>
        <w:spacing w:after="0" w:line="32" w:lineRule="exact"/>
        <w:rPr>
          <w:sz w:val="20"/>
          <w:szCs w:val="20"/>
          <w:color w:val="auto"/>
        </w:rPr>
      </w:pPr>
    </w:p>
    <w:p>
      <w:pPr>
        <w:ind w:left="4" w:right="400" w:hanging="4"/>
        <w:spacing w:after="0" w:line="277" w:lineRule="auto"/>
        <w:tabs>
          <w:tab w:leader="none" w:pos="28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prevailing fair market rent which would be determined in an arm’s-length negotiation for a lease of the Leased Property for a term of ten (10) years and pursuant to a lease containing substantially the same terms and conditions of this Lease (other than the terms of this Article XXXVI, which will not be included in such new lease) as determined by an Expert in accordance with Section 34.1.</w:t>
      </w:r>
    </w:p>
    <w:p>
      <w:pPr>
        <w:spacing w:after="0" w:line="172" w:lineRule="exact"/>
        <w:rPr>
          <w:rFonts w:ascii="Arial" w:cs="Arial" w:eastAsia="Arial" w:hAnsi="Arial"/>
          <w:sz w:val="17"/>
          <w:szCs w:val="17"/>
          <w:color w:val="auto"/>
        </w:rPr>
      </w:pPr>
    </w:p>
    <w:p>
      <w:pPr>
        <w:ind w:left="4" w:firstLine="1979"/>
        <w:spacing w:after="0" w:line="289" w:lineRule="auto"/>
        <w:tabs>
          <w:tab w:leader="none" w:pos="2376"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Designating Potential Successor Tenants</w:t>
      </w:r>
      <w:r>
        <w:rPr>
          <w:rFonts w:ascii="Arial" w:cs="Arial" w:eastAsia="Arial" w:hAnsi="Arial"/>
          <w:sz w:val="16"/>
          <w:szCs w:val="16"/>
          <w:color w:val="auto"/>
        </w:rPr>
        <w:t>. Landlord will select one and Tenant will select three additional (for a total of up to four) potential Qualified Successor Tenants prepared to lease the Facility for the Successor Tenant Rent, each of whom must meet the criteria established for a Qualified Transferee (and none of whom may be Tenant or an Affiliate of Tenant (it being understood and agreed that there shall be no restriction on Landlord or any Affiliate of Landlord from being a potential Qualified Successor Tenant), except in the case of termination of the Lease on the thirtieth (30</w:t>
      </w:r>
      <w:r>
        <w:rPr>
          <w:rFonts w:ascii="Arial" w:cs="Arial" w:eastAsia="Arial" w:hAnsi="Arial"/>
          <w:sz w:val="13"/>
          <w:szCs w:val="13"/>
          <w:color w:val="auto"/>
        </w:rPr>
        <w:t>th</w:t>
      </w:r>
      <w:r>
        <w:rPr>
          <w:rFonts w:ascii="Arial" w:cs="Arial" w:eastAsia="Arial" w:hAnsi="Arial"/>
          <w:sz w:val="16"/>
          <w:szCs w:val="16"/>
          <w:color w:val="auto"/>
        </w:rPr>
        <w:t xml:space="preserve">) anniversary of the Initial Term End Date). Landlord and Tenant must designate their proposed Qualified Successor Tenants within ninety (90) days after receipt of an End of Term Gaming Asset Transfer Notice hereunder. In the event that Landlord or Tenant fails to designate such party’s allotted number of potential Qualified Successor Tenants, the other party may designate additional potential Qualified Successor Tenants such that the total number of potential Qualified Successor Tenants does not exceed four;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the total number of potential Qualified Successor Tenants is less than four, the transfer process will still proceed as set forth in Section 36.2(c) below.</w:t>
      </w:r>
    </w:p>
    <w:p>
      <w:pPr>
        <w:spacing w:after="0" w:line="166" w:lineRule="exact"/>
        <w:rPr>
          <w:rFonts w:ascii="Arial" w:cs="Arial" w:eastAsia="Arial" w:hAnsi="Arial"/>
          <w:sz w:val="16"/>
          <w:szCs w:val="16"/>
          <w:color w:val="auto"/>
        </w:rPr>
      </w:pPr>
    </w:p>
    <w:p>
      <w:pPr>
        <w:ind w:left="4" w:right="120" w:firstLine="1979"/>
        <w:spacing w:after="0" w:line="342" w:lineRule="auto"/>
        <w:tabs>
          <w:tab w:leader="none" w:pos="2366"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Determining Gaming Assets FMV</w:t>
      </w:r>
      <w:r>
        <w:rPr>
          <w:rFonts w:ascii="Arial" w:cs="Arial" w:eastAsia="Arial" w:hAnsi="Arial"/>
          <w:sz w:val="16"/>
          <w:szCs w:val="16"/>
          <w:color w:val="auto"/>
        </w:rPr>
        <w:t>. Tenant will have a three (3) month period to negotiate an acceptable sales price for Tenant’s Property with one of the Qualified Successor Tenants, which three (3) month period will commence immediately upon the conclusion</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4"/>
          </w:cols>
          <w:pgMar w:left="436" w:top="274" w:right="459" w:bottom="1440" w:gutter="0" w:footer="0" w:header="0"/>
        </w:sectPr>
      </w:pPr>
    </w:p>
    <w:bookmarkStart w:id="165" w:name="page166"/>
    <w:bookmarkEnd w:id="165"/>
    <w:p>
      <w:pPr>
        <w:jc w:val="both"/>
        <w:ind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steps set forth above in Section 36.2(b). If Tenant does not reach an agreement prior to the end of such three (3) month period, Landlord shall conduct an auction for Tenant’s Property among the four potential successor lessees, and Tenant will be required to transfer Tenant’s Property to the highest bidder.</w:t>
      </w:r>
    </w:p>
    <w:p>
      <w:pPr>
        <w:spacing w:after="0" w:line="180" w:lineRule="exact"/>
        <w:rPr>
          <w:sz w:val="20"/>
          <w:szCs w:val="20"/>
          <w:color w:val="auto"/>
        </w:rPr>
      </w:pPr>
    </w:p>
    <w:p>
      <w:pPr>
        <w:ind w:firstLine="1983"/>
        <w:spacing w:after="0" w:line="286" w:lineRule="auto"/>
        <w:rPr>
          <w:sz w:val="20"/>
          <w:szCs w:val="20"/>
          <w:color w:val="auto"/>
        </w:rPr>
      </w:pPr>
      <w:r>
        <w:rPr>
          <w:rFonts w:ascii="Arial" w:cs="Arial" w:eastAsia="Arial" w:hAnsi="Arial"/>
          <w:sz w:val="16"/>
          <w:szCs w:val="16"/>
          <w:b w:val="1"/>
          <w:bCs w:val="1"/>
          <w:color w:val="auto"/>
        </w:rPr>
        <w:t xml:space="preserve">36.3 </w:t>
      </w:r>
      <w:r>
        <w:rPr>
          <w:rFonts w:ascii="Arial" w:cs="Arial" w:eastAsia="Arial" w:hAnsi="Arial"/>
          <w:sz w:val="16"/>
          <w:szCs w:val="16"/>
          <w:b w:val="1"/>
          <w:bCs w:val="1"/>
          <w:u w:val="single" w:color="auto"/>
          <w:color w:val="auto"/>
        </w:rPr>
        <w:t>Operation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Upon designation of a Successor Tenant (pursuant to either Section 36.1 or 36.2, as the case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be), Tenant shall reasonably cooperate and take all actions reasonably necessary (including providing all reasonable assistance to Successor Tenant) to effectuate the transfer of operational control of the Facility to Successor Tenant in an orderly manner so as to minimize to the maximum extent possible any disruption to the continued orderly operation of the Facility for its Primary Intended Use. Concurrently with the transfer of such operational control to Successor Tenant, (i) Tenant shall assign to Successor Tenant (and Successor Tenant shall assume) any then-effective subleases or other agreements (to the extent such other agreements are assignable) relating to the applicable Leased Property, and (ii) Tenant shall vacate and surrender such Leased Property to Landlord and/or Successor Tenant in the condition required under this Lease. Notwithstanding the expiration or earlier termination of the Term and anything to the contrary herein, unless Landlord consents to the contrary, until such time that Tenant transfers Tenant’s Property and operational control of the Facility to a Successor Tenant in accordance with the provisions of this Article XXXVI, Tenant shall (or shall cause its Subsidiaries to) continue to (and Landlord shall permit Tenant to maintain possession of the Leased Property to the extent necessary to) operate the Facility in accordance with the applicable terms of this Lease and the course and manner in which Tenant (or its Subsidiaries) has operated the Facility prior to the end of the Term (including, but not limited to, the payment of Rent hereunder at the rate provided in </w:t>
      </w:r>
      <w:r>
        <w:rPr>
          <w:rFonts w:ascii="Arial" w:cs="Arial" w:eastAsia="Arial" w:hAnsi="Arial"/>
          <w:sz w:val="16"/>
          <w:szCs w:val="16"/>
          <w:u w:val="single" w:color="auto"/>
          <w:color w:val="auto"/>
        </w:rPr>
        <w:t>Section 36.1</w:t>
      </w:r>
      <w:r>
        <w:rPr>
          <w:rFonts w:ascii="Arial" w:cs="Arial" w:eastAsia="Arial" w:hAnsi="Arial"/>
          <w:sz w:val="16"/>
          <w:szCs w:val="16"/>
          <w:color w:val="auto"/>
        </w:rPr>
        <w:t>). Concurrently with the transfer of Tenant’s Property to Successor Tenant, Landlord and Successor Tenant shall execute a new lease in accordance with the terms as set forth in the final clause of the first sentence of Section 36.2 hereof.</w:t>
      </w:r>
    </w:p>
    <w:p>
      <w:pPr>
        <w:spacing w:after="0" w:line="171" w:lineRule="exact"/>
        <w:rPr>
          <w:sz w:val="20"/>
          <w:szCs w:val="20"/>
          <w:color w:val="auto"/>
        </w:rPr>
      </w:pPr>
    </w:p>
    <w:p>
      <w:pPr>
        <w:ind w:right="100" w:firstLine="1983"/>
        <w:spacing w:after="0" w:line="292" w:lineRule="auto"/>
        <w:rPr>
          <w:sz w:val="20"/>
          <w:szCs w:val="20"/>
          <w:color w:val="auto"/>
        </w:rPr>
      </w:pPr>
      <w:r>
        <w:rPr>
          <w:rFonts w:ascii="Arial" w:cs="Arial" w:eastAsia="Arial" w:hAnsi="Arial"/>
          <w:sz w:val="16"/>
          <w:szCs w:val="16"/>
          <w:b w:val="1"/>
          <w:bCs w:val="1"/>
          <w:color w:val="auto"/>
        </w:rPr>
        <w:t xml:space="preserve">36.4 </w:t>
      </w:r>
      <w:r>
        <w:rPr>
          <w:rFonts w:ascii="Arial" w:cs="Arial" w:eastAsia="Arial" w:hAnsi="Arial"/>
          <w:sz w:val="16"/>
          <w:szCs w:val="16"/>
          <w:b w:val="1"/>
          <w:bCs w:val="1"/>
          <w:u w:val="single" w:color="auto"/>
          <w:color w:val="auto"/>
        </w:rPr>
        <w:t>Tenant FF&amp;E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in this Lease, (a) in the event the Lease is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by Landlord as a result of an Event of Default, the Tenant FF&amp;E shall become Leased Property and shall cease to constitute Tenant’s Property for purposes of this Article XXXIV and (b) upon the expiration or earlier termination of the Term, in the event that an End of Term Gaming Asset Transfer Notice is not delivered in accordance with Section 36.1, then Landlord shall have the option to purchase the Tenant FF&amp;E from Tenant for the fair market value of such Tenant FF&amp;E as negotiated and agreed by Tenant and Landlord; provided, that if the Landlord and Tenant cannot so agree to such fair market value after thirty (30) days of good faith negotiations, then Landlord may cause such fair market value to be determined by an Expert in accordance with Section 34.1. For purposes of clarification, Excluded Art shall not constitute Tenant FF&amp;E.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XXXVII</w:t>
      </w:r>
    </w:p>
    <w:p>
      <w:pPr>
        <w:spacing w:after="0" w:line="117" w:lineRule="exact"/>
        <w:rPr>
          <w:sz w:val="20"/>
          <w:szCs w:val="20"/>
          <w:color w:val="auto"/>
        </w:rPr>
      </w:pPr>
    </w:p>
    <w:p>
      <w:pPr>
        <w:ind w:right="20" w:firstLine="1983"/>
        <w:spacing w:after="0" w:line="303" w:lineRule="auto"/>
        <w:rPr>
          <w:sz w:val="20"/>
          <w:szCs w:val="20"/>
          <w:color w:val="auto"/>
        </w:rPr>
      </w:pPr>
      <w:r>
        <w:rPr>
          <w:rFonts w:ascii="Arial" w:cs="Arial" w:eastAsia="Arial" w:hAnsi="Arial"/>
          <w:sz w:val="16"/>
          <w:szCs w:val="16"/>
          <w:b w:val="1"/>
          <w:bCs w:val="1"/>
          <w:color w:val="auto"/>
        </w:rPr>
        <w:t xml:space="preserve">37.1 </w:t>
      </w:r>
      <w:r>
        <w:rPr>
          <w:rFonts w:ascii="Arial" w:cs="Arial" w:eastAsia="Arial" w:hAnsi="Arial"/>
          <w:sz w:val="16"/>
          <w:szCs w:val="16"/>
          <w:b w:val="1"/>
          <w:bCs w:val="1"/>
          <w:u w:val="single" w:color="auto"/>
          <w:color w:val="auto"/>
        </w:rPr>
        <w:t>Attorneys’ Fees</w:t>
      </w:r>
      <w:r>
        <w:rPr>
          <w:rFonts w:ascii="Arial" w:cs="Arial" w:eastAsia="Arial" w:hAnsi="Arial"/>
          <w:sz w:val="16"/>
          <w:szCs w:val="16"/>
          <w:b w:val="1"/>
          <w:bCs w:val="1"/>
          <w:color w:val="auto"/>
        </w:rPr>
        <w:t xml:space="preserve">. </w:t>
      </w:r>
      <w:r>
        <w:rPr>
          <w:rFonts w:ascii="Arial" w:cs="Arial" w:eastAsia="Arial" w:hAnsi="Arial"/>
          <w:sz w:val="16"/>
          <w:szCs w:val="16"/>
          <w:color w:val="auto"/>
        </w:rPr>
        <w:t>If Landlord or Tenant brings an action or other proceeding against the other to enforce or interpret</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 terms, covenants or conditions hereof or any instrument executed pursuant to this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Lease that specifically require Tenant to reimburse, pay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166" w:name="page167"/>
    <w:bookmarkEnd w:id="16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indemnify against Landlord’s attorneys’ fees, Tenant shall pay, as Additional Charges, all of Landlord’s reasonable outside attorneys’ fees incurred in connection with the enforcement of this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XXXVIII</w:t>
      </w:r>
    </w:p>
    <w:p>
      <w:pPr>
        <w:spacing w:after="0" w:line="117" w:lineRule="exact"/>
        <w:rPr>
          <w:sz w:val="20"/>
          <w:szCs w:val="20"/>
          <w:color w:val="auto"/>
        </w:rPr>
      </w:pPr>
    </w:p>
    <w:p>
      <w:pPr>
        <w:ind w:right="120" w:firstLine="1983"/>
        <w:spacing w:after="0" w:line="274" w:lineRule="auto"/>
        <w:rPr>
          <w:sz w:val="20"/>
          <w:szCs w:val="20"/>
          <w:color w:val="auto"/>
        </w:rPr>
      </w:pPr>
      <w:r>
        <w:rPr>
          <w:rFonts w:ascii="Arial" w:cs="Arial" w:eastAsia="Arial" w:hAnsi="Arial"/>
          <w:sz w:val="17"/>
          <w:szCs w:val="17"/>
          <w:b w:val="1"/>
          <w:bCs w:val="1"/>
          <w:color w:val="auto"/>
        </w:rPr>
        <w:t xml:space="preserve">38.1 </w:t>
      </w:r>
      <w:r>
        <w:rPr>
          <w:rFonts w:ascii="Arial" w:cs="Arial" w:eastAsia="Arial" w:hAnsi="Arial"/>
          <w:sz w:val="17"/>
          <w:szCs w:val="17"/>
          <w:b w:val="1"/>
          <w:bCs w:val="1"/>
          <w:u w:val="single" w:color="auto"/>
          <w:color w:val="auto"/>
        </w:rPr>
        <w:t>Brokers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warrants that it has not had any contact or dealings with any Person or real estate broker which</w:t>
      </w:r>
      <w:r>
        <w:rPr>
          <w:rFonts w:ascii="Arial" w:cs="Arial" w:eastAsia="Arial" w:hAnsi="Arial"/>
          <w:sz w:val="17"/>
          <w:szCs w:val="17"/>
          <w:b w:val="1"/>
          <w:bCs w:val="1"/>
          <w:color w:val="auto"/>
        </w:rPr>
        <w:t xml:space="preserve"> </w:t>
      </w:r>
      <w:r>
        <w:rPr>
          <w:rFonts w:ascii="Arial" w:cs="Arial" w:eastAsia="Arial" w:hAnsi="Arial"/>
          <w:sz w:val="17"/>
          <w:szCs w:val="17"/>
          <w:color w:val="auto"/>
        </w:rPr>
        <w:t>would give rise to the payment of any fee or brokerage commission in connection with this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Lease, and Landlord shall indemnify, protect, hold harmless and defend Tenant from and against any liability with respect to any fee or brokerage commission arising out of any act or omission of Landlord.</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XXXIX</w:t>
      </w:r>
    </w:p>
    <w:p>
      <w:pPr>
        <w:spacing w:after="0" w:line="117" w:lineRule="exact"/>
        <w:rPr>
          <w:sz w:val="20"/>
          <w:szCs w:val="20"/>
          <w:color w:val="auto"/>
        </w:rPr>
      </w:pPr>
    </w:p>
    <w:p>
      <w:pPr>
        <w:ind w:right="20" w:firstLine="1983"/>
        <w:spacing w:after="0" w:line="289" w:lineRule="auto"/>
        <w:rPr>
          <w:sz w:val="20"/>
          <w:szCs w:val="20"/>
          <w:color w:val="auto"/>
        </w:rPr>
      </w:pPr>
      <w:r>
        <w:rPr>
          <w:rFonts w:ascii="Arial" w:cs="Arial" w:eastAsia="Arial" w:hAnsi="Arial"/>
          <w:sz w:val="16"/>
          <w:szCs w:val="16"/>
          <w:b w:val="1"/>
          <w:bCs w:val="1"/>
          <w:color w:val="auto"/>
        </w:rPr>
        <w:t xml:space="preserve">39.1 </w:t>
      </w:r>
      <w:r>
        <w:rPr>
          <w:rFonts w:ascii="Arial" w:cs="Arial" w:eastAsia="Arial" w:hAnsi="Arial"/>
          <w:sz w:val="16"/>
          <w:szCs w:val="16"/>
          <w:b w:val="1"/>
          <w:bCs w:val="1"/>
          <w:u w:val="single" w:color="auto"/>
          <w:color w:val="auto"/>
        </w:rPr>
        <w:t>Anti-Terrorism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hereby represents and warrants that neither Tenant, nor, to the 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of Tenant, any persons or entities holding any legal or beneficial interest whatsoever in Tenant, are (i) the target of any sanctions program that is established by Executive Order of the President or published by the Office of Foreign Assets Control,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(collectively, “</w:t>
      </w:r>
      <w:r>
        <w:rPr>
          <w:rFonts w:ascii="Arial" w:cs="Arial" w:eastAsia="Arial" w:hAnsi="Arial"/>
          <w:sz w:val="16"/>
          <w:szCs w:val="16"/>
          <w:b w:val="1"/>
          <w:bCs w:val="1"/>
          <w:color w:val="auto"/>
        </w:rPr>
        <w:t>Prohibited Persons</w:t>
      </w:r>
      <w:r>
        <w:rPr>
          <w:rFonts w:ascii="Arial" w:cs="Arial" w:eastAsia="Arial" w:hAnsi="Arial"/>
          <w:sz w:val="16"/>
          <w:szCs w:val="16"/>
          <w:color w:val="auto"/>
        </w:rPr>
        <w:t>”). Tenant hereby represents and warrants to Landlord that no funds tendered to Landlord by Tenant under the terms of this Lease are or will be directly or indirectly derived from activities that may contravene U.S. federal, state or international laws and regulations, including anti-money laundering laws. If the foregoing representations are untrue at any time during the Term and Landlord suffers actual damages as a result thereof, an Event of Default will be deemed to have occurred, without the necessity of notice to Tenant.</w:t>
      </w:r>
    </w:p>
    <w:p>
      <w:pPr>
        <w:spacing w:after="0" w:line="165" w:lineRule="exact"/>
        <w:rPr>
          <w:sz w:val="20"/>
          <w:szCs w:val="20"/>
          <w:color w:val="auto"/>
        </w:rPr>
      </w:pPr>
    </w:p>
    <w:p>
      <w:pPr>
        <w:ind w:right="20" w:firstLine="1983"/>
        <w:spacing w:after="0" w:line="259" w:lineRule="auto"/>
        <w:rPr>
          <w:sz w:val="20"/>
          <w:szCs w:val="20"/>
          <w:color w:val="auto"/>
        </w:rPr>
      </w:pPr>
      <w:r>
        <w:rPr>
          <w:rFonts w:ascii="Arial" w:cs="Arial" w:eastAsia="Arial" w:hAnsi="Arial"/>
          <w:sz w:val="18"/>
          <w:szCs w:val="18"/>
          <w:color w:val="auto"/>
        </w:rPr>
        <w:t>Tenant will not during the Term of this Lease knowingly engage in any transactions or dealings, or knowingly be otherwise associated with, any Prohibited Persons in connection with the use or occupancy of the Leased Property. A breach of the representations contained in this Section 39.1 by Tenant as a result of which Landlord suffers actual damages shall constitute a material breach of this Lease and shall entitle Landlord to any and all remedies available hereunder, or at law or in equity.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860"/>
          </w:cols>
          <w:pgMar w:left="440" w:top="274" w:right="59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XL</w:t>
      </w:r>
    </w:p>
    <w:p>
      <w:pPr>
        <w:spacing w:after="0" w:line="117" w:lineRule="exact"/>
        <w:rPr>
          <w:sz w:val="20"/>
          <w:szCs w:val="20"/>
          <w:color w:val="auto"/>
        </w:rPr>
      </w:pPr>
    </w:p>
    <w:p>
      <w:pPr>
        <w:ind w:right="100" w:firstLine="1983"/>
        <w:spacing w:after="0" w:line="266" w:lineRule="auto"/>
        <w:rPr>
          <w:sz w:val="20"/>
          <w:szCs w:val="20"/>
          <w:color w:val="auto"/>
        </w:rPr>
      </w:pPr>
      <w:r>
        <w:rPr>
          <w:rFonts w:ascii="Arial" w:cs="Arial" w:eastAsia="Arial" w:hAnsi="Arial"/>
          <w:sz w:val="18"/>
          <w:szCs w:val="18"/>
          <w:b w:val="1"/>
          <w:bCs w:val="1"/>
          <w:color w:val="auto"/>
        </w:rPr>
        <w:t xml:space="preserve">40.1 </w:t>
      </w:r>
      <w:r>
        <w:rPr>
          <w:rFonts w:ascii="Arial" w:cs="Arial" w:eastAsia="Arial" w:hAnsi="Arial"/>
          <w:sz w:val="18"/>
          <w:szCs w:val="18"/>
          <w:b w:val="1"/>
          <w:bCs w:val="1"/>
          <w:u w:val="single" w:color="auto"/>
          <w:color w:val="auto"/>
        </w:rPr>
        <w:t>REIT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 The parties hereto intend that Rent and other amounts paid by Tenant hereunder will qualify as</w:t>
      </w:r>
      <w:r>
        <w:rPr>
          <w:rFonts w:ascii="Arial" w:cs="Arial" w:eastAsia="Arial" w:hAnsi="Arial"/>
          <w:sz w:val="18"/>
          <w:szCs w:val="18"/>
          <w:b w:val="1"/>
          <w:bCs w:val="1"/>
          <w:color w:val="auto"/>
        </w:rPr>
        <w:t xml:space="preserve"> </w:t>
      </w:r>
      <w:r>
        <w:rPr>
          <w:rFonts w:ascii="Arial" w:cs="Arial" w:eastAsia="Arial" w:hAnsi="Arial"/>
          <w:sz w:val="18"/>
          <w:szCs w:val="18"/>
          <w:color w:val="auto"/>
        </w:rPr>
        <w:t>“rents from real property” within the meaning of Section 856(d) of the Code, or any similar or successor provision thereto and this Lease shall be interpreted consistent with this intent.</w:t>
      </w:r>
    </w:p>
    <w:p>
      <w:pPr>
        <w:spacing w:after="0" w:line="180" w:lineRule="exact"/>
        <w:rPr>
          <w:sz w:val="20"/>
          <w:szCs w:val="20"/>
          <w:color w:val="auto"/>
        </w:rPr>
      </w:pPr>
    </w:p>
    <w:p>
      <w:pPr>
        <w:ind w:right="120" w:firstLine="1979"/>
        <w:spacing w:after="0" w:line="286" w:lineRule="auto"/>
        <w:tabs>
          <w:tab w:leader="none" w:pos="236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Anything contained in this Lease to the contrary notwithstanding, Tenant shall not without Landlord’s advance written consent (which consent shall not be unreasonably withheld) (i) sublet, assign or enter into a management arrangement for the Leased Property on any basis such that the rental or other amounts to be paid by the subtenant, assignee or manager thereunder would be based, in whole or in part, on any formula such that any portion of any amount received by Landlord would fail to qualify as “rents from real property” within the meaning of</w:t>
      </w:r>
    </w:p>
    <w:p>
      <w:pPr>
        <w:spacing w:after="0" w:line="1" w:lineRule="exact"/>
        <w:rPr>
          <w:rFonts w:ascii="Arial" w:cs="Arial" w:eastAsia="Arial" w:hAnsi="Arial"/>
          <w:sz w:val="16"/>
          <w:szCs w:val="16"/>
          <w:color w:val="auto"/>
        </w:rPr>
      </w:pPr>
    </w:p>
    <w:p>
      <w:pPr>
        <w:ind w:right="120"/>
        <w:spacing w:after="0" w:line="281" w:lineRule="auto"/>
        <w:rPr>
          <w:rFonts w:ascii="Arial" w:cs="Arial" w:eastAsia="Arial" w:hAnsi="Arial"/>
          <w:sz w:val="16"/>
          <w:szCs w:val="16"/>
          <w:color w:val="auto"/>
        </w:rPr>
      </w:pPr>
      <w:r>
        <w:rPr>
          <w:rFonts w:ascii="Arial" w:cs="Arial" w:eastAsia="Arial" w:hAnsi="Arial"/>
          <w:sz w:val="16"/>
          <w:szCs w:val="16"/>
          <w:color w:val="auto"/>
        </w:rPr>
        <w:t>Section 856(d) of the Code, or any similar or successor provision thereto; (ii) furnish or render any services to the subtenant, assignee or manager or manage or operate the Leased Property so subleased, assigned or managed; (iii) sublet, assign or enter into a management arrangement for the Leased Property to any Person (other than a “taxable REIT subsidiary” (within the meaning of Section 856(l) of the Code) of Landlord’s Parent) in which Landlord or Landlord’s Parent owns an interest, directly or indirectly (by applying constructive ownership rules set forth in Section 856(d)(5) of the Code); or (iv) sublet, assign or enter into a management arrangement for the Leased Property in any other manner which could cause any portion of the amounts received by Landlord pursuant to this Lease or any sublease to fail to qualify as “rents from real property” within the meaning of</w:t>
      </w:r>
    </w:p>
    <w:p>
      <w:pPr>
        <w:spacing w:after="0" w:line="3" w:lineRule="exact"/>
        <w:rPr>
          <w:rFonts w:ascii="Arial" w:cs="Arial" w:eastAsia="Arial" w:hAnsi="Arial"/>
          <w:sz w:val="16"/>
          <w:szCs w:val="16"/>
          <w:color w:val="auto"/>
        </w:rPr>
      </w:pPr>
    </w:p>
    <w:p>
      <w:pPr>
        <w:jc w:val="both"/>
        <w:ind w:right="520"/>
        <w:spacing w:after="0" w:line="255" w:lineRule="auto"/>
        <w:rPr>
          <w:rFonts w:ascii="Arial" w:cs="Arial" w:eastAsia="Arial" w:hAnsi="Arial"/>
          <w:sz w:val="16"/>
          <w:szCs w:val="16"/>
          <w:color w:val="auto"/>
        </w:rPr>
      </w:pPr>
      <w:r>
        <w:rPr>
          <w:rFonts w:ascii="Arial" w:cs="Arial" w:eastAsia="Arial" w:hAnsi="Arial"/>
          <w:sz w:val="18"/>
          <w:szCs w:val="18"/>
          <w:color w:val="auto"/>
        </w:rPr>
        <w:t>Section 856(d) of the Code, or any similar or successor provision thereto, or which could cause any other income of Landlord to fail to qualify as income described in Section 856(c)(2) of the Code. The requirements of this Section 40.1(b) shall likewise apply to any further subleasing by any subtenant.</w:t>
      </w:r>
    </w:p>
    <w:p>
      <w:pPr>
        <w:spacing w:after="0" w:line="189" w:lineRule="exact"/>
        <w:rPr>
          <w:rFonts w:ascii="Arial" w:cs="Arial" w:eastAsia="Arial" w:hAnsi="Arial"/>
          <w:sz w:val="16"/>
          <w:szCs w:val="16"/>
          <w:color w:val="auto"/>
        </w:rPr>
      </w:pPr>
    </w:p>
    <w:p>
      <w:pPr>
        <w:ind w:right="140" w:firstLine="1979"/>
        <w:spacing w:after="0" w:line="296" w:lineRule="auto"/>
        <w:tabs>
          <w:tab w:leader="none" w:pos="235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Anything contained in this Lease to the contrary notwithstanding, the parties acknowledge and agree that Landlord, in its sole discretion, may assign this Lease or any interest herein to another Person (including without limitation, a “taxable REIT subsidiary” (within the meaning of Section 856(l) of the Code)) in order to maintain Landlord’s status as a “real estate investment trust” (within the meaning of Section 856(a)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Landlord shall be required to (i) comply with any applicable legal requirements related to such transfer and (ii) give Tenant Notice of any such assignment;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assignment shall be subject to all of the rights of Tenant hereunder.</w:t>
      </w:r>
    </w:p>
    <w:p>
      <w:pPr>
        <w:spacing w:after="0" w:line="161" w:lineRule="exact"/>
        <w:rPr>
          <w:rFonts w:ascii="Arial" w:cs="Arial" w:eastAsia="Arial" w:hAnsi="Arial"/>
          <w:sz w:val="16"/>
          <w:szCs w:val="16"/>
          <w:color w:val="auto"/>
        </w:rPr>
      </w:pPr>
    </w:p>
    <w:p>
      <w:pPr>
        <w:ind w:firstLine="1979"/>
        <w:spacing w:after="0" w:line="254" w:lineRule="auto"/>
        <w:tabs>
          <w:tab w:leader="none" w:pos="236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Anything contained in this Lease to the contrary notwithstanding, upon request of Landlord, Tenant shall cooperate with Landlord in good faith and at no cost or expense to Tenant, and provide such documentation and/or information as may be in Tenant’s possession or under Tenant’s control and otherwise readily available to Tenant as shall be reasonably requested by Landlord in connection with verification of Landlord’s Parent’s “real estate investment trust” (within the meaning of Section 856(a) of the Code) compliance requirements. Anything contained in this Lease to the contrary notwithstanding, Tenant shall take such reasonable action as may be requested by Landlord from time to time in order to ensure compliance with the Internal Revenue Service requirement that Rent allocable for purposes of Section 856 of the Code to personal property, if any, at the beginning and end of a calendar year does not exceed fifteen percent (15%) of the total Rent due hereunder as long as such compliance does not (i)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0" w:right="459" w:bottom="1440" w:gutter="0" w:footer="0" w:header="0"/>
        </w:sectPr>
      </w:pPr>
    </w:p>
    <w:bookmarkStart w:id="168" w:name="page169"/>
    <w:bookmarkEnd w:id="16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increase Tenant’s monetary obligations under this Lease or (ii) materially and adversely increase Tenant’s nonmonetary obligations under this Lease or (iii) materially diminish Tenant’s rights under this Lease.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XLI</w:t>
      </w:r>
    </w:p>
    <w:p>
      <w:pPr>
        <w:spacing w:after="0" w:line="117" w:lineRule="exact"/>
        <w:rPr>
          <w:sz w:val="20"/>
          <w:szCs w:val="20"/>
          <w:color w:val="auto"/>
        </w:rPr>
      </w:pPr>
    </w:p>
    <w:p>
      <w:pPr>
        <w:ind w:right="400" w:firstLine="1983"/>
        <w:spacing w:after="0" w:line="347" w:lineRule="auto"/>
        <w:rPr>
          <w:sz w:val="20"/>
          <w:szCs w:val="20"/>
          <w:color w:val="auto"/>
        </w:rPr>
      </w:pPr>
      <w:r>
        <w:rPr>
          <w:rFonts w:ascii="Arial" w:cs="Arial" w:eastAsia="Arial" w:hAnsi="Arial"/>
          <w:sz w:val="16"/>
          <w:szCs w:val="16"/>
          <w:b w:val="1"/>
          <w:bCs w:val="1"/>
          <w:color w:val="auto"/>
        </w:rPr>
        <w:t xml:space="preserve">41.1 </w:t>
      </w:r>
      <w:r>
        <w:rPr>
          <w:rFonts w:ascii="Arial" w:cs="Arial" w:eastAsia="Arial" w:hAnsi="Arial"/>
          <w:sz w:val="16"/>
          <w:szCs w:val="16"/>
          <w:b w:val="1"/>
          <w:bCs w:val="1"/>
          <w:u w:val="single" w:color="auto"/>
          <w:color w:val="auto"/>
        </w:rPr>
        <w:t>Survival</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contained in this Lease to the contrary notwithstanding, all claims against, and liabilities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indemnities of Tenant or Landlord arising prior to the expiration or earlier termination of the Term shall survive such expiration or termination.</w:t>
      </w:r>
    </w:p>
    <w:p>
      <w:pPr>
        <w:spacing w:after="0" w:line="116" w:lineRule="exact"/>
        <w:rPr>
          <w:sz w:val="20"/>
          <w:szCs w:val="20"/>
          <w:color w:val="auto"/>
        </w:rPr>
      </w:pPr>
    </w:p>
    <w:p>
      <w:pPr>
        <w:ind w:right="140" w:firstLine="1983"/>
        <w:spacing w:after="0" w:line="282" w:lineRule="auto"/>
        <w:rPr>
          <w:sz w:val="20"/>
          <w:szCs w:val="20"/>
          <w:color w:val="auto"/>
        </w:rPr>
      </w:pPr>
      <w:r>
        <w:rPr>
          <w:rFonts w:ascii="Arial" w:cs="Arial" w:eastAsia="Arial" w:hAnsi="Arial"/>
          <w:sz w:val="18"/>
          <w:szCs w:val="18"/>
          <w:b w:val="1"/>
          <w:bCs w:val="1"/>
          <w:color w:val="auto"/>
        </w:rPr>
        <w:t xml:space="preserve">41.2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term or provision of this Lease or any application thereof shall be held invalid or unenforceable,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remainder of this Lease and any other application of such term or provision shall not be affected thereby.</w:t>
      </w:r>
    </w:p>
    <w:p>
      <w:pPr>
        <w:spacing w:after="0" w:line="162" w:lineRule="exact"/>
        <w:rPr>
          <w:sz w:val="20"/>
          <w:szCs w:val="20"/>
          <w:color w:val="auto"/>
        </w:rPr>
      </w:pPr>
    </w:p>
    <w:p>
      <w:pPr>
        <w:ind w:firstLine="1983"/>
        <w:spacing w:after="0" w:line="270" w:lineRule="auto"/>
        <w:rPr>
          <w:sz w:val="20"/>
          <w:szCs w:val="20"/>
          <w:color w:val="auto"/>
        </w:rPr>
      </w:pPr>
      <w:r>
        <w:rPr>
          <w:rFonts w:ascii="Arial" w:cs="Arial" w:eastAsia="Arial" w:hAnsi="Arial"/>
          <w:sz w:val="17"/>
          <w:szCs w:val="17"/>
          <w:b w:val="1"/>
          <w:bCs w:val="1"/>
          <w:color w:val="auto"/>
        </w:rPr>
        <w:t xml:space="preserve">41.3 </w:t>
      </w:r>
      <w:r>
        <w:rPr>
          <w:rFonts w:ascii="Arial" w:cs="Arial" w:eastAsia="Arial" w:hAnsi="Arial"/>
          <w:sz w:val="17"/>
          <w:szCs w:val="17"/>
          <w:b w:val="1"/>
          <w:bCs w:val="1"/>
          <w:u w:val="single" w:color="auto"/>
          <w:color w:val="auto"/>
        </w:rPr>
        <w:t>Non-Recourse; Consequential Damages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specifically agrees to look solely to the Leased Property for</w:t>
      </w:r>
      <w:r>
        <w:rPr>
          <w:rFonts w:ascii="Arial" w:cs="Arial" w:eastAsia="Arial" w:hAnsi="Arial"/>
          <w:sz w:val="17"/>
          <w:szCs w:val="17"/>
          <w:b w:val="1"/>
          <w:bCs w:val="1"/>
          <w:color w:val="auto"/>
        </w:rPr>
        <w:t xml:space="preserve"> </w:t>
      </w:r>
      <w:r>
        <w:rPr>
          <w:rFonts w:ascii="Arial" w:cs="Arial" w:eastAsia="Arial" w:hAnsi="Arial"/>
          <w:sz w:val="17"/>
          <w:szCs w:val="17"/>
          <w:color w:val="auto"/>
        </w:rPr>
        <w:t>recovery of any judgment from Landlord (and Landlord’s liability hereunder shall be limited solely to its interest in the Leased Property, and no recourse under or in respect of this Lease shall be had against any other assets of Landlord whatsoever). It is specifically agreed that (a) no constituent partner or shareholder in Landlord or officer or employee of Landlord shall ever be personally liable for any such judgment or for the payment of any monetary obligation to Tenant and (b) no shareholder that is an individual, officer or employee of Tenant shall ever be personally liable for any such judgment or for payment of any monetary obligation to Landlord.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 provided herein, in no event shall either party ever be liable to the other party for any indirect or consequential damages suffered by the claiming party from whatever cause. Neither Landlord nor Tenant shall be liable to the other, nor shall either make any claim against the other, for punitive damages.</w:t>
      </w:r>
    </w:p>
    <w:p>
      <w:pPr>
        <w:spacing w:after="0" w:line="177" w:lineRule="exact"/>
        <w:rPr>
          <w:sz w:val="20"/>
          <w:szCs w:val="20"/>
          <w:color w:val="auto"/>
        </w:rPr>
      </w:pPr>
    </w:p>
    <w:p>
      <w:pPr>
        <w:ind w:right="20" w:firstLine="1983"/>
        <w:spacing w:after="0" w:line="282" w:lineRule="auto"/>
        <w:rPr>
          <w:sz w:val="20"/>
          <w:szCs w:val="20"/>
          <w:color w:val="auto"/>
        </w:rPr>
      </w:pPr>
      <w:r>
        <w:rPr>
          <w:rFonts w:ascii="Arial" w:cs="Arial" w:eastAsia="Arial" w:hAnsi="Arial"/>
          <w:sz w:val="18"/>
          <w:szCs w:val="18"/>
          <w:b w:val="1"/>
          <w:bCs w:val="1"/>
          <w:color w:val="auto"/>
        </w:rPr>
        <w:t xml:space="preserve">41.4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shall be binding upon Landlord and its successors and assigns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Article XXII, upon Tenant and its successors and assigns.</w:t>
      </w:r>
    </w:p>
    <w:p>
      <w:pPr>
        <w:spacing w:after="0" w:line="162" w:lineRule="exact"/>
        <w:rPr>
          <w:sz w:val="20"/>
          <w:szCs w:val="20"/>
          <w:color w:val="auto"/>
        </w:rPr>
      </w:pPr>
    </w:p>
    <w:p>
      <w:pPr>
        <w:ind w:firstLine="1983"/>
        <w:spacing w:after="0" w:line="254" w:lineRule="auto"/>
        <w:rPr>
          <w:sz w:val="20"/>
          <w:szCs w:val="20"/>
          <w:color w:val="auto"/>
        </w:rPr>
      </w:pPr>
      <w:r>
        <w:rPr>
          <w:rFonts w:ascii="Arial" w:cs="Arial" w:eastAsia="Arial" w:hAnsi="Arial"/>
          <w:sz w:val="18"/>
          <w:szCs w:val="18"/>
          <w:b w:val="1"/>
          <w:bCs w:val="1"/>
          <w:color w:val="auto"/>
        </w:rPr>
        <w:t xml:space="preserve">41.5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WAS NEGOTIATED IN THE STATE OF NEW YORK, WHICH STATE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HAS A SUBSTANTIAL RELATIONSHIP TO THE PARTIES AND TO THE UNDERLYING TRANSACTION EMBODIED HEREBY. ACCORDINGLY, IN ALL RESPECTS THIS LEASE (AND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ARTICLE XVI RELATING TO RECOVERY OF POSSESSION OF THE LEASED PROPERTY OF THE FACILITY (SUCH AS AN ACTION FOR UNLAWFUL DETAINER, IN REM ACTION OR</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169" w:name="page170"/>
    <w:bookmarkEnd w:id="169"/>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SIMILAR ACTION) SHALL BE CONSTRUED AND ENFORCED ACCORDING TO, AND GOVERNED BY, THE LAWS OF THE COMMONWEALTH OF MASSACHUSETTS.</w:t>
      </w:r>
    </w:p>
    <w:p>
      <w:pPr>
        <w:spacing w:after="0" w:line="166" w:lineRule="exact"/>
        <w:rPr>
          <w:sz w:val="20"/>
          <w:szCs w:val="20"/>
          <w:color w:val="auto"/>
        </w:rPr>
      </w:pPr>
    </w:p>
    <w:p>
      <w:pPr>
        <w:ind w:right="20" w:firstLine="1983"/>
        <w:spacing w:after="0" w:line="269" w:lineRule="auto"/>
        <w:rPr>
          <w:sz w:val="20"/>
          <w:szCs w:val="20"/>
          <w:color w:val="auto"/>
        </w:rPr>
      </w:pPr>
      <w:r>
        <w:rPr>
          <w:rFonts w:ascii="Arial" w:cs="Arial" w:eastAsia="Arial" w:hAnsi="Arial"/>
          <w:sz w:val="17"/>
          <w:szCs w:val="17"/>
          <w:b w:val="1"/>
          <w:bCs w:val="1"/>
          <w:color w:val="auto"/>
        </w:rPr>
        <w:t xml:space="preserve">41.6 </w:t>
      </w:r>
      <w:r>
        <w:rPr>
          <w:rFonts w:ascii="Arial" w:cs="Arial" w:eastAsia="Arial" w:hAnsi="Arial"/>
          <w:sz w:val="17"/>
          <w:szCs w:val="17"/>
          <w:b w:val="1"/>
          <w:bCs w:val="1"/>
          <w:u w:val="single" w:color="auto"/>
          <w:color w:val="auto"/>
        </w:rPr>
        <w:t>Waiver of Trial by Jury</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LANDLORD AND TENANT ACKNOWLEDGES THAT IT HAS HAD THE</w:t>
      </w:r>
      <w:r>
        <w:rPr>
          <w:rFonts w:ascii="Arial" w:cs="Arial" w:eastAsia="Arial" w:hAnsi="Arial"/>
          <w:sz w:val="17"/>
          <w:szCs w:val="17"/>
          <w:b w:val="1"/>
          <w:bCs w:val="1"/>
          <w:color w:val="auto"/>
        </w:rPr>
        <w:t xml:space="preserve"> </w:t>
      </w:r>
      <w:r>
        <w:rPr>
          <w:rFonts w:ascii="Arial" w:cs="Arial" w:eastAsia="Arial" w:hAnsi="Arial"/>
          <w:sz w:val="17"/>
          <w:szCs w:val="17"/>
          <w:color w:val="auto"/>
        </w:rPr>
        <w:t>ADVICE OF COUNSEL OF ITS CHOICE WITH RESPECT TO ITS RIGHTS TO TRIAL BY JURY UNDER THE CONSTITUTION OF THE UNITED STATES AND THE STATE. EACH OF LANDLORD AND TENANT HEREBY EXPRESSLY WAIVES ANY RIGHT TO TRIAL BY JURY OF ANY CLAIM, DEMAND, ACTION OR CAUSE OF ACTION (i) ARISING UNDER THIS LEASE (OR ANY AGREEMENT FORMED PURSUANT TO THE TERMS HEREOF) OR (ii) IN ANY MANNER CONNECTED WITH OR RELATED OR INCIDENTAL TO THE DEALINGS OF LANDLORD AND TENANT WITH RESPECT TO THIS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WITH ANY COURT AS CONCLUSIVE EVIDENCE OF THE CONSENT OF EACH SUCH PARTY TO THE WAIVER OF ITS RIGHT TO TRIAL BY JURY.</w:t>
      </w:r>
    </w:p>
    <w:p>
      <w:pPr>
        <w:spacing w:after="0" w:line="179" w:lineRule="exact"/>
        <w:rPr>
          <w:sz w:val="20"/>
          <w:szCs w:val="20"/>
          <w:color w:val="auto"/>
        </w:rPr>
      </w:pPr>
    </w:p>
    <w:p>
      <w:pPr>
        <w:ind w:right="80" w:firstLine="1983"/>
        <w:spacing w:after="0" w:line="277" w:lineRule="auto"/>
        <w:rPr>
          <w:sz w:val="20"/>
          <w:szCs w:val="20"/>
          <w:color w:val="auto"/>
        </w:rPr>
      </w:pPr>
      <w:r>
        <w:rPr>
          <w:rFonts w:ascii="Arial" w:cs="Arial" w:eastAsia="Arial" w:hAnsi="Arial"/>
          <w:sz w:val="17"/>
          <w:szCs w:val="17"/>
          <w:b w:val="1"/>
          <w:bCs w:val="1"/>
          <w:color w:val="auto"/>
        </w:rPr>
        <w:t xml:space="preserve">41.7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Lease and the Exhibits and Schedules hereto constitute the entire and final agreement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with respect to the subject matter hereof, and may not be changed or modified except by an agreement in writing signed by the parties and, with respect to the provisions set forth in Section 40.1,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are merged into and revoked by this Lease.</w:t>
      </w:r>
    </w:p>
    <w:p>
      <w:pPr>
        <w:spacing w:after="0" w:line="168" w:lineRule="exact"/>
        <w:rPr>
          <w:sz w:val="20"/>
          <w:szCs w:val="20"/>
          <w:color w:val="auto"/>
        </w:rPr>
      </w:pPr>
    </w:p>
    <w:p>
      <w:pPr>
        <w:ind w:right="80" w:firstLine="1983"/>
        <w:spacing w:after="0" w:line="281" w:lineRule="auto"/>
        <w:rPr>
          <w:sz w:val="20"/>
          <w:szCs w:val="20"/>
          <w:color w:val="auto"/>
        </w:rPr>
      </w:pPr>
      <w:r>
        <w:rPr>
          <w:rFonts w:ascii="Arial" w:cs="Arial" w:eastAsia="Arial" w:hAnsi="Arial"/>
          <w:sz w:val="17"/>
          <w:szCs w:val="17"/>
          <w:b w:val="1"/>
          <w:bCs w:val="1"/>
          <w:color w:val="auto"/>
        </w:rPr>
        <w:t xml:space="preserve">41.8 </w:t>
      </w:r>
      <w:r>
        <w:rPr>
          <w:rFonts w:ascii="Arial" w:cs="Arial" w:eastAsia="Arial" w:hAnsi="Arial"/>
          <w:sz w:val="17"/>
          <w:szCs w:val="17"/>
          <w:b w:val="1"/>
          <w:bCs w:val="1"/>
          <w:u w:val="single" w:color="auto"/>
          <w:color w:val="auto"/>
        </w:rPr>
        <w:t>Headings</w:t>
      </w:r>
      <w:r>
        <w:rPr>
          <w:rFonts w:ascii="Arial" w:cs="Arial" w:eastAsia="Arial" w:hAnsi="Arial"/>
          <w:sz w:val="17"/>
          <w:szCs w:val="17"/>
          <w:b w:val="1"/>
          <w:bCs w:val="1"/>
          <w:color w:val="auto"/>
        </w:rPr>
        <w:t xml:space="preserve">. </w:t>
      </w:r>
      <w:r>
        <w:rPr>
          <w:rFonts w:ascii="Arial" w:cs="Arial" w:eastAsia="Arial" w:hAnsi="Arial"/>
          <w:sz w:val="17"/>
          <w:szCs w:val="17"/>
          <w:color w:val="auto"/>
        </w:rPr>
        <w:t>All titles and headings to sections, subsections, paragraphs or other divisions of this Lease are only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convenience of the parties and shall not be construed to have any effect or meaning with respect to the other contents of such sections, subsections, paragraphs or other divisions, such other content being controlling as to the agreement among the parties hereto. When the consent of any party hereunder may not be unreasonably withheld, such consent also may not be unreasonably conditioned or delayed.</w:t>
      </w:r>
    </w:p>
    <w:p>
      <w:pPr>
        <w:spacing w:after="0" w:line="165" w:lineRule="exact"/>
        <w:rPr>
          <w:sz w:val="20"/>
          <w:szCs w:val="20"/>
          <w:color w:val="auto"/>
        </w:rPr>
      </w:pPr>
    </w:p>
    <w:p>
      <w:pPr>
        <w:ind w:firstLine="1983"/>
        <w:spacing w:after="0" w:line="277" w:lineRule="auto"/>
        <w:rPr>
          <w:sz w:val="20"/>
          <w:szCs w:val="20"/>
          <w:color w:val="auto"/>
        </w:rPr>
      </w:pPr>
      <w:r>
        <w:rPr>
          <w:rFonts w:ascii="Arial" w:cs="Arial" w:eastAsia="Arial" w:hAnsi="Arial"/>
          <w:sz w:val="17"/>
          <w:szCs w:val="17"/>
          <w:b w:val="1"/>
          <w:bCs w:val="1"/>
          <w:color w:val="auto"/>
        </w:rPr>
        <w:t xml:space="preserve">41.9 </w:t>
      </w: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Lease may be executed in any number of counterparts, each of which shall be a valid and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which together shall constitute one and the same instrument. The words “execution,” “execute,” “signed,” “signature,” and words of like import in or related to any document to be signed in connection with this Lease and the transactions contemplated hereby shall be deemed to include electronic signatures, which shall be of the same legal effect, validity or enforceability as a manually executed signature to the extent and as provided for in any applicable law, including the Federal Electronic Signatures in Global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170" w:name="page171"/>
    <w:bookmarkEnd w:id="17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National Commerce Act, the New York State Electronic Signatures and Records Act or any other similar state laws based on the Uniform Electronic Transactions Act.</w:t>
      </w:r>
    </w:p>
    <w:p>
      <w:pPr>
        <w:spacing w:after="0" w:line="166" w:lineRule="exact"/>
        <w:rPr>
          <w:sz w:val="20"/>
          <w:szCs w:val="20"/>
          <w:color w:val="auto"/>
        </w:rPr>
      </w:pPr>
    </w:p>
    <w:p>
      <w:pPr>
        <w:ind w:right="120" w:firstLine="1983"/>
        <w:spacing w:after="0" w:line="266" w:lineRule="auto"/>
        <w:rPr>
          <w:sz w:val="20"/>
          <w:szCs w:val="20"/>
          <w:color w:val="auto"/>
        </w:rPr>
      </w:pPr>
      <w:r>
        <w:rPr>
          <w:rFonts w:ascii="Arial" w:cs="Arial" w:eastAsia="Arial" w:hAnsi="Arial"/>
          <w:sz w:val="18"/>
          <w:szCs w:val="18"/>
          <w:b w:val="1"/>
          <w:bCs w:val="1"/>
          <w:color w:val="auto"/>
        </w:rPr>
        <w:t xml:space="preserve">41.10 </w:t>
      </w: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Both Landlord and Tenant have been represented by counsel and this Lease and every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hereof has been freely and fairly negotiated. Consequently, all provisions of this Lease shall be interpreted according to their fair meaning and shall not be strictly construed against any party.</w:t>
      </w:r>
    </w:p>
    <w:p>
      <w:pPr>
        <w:spacing w:after="0" w:line="176" w:lineRule="exact"/>
        <w:rPr>
          <w:sz w:val="20"/>
          <w:szCs w:val="20"/>
          <w:color w:val="auto"/>
        </w:rPr>
      </w:pPr>
    </w:p>
    <w:p>
      <w:pPr>
        <w:ind w:right="40" w:firstLine="1983"/>
        <w:spacing w:after="0" w:line="282" w:lineRule="auto"/>
        <w:rPr>
          <w:sz w:val="20"/>
          <w:szCs w:val="20"/>
          <w:color w:val="auto"/>
        </w:rPr>
      </w:pPr>
      <w:r>
        <w:rPr>
          <w:rFonts w:ascii="Arial" w:cs="Arial" w:eastAsia="Arial" w:hAnsi="Arial"/>
          <w:sz w:val="18"/>
          <w:szCs w:val="18"/>
          <w:b w:val="1"/>
          <w:bCs w:val="1"/>
          <w:color w:val="auto"/>
        </w:rPr>
        <w:t xml:space="preserve">41.11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OF THIS LEASE AND EACH PROVISION HEREOF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PERFORMANCE IS ESTABLISHED.</w:t>
      </w:r>
    </w:p>
    <w:p>
      <w:pPr>
        <w:spacing w:after="0" w:line="162" w:lineRule="exact"/>
        <w:rPr>
          <w:sz w:val="20"/>
          <w:szCs w:val="20"/>
          <w:color w:val="auto"/>
        </w:rPr>
      </w:pPr>
    </w:p>
    <w:p>
      <w:pPr>
        <w:ind w:right="40" w:firstLine="1983"/>
        <w:spacing w:after="0" w:line="258" w:lineRule="auto"/>
        <w:rPr>
          <w:sz w:val="20"/>
          <w:szCs w:val="20"/>
          <w:color w:val="auto"/>
        </w:rPr>
      </w:pPr>
      <w:r>
        <w:rPr>
          <w:rFonts w:ascii="Arial" w:cs="Arial" w:eastAsia="Arial" w:hAnsi="Arial"/>
          <w:sz w:val="18"/>
          <w:szCs w:val="18"/>
          <w:b w:val="1"/>
          <w:bCs w:val="1"/>
          <w:color w:val="auto"/>
        </w:rPr>
        <w:t xml:space="preserve">41.12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promptly sign all documents reasonably requested to give effect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Lease. In addition, Landlord agrees to, at Tenant’s sole cost and expense, reasonably cooperate with all applicable Gaming Authorities in connection with the administration of their regulatory jurisdiction over Tenant’s Parent, Tenant and its Subsidiaries, including the provision of such documents and other information as may be requested by such Gaming Authorities relating to Tenant or any of its Subsidiaries or to this Lease and which are within Landlord’s reasonable control to obtain and provide.</w:t>
      </w:r>
    </w:p>
    <w:p>
      <w:pPr>
        <w:spacing w:after="0" w:line="183" w:lineRule="exact"/>
        <w:rPr>
          <w:sz w:val="20"/>
          <w:szCs w:val="20"/>
          <w:color w:val="auto"/>
        </w:rPr>
      </w:pPr>
    </w:p>
    <w:p>
      <w:pPr>
        <w:ind w:right="40" w:firstLine="1983"/>
        <w:spacing w:after="0" w:line="270" w:lineRule="auto"/>
        <w:rPr>
          <w:sz w:val="20"/>
          <w:szCs w:val="20"/>
          <w:color w:val="auto"/>
        </w:rPr>
      </w:pPr>
      <w:r>
        <w:rPr>
          <w:rFonts w:ascii="Arial" w:cs="Arial" w:eastAsia="Arial" w:hAnsi="Arial"/>
          <w:sz w:val="17"/>
          <w:szCs w:val="17"/>
          <w:b w:val="1"/>
          <w:bCs w:val="1"/>
          <w:color w:val="auto"/>
        </w:rPr>
        <w:t xml:space="preserve">41.13 </w:t>
      </w:r>
      <w:r>
        <w:rPr>
          <w:rFonts w:ascii="Arial" w:cs="Arial" w:eastAsia="Arial" w:hAnsi="Arial"/>
          <w:sz w:val="17"/>
          <w:szCs w:val="17"/>
          <w:b w:val="1"/>
          <w:bCs w:val="1"/>
          <w:u w:val="single" w:color="auto"/>
          <w:color w:val="auto"/>
        </w:rPr>
        <w:t>Gaming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(a) Notwithstanding anything to the contrary in this Lease, this Lease and any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formed pursuant to the terms hereof are subject to: (i) the Gaming Regulations; and (ii) the state and local laws and regulations involving the sale, distribution and possession of alcoholic beverages (the “</w:t>
      </w:r>
      <w:r>
        <w:rPr>
          <w:rFonts w:ascii="Arial" w:cs="Arial" w:eastAsia="Arial" w:hAnsi="Arial"/>
          <w:sz w:val="17"/>
          <w:szCs w:val="17"/>
          <w:b w:val="1"/>
          <w:bCs w:val="1"/>
          <w:color w:val="auto"/>
        </w:rPr>
        <w:t>Liquor Laws</w:t>
      </w:r>
      <w:r>
        <w:rPr>
          <w:rFonts w:ascii="Arial" w:cs="Arial" w:eastAsia="Arial" w:hAnsi="Arial"/>
          <w:sz w:val="17"/>
          <w:szCs w:val="17"/>
          <w:color w:val="auto"/>
        </w:rPr>
        <w:t>”). Without limiting the foregoing, each of Tenant, Landlord, and each of Tenant’s or Landlord’s successors and assigns acknowledges that (i) it is subject to being called forward by (a) the Gaming Authorities or (b) any governmental authority enforcing the Liquor Laws (the “</w:t>
      </w:r>
      <w:r>
        <w:rPr>
          <w:rFonts w:ascii="Arial" w:cs="Arial" w:eastAsia="Arial" w:hAnsi="Arial"/>
          <w:sz w:val="17"/>
          <w:szCs w:val="17"/>
          <w:b w:val="1"/>
          <w:bCs w:val="1"/>
          <w:color w:val="auto"/>
        </w:rPr>
        <w:t>Liquor Authority</w:t>
      </w:r>
      <w:r>
        <w:rPr>
          <w:rFonts w:ascii="Arial" w:cs="Arial" w:eastAsia="Arial" w:hAnsi="Arial"/>
          <w:sz w:val="17"/>
          <w:szCs w:val="17"/>
          <w:color w:val="auto"/>
        </w:rPr>
        <w:t>”), in each of their discretion, for licensing or a finding of suitability or to file or provide other information, and (ii) all rights, remedies and powers under this Lease and any agreement formed pursuant to the terms hereof, including with respect to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Regulations and Liquor Laws and only to the extent that required approvals (including prior approvals) are obtained from the requisite Gaming Authorities and/or Liquor Authority.</w:t>
      </w:r>
    </w:p>
    <w:p>
      <w:pPr>
        <w:spacing w:after="0" w:line="181" w:lineRule="exact"/>
        <w:rPr>
          <w:sz w:val="20"/>
          <w:szCs w:val="20"/>
          <w:color w:val="auto"/>
        </w:rPr>
      </w:pPr>
    </w:p>
    <w:p>
      <w:pPr>
        <w:ind w:firstLine="1979"/>
        <w:spacing w:after="0" w:line="275" w:lineRule="auto"/>
        <w:tabs>
          <w:tab w:leader="none" w:pos="237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Lease or any agreement formed pursuant to the terms hereof, each of Tenant, Landlord, and each of Tenant’s or Landlord’s successors and assigns agrees to cooperate with each Gaming Authority and each Liquor Authority in connection with the administration of their regulatory jurisdiction over the parties hereto, including, without limitation, the provision of such documents or other information as may be requested by any such Gaming Authorities and/or Liquor Authorities relating to Tenant, Landlord, Tenant’s or Landlord’s successors and assigns or to this Lease or any agreement formed pursuant to the terms hereof.</w:t>
      </w:r>
    </w:p>
    <w:p>
      <w:pPr>
        <w:spacing w:after="0" w:line="172" w:lineRule="exact"/>
        <w:rPr>
          <w:sz w:val="20"/>
          <w:szCs w:val="20"/>
          <w:color w:val="auto"/>
        </w:rPr>
      </w:pPr>
    </w:p>
    <w:p>
      <w:pPr>
        <w:ind w:right="40" w:firstLine="1983"/>
        <w:spacing w:after="0" w:line="282" w:lineRule="auto"/>
        <w:rPr>
          <w:sz w:val="20"/>
          <w:szCs w:val="20"/>
          <w:color w:val="auto"/>
        </w:rPr>
      </w:pPr>
      <w:r>
        <w:rPr>
          <w:rFonts w:ascii="Arial" w:cs="Arial" w:eastAsia="Arial" w:hAnsi="Arial"/>
          <w:sz w:val="18"/>
          <w:szCs w:val="18"/>
          <w:b w:val="1"/>
          <w:bCs w:val="1"/>
          <w:color w:val="auto"/>
        </w:rPr>
        <w:t xml:space="preserve">41.14 </w:t>
      </w:r>
      <w:r>
        <w:rPr>
          <w:rFonts w:ascii="Arial" w:cs="Arial" w:eastAsia="Arial" w:hAnsi="Arial"/>
          <w:sz w:val="18"/>
          <w:szCs w:val="18"/>
          <w:b w:val="1"/>
          <w:bCs w:val="1"/>
          <w:u w:val="single" w:color="auto"/>
          <w:color w:val="auto"/>
        </w:rPr>
        <w:t>Certain Provisions of Massachusetts Law</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inconsistencies between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41.14 and the other terms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4" w:right="4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of this Lease, the terms and conditions of this Section 41.14 shall control and be binding.</w:t>
      </w:r>
    </w:p>
    <w:p>
      <w:pPr>
        <w:spacing w:after="0" w:line="225" w:lineRule="exact"/>
        <w:rPr>
          <w:sz w:val="20"/>
          <w:szCs w:val="20"/>
          <w:color w:val="auto"/>
        </w:rPr>
      </w:pPr>
    </w:p>
    <w:p>
      <w:pPr>
        <w:ind w:right="20" w:firstLine="1979"/>
        <w:spacing w:after="0" w:line="254" w:lineRule="auto"/>
        <w:tabs>
          <w:tab w:leader="none" w:pos="2362"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INDEPENDENT COVENANTS</w:t>
      </w:r>
      <w:r>
        <w:rPr>
          <w:rFonts w:ascii="Arial" w:cs="Arial" w:eastAsia="Arial" w:hAnsi="Arial"/>
          <w:sz w:val="18"/>
          <w:szCs w:val="18"/>
          <w:color w:val="auto"/>
        </w:rPr>
        <w:t xml:space="preserve">. LANDLORD AND TENANT AGREE THAT THE OBLIGATIONS OF LANDLORD UNDER THIS LEASE, OTHER THAN THOSE FOR DELIVERY OF A LEASEHOLD INTEREST TO TENANT, ARE INDEPENDENT COVENANTS FROM TENANT’S OBLIGATION TO PAY RENT UNDER THIS LEASE AND TO CONTINUE IN ITS OCCUPANCY OF THE LEASED PROPERTY FOR THE TERM OF THIS LEASE. TENANT SHALL NOT BE ENTITLED TO TERMINATE THIS LEASE OR WITHHOLD OR ABATE FOR ANY BREACH OR DEFAULT HEREUNDER EXCEPT IN THE CASE OF A CONSTRUCTIVE EVICTION OR AS OTHERWISE EXPRESSLY SET FORTH IN THIS LEASE. The provisions of this Section 41.14(a) are intended to supplement the provisions of </w:t>
      </w:r>
      <w:r>
        <w:rPr>
          <w:rFonts w:ascii="Arial" w:cs="Arial" w:eastAsia="Arial" w:hAnsi="Arial"/>
          <w:sz w:val="18"/>
          <w:szCs w:val="18"/>
          <w:b w:val="1"/>
          <w:bCs w:val="1"/>
          <w:color w:val="auto"/>
        </w:rPr>
        <w:t>Section 5.1</w:t>
      </w:r>
      <w:r>
        <w:rPr>
          <w:rFonts w:ascii="Arial" w:cs="Arial" w:eastAsia="Arial" w:hAnsi="Arial"/>
          <w:sz w:val="18"/>
          <w:szCs w:val="18"/>
          <w:color w:val="auto"/>
        </w:rPr>
        <w:t xml:space="preserve"> above.</w:t>
      </w:r>
    </w:p>
    <w:p>
      <w:pPr>
        <w:spacing w:after="0" w:line="194" w:lineRule="exact"/>
        <w:rPr>
          <w:rFonts w:ascii="Arial" w:cs="Arial" w:eastAsia="Arial" w:hAnsi="Arial"/>
          <w:sz w:val="18"/>
          <w:szCs w:val="18"/>
          <w:color w:val="auto"/>
        </w:rPr>
      </w:pPr>
    </w:p>
    <w:p>
      <w:pPr>
        <w:ind w:left="2360" w:hanging="381"/>
        <w:spacing w:after="0"/>
        <w:tabs>
          <w:tab w:leader="none" w:pos="2360"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AULs</w:t>
      </w:r>
      <w:r>
        <w:rPr>
          <w:rFonts w:ascii="Arial" w:cs="Arial" w:eastAsia="Arial" w:hAnsi="Arial"/>
          <w:sz w:val="17"/>
          <w:szCs w:val="17"/>
          <w:color w:val="auto"/>
        </w:rPr>
        <w:t>. The Lease is made subject to the following Notices of Activity and use Limitations, which are incorporated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herein by reference:</w:t>
      </w:r>
    </w:p>
    <w:p>
      <w:pPr>
        <w:spacing w:after="0" w:line="211" w:lineRule="exact"/>
        <w:rPr>
          <w:sz w:val="20"/>
          <w:szCs w:val="20"/>
          <w:color w:val="auto"/>
        </w:rPr>
      </w:pPr>
    </w:p>
    <w:p>
      <w:pPr>
        <w:ind w:right="320" w:firstLine="1979"/>
        <w:spacing w:after="0" w:line="277" w:lineRule="auto"/>
        <w:tabs>
          <w:tab w:leader="none" w:pos="233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that certain Notice of Activity and Use Limitation dated January 15, 2019, recorded in the Middlesex South District Registry of Deeds in Book 72195, Page 425;</w:t>
      </w:r>
    </w:p>
    <w:p>
      <w:pPr>
        <w:spacing w:after="0" w:line="170" w:lineRule="exact"/>
        <w:rPr>
          <w:rFonts w:ascii="Arial" w:cs="Arial" w:eastAsia="Arial" w:hAnsi="Arial"/>
          <w:sz w:val="18"/>
          <w:szCs w:val="18"/>
          <w:color w:val="auto"/>
        </w:rPr>
      </w:pPr>
    </w:p>
    <w:p>
      <w:pPr>
        <w:ind w:right="100" w:firstLine="1979"/>
        <w:spacing w:after="0" w:line="277" w:lineRule="auto"/>
        <w:tabs>
          <w:tab w:leader="none" w:pos="238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that certain Notice of Activity and Use Limitation dated December 26, 2019, recorded in the Middlesex South District Registry of Deeds in Book 73907, Page 483;</w:t>
      </w:r>
    </w:p>
    <w:p>
      <w:pPr>
        <w:spacing w:after="0" w:line="170" w:lineRule="exact"/>
        <w:rPr>
          <w:rFonts w:ascii="Arial" w:cs="Arial" w:eastAsia="Arial" w:hAnsi="Arial"/>
          <w:sz w:val="18"/>
          <w:szCs w:val="18"/>
          <w:color w:val="auto"/>
        </w:rPr>
      </w:pPr>
    </w:p>
    <w:p>
      <w:pPr>
        <w:ind w:right="40" w:firstLine="1979"/>
        <w:spacing w:after="0" w:line="277" w:lineRule="auto"/>
        <w:tabs>
          <w:tab w:leader="none" w:pos="243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that certain Notice of Activity and Use Limitation dated December 26, 2021, recorded in the Middlesex South District Registry of Deeds in Book 73907, Page 504;</w:t>
      </w:r>
    </w:p>
    <w:p>
      <w:pPr>
        <w:spacing w:after="0" w:line="170" w:lineRule="exact"/>
        <w:rPr>
          <w:rFonts w:ascii="Arial" w:cs="Arial" w:eastAsia="Arial" w:hAnsi="Arial"/>
          <w:sz w:val="18"/>
          <w:szCs w:val="18"/>
          <w:color w:val="auto"/>
        </w:rPr>
      </w:pPr>
    </w:p>
    <w:p>
      <w:pPr>
        <w:ind w:left="2420" w:hanging="441"/>
        <w:spacing w:after="0"/>
        <w:tabs>
          <w:tab w:leader="none" w:pos="24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that certain Notice of Activity and Use Limitation dated December 26, 2019, recorded in the Suffolk County Registry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Deeds in Book 62321, Page 1;</w:t>
      </w:r>
    </w:p>
    <w:p>
      <w:pPr>
        <w:spacing w:after="0" w:line="210" w:lineRule="exact"/>
        <w:rPr>
          <w:rFonts w:ascii="Arial" w:cs="Arial" w:eastAsia="Arial" w:hAnsi="Arial"/>
          <w:sz w:val="16"/>
          <w:szCs w:val="16"/>
          <w:color w:val="auto"/>
        </w:rPr>
      </w:pPr>
    </w:p>
    <w:p>
      <w:pPr>
        <w:ind w:left="2360" w:hanging="381"/>
        <w:spacing w:after="0"/>
        <w:tabs>
          <w:tab w:leader="none" w:pos="23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that certain Notice of Activity and Use Limitation dated January 15, 2020, recorded in the Suffolk County Registry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Deeds in Book 62405, Page 259;</w:t>
      </w:r>
    </w:p>
    <w:p>
      <w:pPr>
        <w:spacing w:after="0" w:line="210" w:lineRule="exact"/>
        <w:rPr>
          <w:rFonts w:ascii="Arial" w:cs="Arial" w:eastAsia="Arial" w:hAnsi="Arial"/>
          <w:sz w:val="16"/>
          <w:szCs w:val="16"/>
          <w:color w:val="auto"/>
        </w:rPr>
      </w:pPr>
    </w:p>
    <w:p>
      <w:pPr>
        <w:ind w:right="140" w:firstLine="1979"/>
        <w:spacing w:after="0" w:line="286" w:lineRule="auto"/>
        <w:tabs>
          <w:tab w:leader="none" w:pos="242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that certain Notice of Activity and Use Limitation dated November 6, 2000, filed as Document No. 1160150; as amended by First Amendment to Notice of Activity and Use Limitation dated December 17, 2008, filed as Document No. 1489328; as further affected by Second Amended Activity and Use Limitation dated December 20, 2019 filed as Document No. 1833080; and</w:t>
      </w:r>
    </w:p>
    <w:p>
      <w:pPr>
        <w:spacing w:after="0" w:line="165" w:lineRule="exact"/>
        <w:rPr>
          <w:rFonts w:ascii="Arial" w:cs="Arial" w:eastAsia="Arial" w:hAnsi="Arial"/>
          <w:sz w:val="17"/>
          <w:szCs w:val="17"/>
          <w:color w:val="auto"/>
        </w:rPr>
      </w:pPr>
    </w:p>
    <w:p>
      <w:pPr>
        <w:ind w:right="40" w:firstLine="1979"/>
        <w:spacing w:after="0" w:line="277" w:lineRule="auto"/>
        <w:tabs>
          <w:tab w:leader="none" w:pos="247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that certain Notice of Activity and Use Limitation dated May 27, 2005 recorded in Book 45281, Page 459, as affected by Affidavit recorded in Book 54296, Page 99.</w:t>
      </w:r>
    </w:p>
    <w:p>
      <w:pPr>
        <w:spacing w:after="0" w:line="170" w:lineRule="exact"/>
        <w:rPr>
          <w:sz w:val="20"/>
          <w:szCs w:val="20"/>
          <w:color w:val="auto"/>
        </w:rPr>
      </w:pPr>
    </w:p>
    <w:p>
      <w:pPr>
        <w:ind w:firstLine="1979"/>
        <w:spacing w:after="0" w:line="279" w:lineRule="auto"/>
        <w:tabs>
          <w:tab w:leader="none" w:pos="236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Landlord and Tenant acknowledge and agree to the applicable provisions of Section 5.12 of the Purchase Agreement. In the event that the Leased Property is at any time required, for regulatory requirements, to be transferred to Everett Tenant or the Trust (as defined in the Trust Agreement referred to in the Purchase Agreement and as further described in clause (c) below), Landlord agrees to be bound by such requirements and to convey the Leased Property in accordance with the Purchase Agreement and the Trust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0"/>
          </w:cols>
          <w:pgMar w:left="440" w:top="274" w:right="479" w:bottom="1440" w:gutter="0" w:footer="0" w:header="0"/>
        </w:sectPr>
      </w:pPr>
    </w:p>
    <w:bookmarkStart w:id="172" w:name="page173"/>
    <w:bookmarkEnd w:id="172"/>
    <w:p>
      <w:pPr>
        <w:ind w:left="-60" w:firstLine="1979"/>
        <w:spacing w:after="0" w:line="293" w:lineRule="auto"/>
        <w:tabs>
          <w:tab w:leader="none" w:pos="2313" w:val="left"/>
        </w:tabs>
        <w:numPr>
          <w:ilvl w:val="0"/>
          <w:numId w:val="1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Entering into this Lease requires certain Massachusetts regulatory filings and approvals including applications to determine suitability of Landlord’s Parent and each of its subsidiaries and controlled affiliates as determined by the Massachusetts Gaming Commission (“</w:t>
      </w:r>
      <w:r>
        <w:rPr>
          <w:rFonts w:ascii="Arial" w:cs="Arial" w:eastAsia="Arial" w:hAnsi="Arial"/>
          <w:sz w:val="16"/>
          <w:szCs w:val="16"/>
          <w:b w:val="1"/>
          <w:bCs w:val="1"/>
          <w:color w:val="auto"/>
        </w:rPr>
        <w:t>Commission</w:t>
      </w:r>
      <w:r>
        <w:rPr>
          <w:rFonts w:ascii="Arial" w:cs="Arial" w:eastAsia="Arial" w:hAnsi="Arial"/>
          <w:sz w:val="16"/>
          <w:szCs w:val="16"/>
          <w:color w:val="auto"/>
        </w:rPr>
        <w:t>”) pursuant to 205 CMR 115 and Interim Authorization pursuant to 205 CMR 116.10. Interim Authorization for the execution of this Lease is subject to the Commission’s right to order that the Leased Property be transferred to Everett Tenant or to the Trust if the Commission has reasonable cause to believe that Landlord’s Parent or any of its subsidiaries or controlled affiliates may be found unsuitable. Landlord and Tenant agree to file timely applications for determinations of suitability, Interim Authorization and follow all lawful directives from the Commission.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880"/>
          </w:cols>
          <w:pgMar w:left="500" w:top="274" w:right="51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this Lease has been executed by Landlord and Tenant as of the date first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EBH MA Property, LLC, a Massachusetts limited liability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By: Realty Income Corporation, a Maryland corporation, its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sole and managing member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14605</wp:posOffset>
            </wp:positionV>
            <wp:extent cx="23399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MDC Encore Holdings, LLC, a Delaware limited liability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By: Realty Income Corporation, a Maryland corporation, its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[sole and managing member]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14605</wp:posOffset>
            </wp:positionV>
            <wp:extent cx="23399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[Signature Page to Lease]</w:t>
      </w:r>
    </w:p>
    <w:p>
      <w:pPr>
        <w:sectPr>
          <w:pgSz w:w="11900" w:h="16838" w:orient="portrait"/>
          <w:cols w:equalWidth="0" w:num="1">
            <w:col w:w="10380"/>
          </w:cols>
          <w:pgMar w:left="440" w:top="270" w:right="107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TENANT</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[BOSTON TENANT]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579"/>
        <w:spacing w:after="0"/>
        <w:rPr>
          <w:sz w:val="20"/>
          <w:szCs w:val="20"/>
          <w:color w:val="auto"/>
        </w:rPr>
      </w:pPr>
      <w:r>
        <w:rPr>
          <w:rFonts w:ascii="Arial" w:cs="Arial" w:eastAsia="Arial" w:hAnsi="Arial"/>
          <w:sz w:val="18"/>
          <w:szCs w:val="18"/>
          <w:color w:val="auto"/>
        </w:rPr>
        <w:t>[Signature Page to Lease]</w:t>
      </w:r>
    </w:p>
    <w:p>
      <w:pPr>
        <w:sectPr>
          <w:pgSz w:w="11900" w:h="16838" w:orient="portrait"/>
          <w:cols w:equalWidth="0" w:num="1">
            <w:col w:w="10019"/>
          </w:cols>
          <w:pgMar w:left="440" w:top="270"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to Sell the Real Estate of Encore Boston Harbor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Realty Income for $1.70 billion Through a Sale-Leaseback Transaction</w:t>
      </w:r>
    </w:p>
    <w:p>
      <w:pPr>
        <w:spacing w:after="0" w:line="229"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Las Vegas – February 15, 2022 - Wynn Resorts (NASDAQ: WYNN) (“we” or the “Company”) announced today that it has entered into a definitive agreement to sell all of the land and real estate assets of Encore Boston Harbor to Realty Income (NYSE: O) for $1.70 billion in cash, representing a 5.9% cap rate (the “transaction”). Wynn Resorts will continue to operate the property at the five-star standard for which the Company is renowned.</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Simultaneous with the closing of the transaction, we will enter into a triple-net lease agreement for Encore Boston Harbor with Realty Income. The lease will have an initial total annual rent of $100.0 million and an initial term of 30 years, with one thirty-year tenant renewal option. Rent under the lease will escalate at 1.75% for the first ten years of the lease and the greater of 1.75% and the CPI increase during the prior year (capped at 2.50%) over the remainder of the lease term.</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Wynn will retain its 13-acre developable land assemblage on the east side of Broadway in Everett, MA, on a portion of which, the Company plans to construct an expansion that is expected to include additional covered parking along with other non-gaming amenities. The Company has secured an option to sell the related land and real estate assets of such expansion to Realty Income for up to $20 million of additional rent, at a specified cap rate, for up to six years following the closing of the transaction.</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transaction is subject to customary closing conditions, including required regulatory approvals, and is expected to be completed during the fourth quarter of 2022.</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“Encore Boston Harbor is the premier gaming resort on the East Coast and the valuation we achieved in this sale reflects the property’s quality,” said Craig Billings, CEO of Wynn Resorts. “Equally important, the bespoke structure and terms of the lease allow us to maintain a great deal of operating flexibility across economic cycles. The proceeds of the transaction also provide us with liquidity for several of our upcoming development projects and the potential to retire other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 LLP and Latham &amp; Watkins LLP acted as legal advisors to Wynn Resorts in connection with the transaction.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Wynn Resorts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Wynn Resorts, Limited is traded on the Nasdaq Global Select Market under the ticker symbol WYNN and is part of the S&amp;P 500 Index. Wynn Resorts owns and operates Wynn Las Vegas (wynnlasvegas.com), Encore Boston Harbor (encorebostonharbor.com), Wynn Macau (wynnmacau.com), and Wynn Palace, Cotai (wynnpalace.com).</w:t>
      </w:r>
    </w:p>
    <w:p>
      <w:pPr>
        <w:spacing w:after="0" w:line="180"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Wynn and Encore Las Vegas </w:t>
      </w:r>
      <w:r>
        <w:rPr>
          <w:rFonts w:ascii="Arial" w:cs="Arial" w:eastAsia="Arial" w:hAnsi="Arial"/>
          <w:sz w:val="18"/>
          <w:szCs w:val="18"/>
          <w:color w:val="auto"/>
        </w:rPr>
        <w:t>features 4,748 spacious hotel rooms, suites and villas, 33 dining experiences and bars, two award-winning spas, three</w:t>
      </w:r>
      <w:r>
        <w:rPr>
          <w:rFonts w:ascii="Arial" w:cs="Arial" w:eastAsia="Arial" w:hAnsi="Arial"/>
          <w:sz w:val="18"/>
          <w:szCs w:val="18"/>
          <w:b w:val="1"/>
          <w:bCs w:val="1"/>
          <w:color w:val="auto"/>
        </w:rPr>
        <w:t xml:space="preserve"> </w:t>
      </w:r>
      <w:r>
        <w:rPr>
          <w:rFonts w:ascii="Arial" w:cs="Arial" w:eastAsia="Arial" w:hAnsi="Arial"/>
          <w:sz w:val="18"/>
          <w:szCs w:val="18"/>
          <w:color w:val="auto"/>
        </w:rPr>
        <w:t>shopping esplanades, meeting and</w:t>
      </w:r>
    </w:p>
    <w:p>
      <w:pPr>
        <w:sectPr>
          <w:pgSz w:w="11900" w:h="16838" w:orient="portrait"/>
          <w:cols w:equalWidth="0" w:num="1">
            <w:col w:w="11020"/>
          </w:cols>
          <w:pgMar w:left="440" w:top="121" w:right="439" w:bottom="1440" w:gutter="0" w:footer="0" w:header="0"/>
        </w:sectPr>
      </w:pPr>
    </w:p>
    <w:bookmarkStart w:id="176" w:name="page177"/>
    <w:bookmarkEnd w:id="17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convention space, two nightclubs, a beach club, two theaters and a golf course. Nearly 70% of the resort’s peak demand is powered entirely by renewable energy. </w:t>
      </w:r>
      <w:r>
        <w:rPr>
          <w:rFonts w:ascii="Arial" w:cs="Arial" w:eastAsia="Arial" w:hAnsi="Arial"/>
          <w:sz w:val="16"/>
          <w:szCs w:val="16"/>
          <w:b w:val="1"/>
          <w:bCs w:val="1"/>
          <w:color w:val="auto"/>
        </w:rPr>
        <w:t>Encore Boston Harbor</w:t>
      </w:r>
      <w:r>
        <w:rPr>
          <w:rFonts w:ascii="Arial" w:cs="Arial" w:eastAsia="Arial" w:hAnsi="Arial"/>
          <w:sz w:val="16"/>
          <w:szCs w:val="16"/>
          <w:color w:val="auto"/>
        </w:rPr>
        <w:t xml:space="preserve"> is a luxury resort with 671 hotel rooms, an ultra-premium spa, specialty shopping, 16 dining and lounge venues, state-of-the-art ballroom and meeting spaces, a six-acre public park and Harborwalk. </w:t>
      </w:r>
      <w:r>
        <w:rPr>
          <w:rFonts w:ascii="Arial" w:cs="Arial" w:eastAsia="Arial" w:hAnsi="Arial"/>
          <w:sz w:val="16"/>
          <w:szCs w:val="16"/>
          <w:b w:val="1"/>
          <w:bCs w:val="1"/>
          <w:color w:val="auto"/>
        </w:rPr>
        <w:t>Wynn Macau</w:t>
      </w:r>
      <w:r>
        <w:rPr>
          <w:rFonts w:ascii="Arial" w:cs="Arial" w:eastAsia="Arial" w:hAnsi="Arial"/>
          <w:sz w:val="16"/>
          <w:szCs w:val="16"/>
          <w:color w:val="auto"/>
        </w:rPr>
        <w:t xml:space="preserve"> is a luxury resort located in the Macau Special Administrative Region of the People’s Republic of China with 1,010 spacious rooms and suites, 12 dining and bar experiences, convention space, a shopping esplanade, two opulent spas, a salon and a rotunda show. </w:t>
      </w:r>
      <w:r>
        <w:rPr>
          <w:rFonts w:ascii="Arial" w:cs="Arial" w:eastAsia="Arial" w:hAnsi="Arial"/>
          <w:sz w:val="16"/>
          <w:szCs w:val="16"/>
          <w:b w:val="1"/>
          <w:bCs w:val="1"/>
          <w:color w:val="auto"/>
        </w:rPr>
        <w:t>Wynn Palace</w:t>
      </w:r>
      <w:r>
        <w:rPr>
          <w:rFonts w:ascii="Arial" w:cs="Arial" w:eastAsia="Arial" w:hAnsi="Arial"/>
          <w:sz w:val="16"/>
          <w:szCs w:val="16"/>
          <w:color w:val="auto"/>
        </w:rPr>
        <w:t xml:space="preserve"> is a luxury integrated resort on the Cotai Strip in Macau, with 1,706 exquisite rooms, suites and villas, 14 food and beverage outlets, meeting and convention space, an extensive shopping esplanade, SkyCabs that traverse an eight-acre Performance Lake, a lush spa and salon, and an extensive collection of rare 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Weaver, Chief Communications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702-770-7777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michael.weaver@wynnlasvegas.com</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1"/>
      <w:numFmt w:val="decimal"/>
      <w:start w:val="104"/>
    </w:lvl>
  </w:abstractNum>
  <w:abstractNum w:abstractNumId="2">
    <w:nsid w:val="26F324BA"/>
    <w:multiLevelType w:val="hybridMultilevel"/>
    <w:lvl w:ilvl="0">
      <w:lvlJc w:val="left"/>
      <w:lvlText w:val="%1."/>
      <w:numFmt w:val="upperLetter"/>
      <w:start w:val="1"/>
    </w:lvl>
  </w:abstractNum>
  <w:abstractNum w:abstractNumId="3">
    <w:nsid w:val="7F01579B"/>
    <w:multiLevelType w:val="hybridMultilevel"/>
    <w:lvl w:ilvl="0">
      <w:lvlJc w:val="left"/>
      <w:lvlText w:val="(%1)"/>
      <w:numFmt w:val="lowerRoman"/>
      <w:start w:val="2"/>
    </w:lvl>
  </w:abstractNum>
  <w:abstractNum w:abstractNumId="4">
    <w:nsid w:val="49DA307D"/>
    <w:multiLevelType w:val="hybridMultilevel"/>
    <w:lvl w:ilvl="0">
      <w:lvlJc w:val="left"/>
      <w:lvlText w:val="(%1)"/>
      <w:numFmt w:val="lowerRoman"/>
      <w:start w:val="1"/>
    </w:lvl>
  </w:abstractNum>
  <w:abstractNum w:abstractNumId="5">
    <w:nsid w:val="7055A5F5"/>
    <w:multiLevelType w:val="hybridMultilevel"/>
    <w:lvl w:ilvl="0">
      <w:lvlJc w:val="left"/>
      <w:lvlText w:val="(%1)"/>
      <w:numFmt w:val="lowerRoman"/>
      <w:start w:val="8"/>
    </w:lvl>
  </w:abstractNum>
  <w:abstractNum w:abstractNumId="6">
    <w:nsid w:val="5FB8370B"/>
    <w:multiLevelType w:val="hybridMultilevel"/>
    <w:lvl w:ilvl="0">
      <w:lvlJc w:val="left"/>
      <w:lvlText w:val="(%1)"/>
      <w:numFmt w:val="lowerLetter"/>
      <w:start w:val="2"/>
    </w:lvl>
  </w:abstractNum>
  <w:abstractNum w:abstractNumId="7">
    <w:nsid w:val="50801EE1"/>
    <w:multiLevelType w:val="hybridMultilevel"/>
    <w:lvl w:ilvl="0">
      <w:lvlJc w:val="left"/>
      <w:lvlText w:val="(%1)"/>
      <w:numFmt w:val="lowerRoman"/>
      <w:start w:val="1"/>
    </w:lvl>
  </w:abstractNum>
  <w:abstractNum w:abstractNumId="8">
    <w:nsid w:val="488AC1A"/>
    <w:multiLevelType w:val="hybridMultilevel"/>
    <w:lvl w:ilvl="0">
      <w:lvlJc w:val="left"/>
      <w:lvlText w:val="(%1)"/>
      <w:numFmt w:val="lowerLetter"/>
      <w:start w:val="1"/>
    </w:lvl>
  </w:abstractNum>
  <w:abstractNum w:abstractNumId="9">
    <w:nsid w:val="5FB8011C"/>
    <w:multiLevelType w:val="hybridMultilevel"/>
    <w:lvl w:ilvl="0">
      <w:lvlJc w:val="left"/>
      <w:lvlText w:val="(%1)"/>
      <w:numFmt w:val="lowerLetter"/>
      <w:start w:val="1"/>
    </w:lvl>
  </w:abstractNum>
  <w:abstractNum w:abstractNumId="10">
    <w:nsid w:val="6AA78F7F"/>
    <w:multiLevelType w:val="hybridMultilevel"/>
    <w:lvl w:ilvl="0">
      <w:lvlJc w:val="left"/>
      <w:lvlText w:val="(%1)"/>
      <w:numFmt w:val="lowerLetter"/>
      <w:start w:val="1"/>
    </w:lvl>
  </w:abstractNum>
  <w:abstractNum w:abstractNumId="11">
    <w:nsid w:val="7672BD23"/>
    <w:multiLevelType w:val="hybridMultilevel"/>
    <w:lvl w:ilvl="0">
      <w:lvlJc w:val="left"/>
      <w:lvlText w:val="(%1)"/>
      <w:numFmt w:val="lowerLetter"/>
      <w:start w:val="5"/>
    </w:lvl>
  </w:abstractNum>
  <w:abstractNum w:abstractNumId="12">
    <w:nsid w:val="6FC75AF8"/>
    <w:multiLevelType w:val="hybridMultilevel"/>
    <w:lvl w:ilvl="0">
      <w:lvlJc w:val="left"/>
      <w:lvlText w:val="(%1)"/>
      <w:numFmt w:val="lowerLetter"/>
      <w:start w:val="1"/>
    </w:lvl>
  </w:abstractNum>
  <w:abstractNum w:abstractNumId="13">
    <w:nsid w:val="6A5F7029"/>
    <w:multiLevelType w:val="hybridMultilevel"/>
    <w:lvl w:ilvl="0">
      <w:lvlJc w:val="left"/>
      <w:lvlText w:val="%1"/>
      <w:numFmt w:val="upperLetter"/>
      <w:start w:val="1"/>
    </w:lvl>
    <w:lvl w:ilvl="1">
      <w:lvlJc w:val="left"/>
      <w:lvlText w:val="(%2)"/>
      <w:numFmt w:val="lowerLetter"/>
      <w:start w:val="2"/>
    </w:lvl>
  </w:abstractNum>
  <w:abstractNum w:abstractNumId="14">
    <w:nsid w:val="7D5E18F8"/>
    <w:multiLevelType w:val="hybridMultilevel"/>
    <w:lvl w:ilvl="0">
      <w:lvlJc w:val="left"/>
      <w:lvlText w:val="(%1)"/>
      <w:numFmt w:val="upperLetter"/>
      <w:start w:val="2"/>
    </w:lvl>
    <w:lvl w:ilvl="1">
      <w:lvlJc w:val="left"/>
      <w:lvlText w:val="(%2)"/>
      <w:numFmt w:val="lowerLetter"/>
      <w:start w:val="3"/>
    </w:lvl>
  </w:abstractNum>
  <w:abstractNum w:abstractNumId="15">
    <w:nsid w:val="5F3534A4"/>
    <w:multiLevelType w:val="hybridMultilevel"/>
    <w:lvl w:ilvl="0">
      <w:lvlJc w:val="left"/>
      <w:lvlText w:val="%1"/>
      <w:numFmt w:val="lowerLetter"/>
      <w:start w:val="1"/>
    </w:lvl>
    <w:lvl w:ilvl="1">
      <w:lvlJc w:val="left"/>
      <w:lvlText w:val="(%2)"/>
      <w:numFmt w:val="lowerLetter"/>
      <w:start w:val="1"/>
    </w:lvl>
  </w:abstractNum>
  <w:abstractNum w:abstractNumId="16">
    <w:nsid w:val="73A1821B"/>
    <w:multiLevelType w:val="hybridMultilevel"/>
    <w:lvl w:ilvl="0">
      <w:lvlJc w:val="left"/>
      <w:lvlText w:val="(%1)"/>
      <w:numFmt w:val="lowerLetter"/>
      <w:start w:val="61"/>
    </w:lvl>
    <w:lvl w:ilvl="1">
      <w:lvlJc w:val="left"/>
      <w:lvlText w:val="(%2)"/>
      <w:numFmt w:val="lowerLetter"/>
      <w:start w:val="3"/>
    </w:lvl>
  </w:abstractNum>
  <w:abstractNum w:abstractNumId="17">
    <w:nsid w:val="7DE67713"/>
    <w:multiLevelType w:val="hybridMultilevel"/>
    <w:lvl w:ilvl="0">
      <w:lvlJc w:val="left"/>
      <w:lvlText w:val="(%1)"/>
      <w:numFmt w:val="lowerLetter"/>
      <w:start w:val="1"/>
    </w:lvl>
  </w:abstractNum>
  <w:abstractNum w:abstractNumId="18">
    <w:nsid w:val="555C55B5"/>
    <w:multiLevelType w:val="hybridMultilevel"/>
    <w:lvl w:ilvl="0">
      <w:lvlJc w:val="left"/>
      <w:lvlText w:val="(%1)"/>
      <w:numFmt w:val="lowerLetter"/>
      <w:start w:val="2"/>
    </w:lvl>
  </w:abstractNum>
  <w:abstractNum w:abstractNumId="19">
    <w:nsid w:val="3FA62ACA"/>
    <w:multiLevelType w:val="hybridMultilevel"/>
    <w:lvl w:ilvl="0">
      <w:lvlJc w:val="left"/>
      <w:lvlText w:val="(%1)"/>
      <w:numFmt w:val="lowerLetter"/>
      <w:start w:val="1"/>
    </w:lvl>
  </w:abstractNum>
  <w:abstractNum w:abstractNumId="20">
    <w:nsid w:val="14FCE74E"/>
    <w:multiLevelType w:val="hybridMultilevel"/>
    <w:lvl w:ilvl="0">
      <w:lvlJc w:val="left"/>
      <w:lvlText w:val="(%1)"/>
      <w:numFmt w:val="lowerLetter"/>
      <w:start w:val="1"/>
    </w:lvl>
  </w:abstractNum>
  <w:abstractNum w:abstractNumId="21">
    <w:nsid w:val="6A3DD3E8"/>
    <w:multiLevelType w:val="hybridMultilevel"/>
    <w:lvl w:ilvl="0">
      <w:lvlJc w:val="left"/>
      <w:lvlText w:val="(%1)"/>
      <w:numFmt w:val="lowerLetter"/>
      <w:start w:val="1"/>
    </w:lvl>
  </w:abstractNum>
  <w:abstractNum w:abstractNumId="22">
    <w:nsid w:val="71C91298"/>
    <w:multiLevelType w:val="hybridMultilevel"/>
    <w:lvl w:ilvl="0">
      <w:lvlJc w:val="left"/>
      <w:lvlText w:val="(%1)"/>
      <w:numFmt w:val="lowerRoman"/>
      <w:start w:val="1"/>
    </w:lvl>
  </w:abstractNum>
  <w:abstractNum w:abstractNumId="23">
    <w:nsid w:val="9DAF632"/>
    <w:multiLevelType w:val="hybridMultilevel"/>
    <w:lvl w:ilvl="0">
      <w:lvlJc w:val="left"/>
      <w:lvlText w:val="(%1)"/>
      <w:numFmt w:val="lowerRoman"/>
      <w:start w:val="2"/>
    </w:lvl>
  </w:abstractNum>
  <w:abstractNum w:abstractNumId="24">
    <w:nsid w:val="53299938"/>
    <w:multiLevelType w:val="hybridMultilevel"/>
    <w:lvl w:ilvl="0">
      <w:lvlJc w:val="left"/>
      <w:lvlText w:val="(%1)"/>
      <w:numFmt w:val="lowerLetter"/>
      <w:start w:val="3"/>
    </w:lvl>
  </w:abstractNum>
  <w:abstractNum w:abstractNumId="25">
    <w:nsid w:val="1FBFE8E0"/>
    <w:multiLevelType w:val="hybridMultilevel"/>
    <w:lvl w:ilvl="0">
      <w:lvlJc w:val="left"/>
      <w:lvlText w:val="(%1)"/>
      <w:numFmt w:val="lowerRoman"/>
      <w:start w:val="1"/>
    </w:lvl>
  </w:abstractNum>
  <w:abstractNum w:abstractNumId="26">
    <w:nsid w:val="5092CA79"/>
    <w:multiLevelType w:val="hybridMultilevel"/>
    <w:lvl w:ilvl="0">
      <w:lvlJc w:val="left"/>
      <w:lvlText w:val="(%1)"/>
      <w:numFmt w:val="lowerLetter"/>
      <w:start w:val="1"/>
    </w:lvl>
  </w:abstractNum>
  <w:abstractNum w:abstractNumId="27">
    <w:nsid w:val="1D545C4D"/>
    <w:multiLevelType w:val="hybridMultilevel"/>
    <w:lvl w:ilvl="0">
      <w:lvlJc w:val="left"/>
      <w:lvlText w:val="(%1)"/>
      <w:numFmt w:val="lowerRoman"/>
      <w:start w:val="1"/>
    </w:lvl>
  </w:abstractNum>
  <w:abstractNum w:abstractNumId="28">
    <w:nsid w:val="59ADEA3D"/>
    <w:multiLevelType w:val="hybridMultilevel"/>
    <w:lvl w:ilvl="0">
      <w:lvlJc w:val="left"/>
      <w:lvlText w:val="(%1)"/>
      <w:numFmt w:val="lowerRoman"/>
      <w:start w:val="2"/>
    </w:lvl>
  </w:abstractNum>
  <w:abstractNum w:abstractNumId="29">
    <w:nsid w:val="288F1A34"/>
    <w:multiLevelType w:val="hybridMultilevel"/>
    <w:lvl w:ilvl="0">
      <w:lvlJc w:val="left"/>
      <w:lvlText w:val="(%1)"/>
      <w:numFmt w:val="lowerLetter"/>
      <w:start w:val="1"/>
    </w:lvl>
  </w:abstractNum>
  <w:abstractNum w:abstractNumId="30">
    <w:nsid w:val="2A155DBC"/>
    <w:multiLevelType w:val="hybridMultilevel"/>
    <w:lvl w:ilvl="0">
      <w:lvlJc w:val="left"/>
      <w:lvlText w:val="%1"/>
      <w:numFmt w:val="lowerLetter"/>
      <w:start w:val="1"/>
    </w:lvl>
    <w:lvl w:ilvl="1">
      <w:lvlJc w:val="left"/>
      <w:lvlText w:val="(%2)"/>
      <w:numFmt w:val="lowerLetter"/>
      <w:start w:val="2"/>
    </w:lvl>
  </w:abstractNum>
  <w:abstractNum w:abstractNumId="31">
    <w:nsid w:val="1D9F6E5F"/>
    <w:multiLevelType w:val="hybridMultilevel"/>
    <w:lvl w:ilvl="0">
      <w:lvlJc w:val="left"/>
      <w:lvlText w:val="(%1)"/>
      <w:numFmt w:val="lowerLetter"/>
      <w:start w:val="61"/>
    </w:lvl>
    <w:lvl w:ilvl="1">
      <w:lvlJc w:val="left"/>
      <w:lvlText w:val="%2"/>
      <w:numFmt w:val="lowerLetter"/>
      <w:start w:val="1"/>
    </w:lvl>
  </w:abstractNum>
  <w:abstractNum w:abstractNumId="32">
    <w:nsid w:val="97E1B4E"/>
    <w:multiLevelType w:val="hybridMultilevel"/>
    <w:lvl w:ilvl="0">
      <w:lvlJc w:val="left"/>
      <w:lvlText w:val="(%1)"/>
      <w:numFmt w:val="lowerLetter"/>
      <w:start w:val="4"/>
    </w:lvl>
  </w:abstractNum>
  <w:abstractNum w:abstractNumId="33">
    <w:nsid w:val="51088277"/>
    <w:multiLevelType w:val="hybridMultilevel"/>
    <w:lvl w:ilvl="0">
      <w:lvlJc w:val="left"/>
      <w:lvlText w:val="%1"/>
      <w:numFmt w:val="decimal"/>
      <w:start w:val="1"/>
    </w:lvl>
    <w:lvl w:ilvl="1">
      <w:lvlJc w:val="left"/>
      <w:lvlText w:val="(%2)"/>
      <w:numFmt w:val="lowerLetter"/>
      <w:start w:val="6"/>
    </w:lvl>
  </w:abstractNum>
  <w:abstractNum w:abstractNumId="34">
    <w:nsid w:val="1CA0C5FA"/>
    <w:multiLevelType w:val="hybridMultilevel"/>
    <w:lvl w:ilvl="0">
      <w:lvlJc w:val="left"/>
      <w:lvlText w:val="(%1)"/>
      <w:numFmt w:val="decimal"/>
      <w:start w:val="3"/>
    </w:lvl>
    <w:lvl w:ilvl="1">
      <w:lvlJc w:val="left"/>
      <w:lvlText w:val="(%2)"/>
      <w:numFmt w:val="lowerLetter"/>
      <w:start w:val="7"/>
    </w:lvl>
  </w:abstractNum>
  <w:abstractNum w:abstractNumId="35">
    <w:nsid w:val="53584BCB"/>
    <w:multiLevelType w:val="hybridMultilevel"/>
    <w:lvl w:ilvl="0">
      <w:lvlJc w:val="left"/>
      <w:lvlText w:val="(%1)"/>
      <w:numFmt w:val="lowerLetter"/>
      <w:start w:val="1"/>
    </w:lvl>
  </w:abstractNum>
  <w:abstractNum w:abstractNumId="36">
    <w:nsid w:val="415E286C"/>
    <w:multiLevelType w:val="hybridMultilevel"/>
    <w:lvl w:ilvl="0">
      <w:lvlJc w:val="left"/>
      <w:lvlText w:val="%1"/>
      <w:numFmt w:val="lowerLetter"/>
      <w:start w:val="1"/>
    </w:lvl>
    <w:lvl w:ilvl="1">
      <w:lvlJc w:val="left"/>
      <w:lvlText w:val="(%2)"/>
      <w:numFmt w:val="lowerRoman"/>
      <w:start w:val="1"/>
    </w:lvl>
  </w:abstractNum>
  <w:abstractNum w:abstractNumId="37">
    <w:nsid w:val="7C58FD05"/>
    <w:multiLevelType w:val="hybridMultilevel"/>
    <w:lvl w:ilvl="0">
      <w:lvlJc w:val="left"/>
      <w:lvlText w:val="(%1)"/>
      <w:numFmt w:val="lowerLetter"/>
      <w:start w:val="25"/>
    </w:lvl>
    <w:lvl w:ilvl="1">
      <w:lvlJc w:val="left"/>
      <w:lvlText w:val="%2"/>
      <w:numFmt w:val="lowerRoman"/>
      <w:start w:val="1"/>
    </w:lvl>
  </w:abstractNum>
  <w:abstractNum w:abstractNumId="38">
    <w:nsid w:val="23D86AAC"/>
    <w:multiLevelType w:val="hybridMultilevel"/>
    <w:lvl w:ilvl="0">
      <w:lvlJc w:val="left"/>
      <w:lvlText w:val="(%1)"/>
      <w:numFmt w:val="lowerRoman"/>
      <w:start w:val="4"/>
    </w:lvl>
  </w:abstractNum>
  <w:abstractNum w:abstractNumId="39">
    <w:nsid w:val="45E6D486"/>
    <w:multiLevelType w:val="hybridMultilevel"/>
    <w:lvl w:ilvl="0">
      <w:lvlJc w:val="left"/>
      <w:lvlText w:val="%1"/>
      <w:numFmt w:val="lowerLetter"/>
      <w:start w:val="1"/>
    </w:lvl>
    <w:lvl w:ilvl="1">
      <w:lvlJc w:val="left"/>
      <w:lvlText w:val="(%2)"/>
      <w:numFmt w:val="lowerLetter"/>
      <w:start w:val="1"/>
    </w:lvl>
  </w:abstractNum>
  <w:abstractNum w:abstractNumId="40">
    <w:nsid w:val="5C10FE21"/>
    <w:multiLevelType w:val="hybridMultilevel"/>
    <w:lvl w:ilvl="0">
      <w:lvlJc w:val="left"/>
      <w:lvlText w:val="(%1)"/>
      <w:numFmt w:val="lowerLetter"/>
      <w:start w:val="9"/>
    </w:lvl>
    <w:lvl w:ilvl="1">
      <w:lvlJc w:val="left"/>
      <w:lvlText w:val="(%2)"/>
      <w:numFmt w:val="lowerLetter"/>
      <w:start w:val="2"/>
    </w:lvl>
  </w:abstractNum>
  <w:abstractNum w:abstractNumId="41">
    <w:nsid w:val="E7FFA2B"/>
    <w:multiLevelType w:val="hybridMultilevel"/>
    <w:lvl w:ilvl="0">
      <w:lvlJc w:val="left"/>
      <w:lvlText w:val="(%1)"/>
      <w:numFmt w:val="lowerLetter"/>
      <w:start w:val="1"/>
    </w:lvl>
  </w:abstractNum>
  <w:abstractNum w:abstractNumId="42">
    <w:nsid w:val="3C5991AA"/>
    <w:multiLevelType w:val="hybridMultilevel"/>
    <w:lvl w:ilvl="0">
      <w:lvlJc w:val="left"/>
      <w:lvlText w:val="(%1)"/>
      <w:numFmt w:val="lowerLetter"/>
      <w:start w:val="2"/>
    </w:lvl>
  </w:abstractNum>
  <w:abstractNum w:abstractNumId="43">
    <w:nsid w:val="4BD8591A"/>
    <w:multiLevelType w:val="hybridMultilevel"/>
    <w:lvl w:ilvl="0">
      <w:lvlJc w:val="left"/>
      <w:lvlText w:val="%1"/>
      <w:numFmt w:val="lowerRoman"/>
      <w:start w:val="1"/>
    </w:lvl>
    <w:lvl w:ilvl="1">
      <w:lvlJc w:val="left"/>
      <w:lvlText w:val="(%2)"/>
      <w:numFmt w:val="lowerLetter"/>
      <w:start w:val="5"/>
    </w:lvl>
  </w:abstractNum>
  <w:abstractNum w:abstractNumId="44">
    <w:nsid w:val="78DF6A55"/>
    <w:multiLevelType w:val="hybridMultilevel"/>
    <w:lvl w:ilvl="0">
      <w:lvlJc w:val="left"/>
      <w:lvlText w:val="(%1)"/>
      <w:numFmt w:val="lowerRoman"/>
      <w:start w:val="8"/>
    </w:lvl>
    <w:lvl w:ilvl="1">
      <w:lvlJc w:val="left"/>
      <w:lvlText w:val="%2"/>
      <w:numFmt w:val="lowerLetter"/>
      <w:start w:val="1"/>
    </w:lvl>
  </w:abstractNum>
  <w:abstractNum w:abstractNumId="45">
    <w:nsid w:val="39B7AAA2"/>
    <w:multiLevelType w:val="hybridMultilevel"/>
    <w:lvl w:ilvl="0">
      <w:lvlJc w:val="left"/>
      <w:lvlText w:val="(%1)"/>
      <w:numFmt w:val="lowerLetter"/>
      <w:start w:val="1"/>
    </w:lvl>
  </w:abstractNum>
  <w:abstractNum w:abstractNumId="46">
    <w:nsid w:val="2B0D8DBE"/>
    <w:multiLevelType w:val="hybridMultilevel"/>
    <w:lvl w:ilvl="0">
      <w:lvlJc w:val="left"/>
      <w:lvlText w:val="(%1)"/>
      <w:numFmt w:val="lowerLetter"/>
      <w:start w:val="3"/>
    </w:lvl>
  </w:abstractNum>
  <w:abstractNum w:abstractNumId="47">
    <w:nsid w:val="6C80EC70"/>
    <w:multiLevelType w:val="hybridMultilevel"/>
    <w:lvl w:ilvl="0">
      <w:lvlJc w:val="left"/>
      <w:lvlText w:val="(%1)"/>
      <w:numFmt w:val="lowerLetter"/>
      <w:start w:val="1"/>
    </w:lvl>
  </w:abstractNum>
  <w:abstractNum w:abstractNumId="48">
    <w:nsid w:val="379E21B5"/>
    <w:multiLevelType w:val="hybridMultilevel"/>
    <w:lvl w:ilvl="0">
      <w:lvlJc w:val="left"/>
      <w:lvlText w:val="(%1)"/>
      <w:numFmt w:val="lowerLetter"/>
      <w:start w:val="1"/>
    </w:lvl>
  </w:abstractNum>
  <w:abstractNum w:abstractNumId="49">
    <w:nsid w:val="69E373"/>
    <w:multiLevelType w:val="hybridMultilevel"/>
    <w:lvl w:ilvl="0">
      <w:lvlJc w:val="left"/>
      <w:lvlText w:val="(%1)"/>
      <w:numFmt w:val="lowerLetter"/>
      <w:start w:val="3"/>
    </w:lvl>
  </w:abstractNum>
  <w:abstractNum w:abstractNumId="50">
    <w:nsid w:val="2C27173B"/>
    <w:multiLevelType w:val="hybridMultilevel"/>
    <w:lvl w:ilvl="0">
      <w:lvlJc w:val="left"/>
      <w:lvlText w:val="(%1)"/>
      <w:numFmt w:val="lowerLetter"/>
      <w:start w:val="1"/>
    </w:lvl>
  </w:abstractNum>
  <w:abstractNum w:abstractNumId="51">
    <w:nsid w:val="4C9B0904"/>
    <w:multiLevelType w:val="hybridMultilevel"/>
    <w:lvl w:ilvl="0">
      <w:lvlJc w:val="left"/>
      <w:lvlText w:val="(%1)"/>
      <w:numFmt w:val="lowerLetter"/>
      <w:start w:val="1"/>
    </w:lvl>
  </w:abstractNum>
  <w:abstractNum w:abstractNumId="52">
    <w:nsid w:val="6AA7B75C"/>
    <w:multiLevelType w:val="hybridMultilevel"/>
    <w:lvl w:ilvl="0">
      <w:lvlJc w:val="left"/>
      <w:lvlText w:val="(%1)"/>
      <w:numFmt w:val="lowerLetter"/>
      <w:start w:val="2"/>
    </w:lvl>
  </w:abstractNum>
  <w:abstractNum w:abstractNumId="53">
    <w:nsid w:val="1DF029D3"/>
    <w:multiLevelType w:val="hybridMultilevel"/>
    <w:lvl w:ilvl="0">
      <w:lvlJc w:val="left"/>
      <w:lvlText w:val="%1"/>
      <w:numFmt w:val="upperLetter"/>
      <w:start w:val="1"/>
    </w:lvl>
    <w:lvl w:ilvl="1">
      <w:lvlJc w:val="left"/>
      <w:lvlText w:val="(%2)"/>
      <w:numFmt w:val="lowerRoman"/>
      <w:start w:val="1"/>
    </w:lvl>
  </w:abstractNum>
  <w:abstractNum w:abstractNumId="54">
    <w:nsid w:val="5675FF36"/>
    <w:multiLevelType w:val="hybridMultilevel"/>
    <w:lvl w:ilvl="0">
      <w:lvlJc w:val="left"/>
      <w:lvlText w:val="(%1)"/>
      <w:numFmt w:val="upperLetter"/>
      <w:start w:val="2"/>
    </w:lvl>
    <w:lvl w:ilvl="1">
      <w:lvlJc w:val="left"/>
      <w:lvlText w:val="(%2)"/>
      <w:numFmt w:val="lowerRoman"/>
      <w:start w:val="2"/>
    </w:lvl>
  </w:abstractNum>
  <w:abstractNum w:abstractNumId="55">
    <w:nsid w:val="3DD15094"/>
    <w:multiLevelType w:val="hybridMultilevel"/>
    <w:lvl w:ilvl="0">
      <w:lvlJc w:val="left"/>
      <w:lvlText w:val="(%1)"/>
      <w:numFmt w:val="lowerRoman"/>
      <w:start w:val="6"/>
    </w:lvl>
  </w:abstractNum>
  <w:abstractNum w:abstractNumId="56">
    <w:nsid w:val="3DB012B3"/>
    <w:multiLevelType w:val="hybridMultilevel"/>
    <w:lvl w:ilvl="0">
      <w:lvlJc w:val="left"/>
      <w:lvlText w:val="(%1)"/>
      <w:numFmt w:val="lowerLetter"/>
      <w:start w:val="1"/>
    </w:lvl>
  </w:abstractNum>
  <w:abstractNum w:abstractNumId="57">
    <w:nsid w:val="2708C9AF"/>
    <w:multiLevelType w:val="hybridMultilevel"/>
    <w:lvl w:ilvl="0">
      <w:lvlJc w:val="left"/>
      <w:lvlText w:val="(%1)"/>
      <w:numFmt w:val="lowerLetter"/>
      <w:start w:val="6"/>
    </w:lvl>
  </w:abstractNum>
  <w:abstractNum w:abstractNumId="58">
    <w:nsid w:val="5B25ACE2"/>
    <w:multiLevelType w:val="hybridMultilevel"/>
    <w:lvl w:ilvl="0">
      <w:lvlJc w:val="left"/>
      <w:lvlText w:val="(%1)"/>
      <w:numFmt w:val="lowerLetter"/>
      <w:start w:val="3"/>
    </w:lvl>
  </w:abstractNum>
  <w:abstractNum w:abstractNumId="59">
    <w:nsid w:val="175DFCF0"/>
    <w:multiLevelType w:val="hybridMultilevel"/>
    <w:lvl w:ilvl="0">
      <w:lvlJc w:val="left"/>
      <w:lvlText w:val="(%1)"/>
      <w:numFmt w:val="lowerLetter"/>
      <w:start w:val="1"/>
    </w:lvl>
  </w:abstractNum>
  <w:abstractNum w:abstractNumId="60">
    <w:nsid w:val="4F97E3E4"/>
    <w:multiLevelType w:val="hybridMultilevel"/>
    <w:lvl w:ilvl="0">
      <w:lvlJc w:val="left"/>
      <w:lvlText w:val="(%1)"/>
      <w:numFmt w:val="lowerRoman"/>
      <w:start w:val="1"/>
    </w:lvl>
  </w:abstractNum>
  <w:abstractNum w:abstractNumId="61">
    <w:nsid w:val="53B0A9E"/>
    <w:multiLevelType w:val="hybridMultilevel"/>
    <w:lvl w:ilvl="0">
      <w:lvlJc w:val="left"/>
      <w:lvlText w:val="(%1)"/>
      <w:numFmt w:val="lowerLetter"/>
      <w:start w:val="2"/>
    </w:lvl>
  </w:abstractNum>
  <w:abstractNum w:abstractNumId="62">
    <w:nsid w:val="34FD6B4F"/>
    <w:multiLevelType w:val="hybridMultilevel"/>
    <w:lvl w:ilvl="0">
      <w:lvlJc w:val="left"/>
      <w:lvlText w:val="(%1)"/>
      <w:numFmt w:val="lowerLetter"/>
      <w:start w:val="1"/>
    </w:lvl>
  </w:abstractNum>
  <w:abstractNum w:abstractNumId="63">
    <w:nsid w:val="5915FF32"/>
    <w:multiLevelType w:val="hybridMultilevel"/>
    <w:lvl w:ilvl="0">
      <w:lvlJc w:val="left"/>
      <w:lvlText w:val="(%1)"/>
      <w:numFmt w:val="lowerLetter"/>
      <w:start w:val="1"/>
    </w:lvl>
  </w:abstractNum>
  <w:abstractNum w:abstractNumId="64">
    <w:nsid w:val="56438D15"/>
    <w:multiLevelType w:val="hybridMultilevel"/>
    <w:lvl w:ilvl="0">
      <w:lvlJc w:val="left"/>
      <w:lvlText w:val="%1"/>
      <w:numFmt w:val="lowerLetter"/>
      <w:start w:val="1"/>
    </w:lvl>
    <w:lvl w:ilvl="1">
      <w:lvlJc w:val="left"/>
      <w:lvlText w:val="(%2)"/>
      <w:numFmt w:val="lowerLetter"/>
      <w:start w:val="3"/>
    </w:lvl>
  </w:abstractNum>
  <w:abstractNum w:abstractNumId="65">
    <w:nsid w:val="519E3149"/>
    <w:multiLevelType w:val="hybridMultilevel"/>
    <w:lvl w:ilvl="0">
      <w:lvlJc w:val="left"/>
      <w:lvlText w:val="(%1)"/>
      <w:numFmt w:val="lowerLetter"/>
      <w:start w:val="35"/>
    </w:lvl>
    <w:lvl w:ilvl="1">
      <w:lvlJc w:val="left"/>
      <w:lvlText w:val="%2"/>
      <w:numFmt w:val="lowerLetter"/>
      <w:start w:val="1"/>
    </w:lvl>
  </w:abstractNum>
  <w:abstractNum w:abstractNumId="66">
    <w:nsid w:val="2C6E4AFD"/>
    <w:multiLevelType w:val="hybridMultilevel"/>
    <w:lvl w:ilvl="0">
      <w:lvlJc w:val="left"/>
      <w:lvlText w:val="(%1)"/>
      <w:numFmt w:val="lowerRoman"/>
      <w:start w:val="1"/>
    </w:lvl>
  </w:abstractNum>
  <w:abstractNum w:abstractNumId="67">
    <w:nsid w:val="17A1B582"/>
    <w:multiLevelType w:val="hybridMultilevel"/>
    <w:lvl w:ilvl="0">
      <w:lvlJc w:val="left"/>
      <w:lvlText w:val="%1."/>
      <w:numFmt w:val="upperLetter"/>
      <w:start w:val="1"/>
    </w:lvl>
  </w:abstractNum>
  <w:abstractNum w:abstractNumId="68">
    <w:nsid w:val="4DF72E4E"/>
    <w:multiLevelType w:val="hybridMultilevel"/>
    <w:lvl w:ilvl="0">
      <w:lvlJc w:val="left"/>
      <w:lvlText w:val="(%1)"/>
      <w:numFmt w:val="lowerLetter"/>
      <w:start w:val="1"/>
    </w:lvl>
  </w:abstractNum>
  <w:abstractNum w:abstractNumId="69">
    <w:nsid w:val="5046B5A9"/>
    <w:multiLevelType w:val="hybridMultilevel"/>
    <w:lvl w:ilvl="0">
      <w:lvlJc w:val="left"/>
      <w:lvlText w:val="1"/>
      <w:numFmt w:val="bullet"/>
      <w:start w:val="1"/>
    </w:lvl>
  </w:abstractNum>
  <w:abstractNum w:abstractNumId="70">
    <w:nsid w:val="5D888A08"/>
    <w:multiLevelType w:val="hybridMultilevel"/>
    <w:lvl w:ilvl="0">
      <w:lvlJc w:val="left"/>
      <w:lvlText w:val="(%1)"/>
      <w:numFmt w:val="lowerLetter"/>
      <w:start w:val="3"/>
    </w:lvl>
  </w:abstractNum>
  <w:abstractNum w:abstractNumId="71">
    <w:nsid w:val="2A082C70"/>
    <w:multiLevelType w:val="hybridMultilevel"/>
    <w:lvl w:ilvl="0">
      <w:lvlJc w:val="left"/>
      <w:lvlText w:val="(%1)"/>
      <w:numFmt w:val="lowerRoman"/>
      <w:start w:val="10"/>
    </w:lvl>
  </w:abstractNum>
  <w:abstractNum w:abstractNumId="72">
    <w:nsid w:val="5EC6AFD4"/>
    <w:multiLevelType w:val="hybridMultilevel"/>
    <w:lvl w:ilvl="0">
      <w:lvlJc w:val="left"/>
      <w:lvlText w:val="2"/>
      <w:numFmt w:val="bullet"/>
      <w:start w:val="1"/>
    </w:lvl>
  </w:abstractNum>
  <w:abstractNum w:abstractNumId="73">
    <w:nsid w:val="19E21BB2"/>
    <w:multiLevelType w:val="hybridMultilevel"/>
    <w:lvl w:ilvl="0">
      <w:lvlJc w:val="left"/>
      <w:lvlText w:val="(%1)"/>
      <w:numFmt w:val="lowerRoman"/>
      <w:start w:val="1"/>
    </w:lvl>
  </w:abstractNum>
  <w:abstractNum w:abstractNumId="74">
    <w:nsid w:val="75E0858A"/>
    <w:multiLevelType w:val="hybridMultilevel"/>
    <w:lvl w:ilvl="0">
      <w:lvlJc w:val="left"/>
      <w:lvlText w:val="(%1)"/>
      <w:numFmt w:val="decimal"/>
      <w:start w:val="10"/>
    </w:lvl>
  </w:abstractNum>
  <w:abstractNum w:abstractNumId="75">
    <w:nsid w:val="57A61A29"/>
    <w:multiLevelType w:val="hybridMultilevel"/>
    <w:lvl w:ilvl="0">
      <w:lvlJc w:val="left"/>
      <w:lvlText w:val="3"/>
      <w:numFmt w:val="bullet"/>
      <w:start w:val="1"/>
    </w:lvl>
  </w:abstractNum>
  <w:abstractNum w:abstractNumId="76">
    <w:nsid w:val="5399C654"/>
    <w:multiLevelType w:val="hybridMultilevel"/>
    <w:lvl w:ilvl="0">
      <w:lvlJc w:val="left"/>
      <w:lvlText w:val="(%1)"/>
      <w:numFmt w:val="decimal"/>
      <w:start w:val="15"/>
    </w:lvl>
  </w:abstractNum>
  <w:abstractNum w:abstractNumId="77">
    <w:nsid w:val="20EE1348"/>
    <w:multiLevelType w:val="hybridMultilevel"/>
    <w:lvl w:ilvl="0">
      <w:lvlJc w:val="left"/>
      <w:lvlText w:val="(%1)"/>
      <w:numFmt w:val="lowerLetter"/>
      <w:start w:val="35"/>
    </w:lvl>
  </w:abstractNum>
  <w:abstractNum w:abstractNumId="78">
    <w:nsid w:val="4427069A"/>
    <w:multiLevelType w:val="hybridMultilevel"/>
    <w:lvl w:ilvl="0">
      <w:lvlJc w:val="left"/>
      <w:lvlText w:val="(%1)"/>
      <w:numFmt w:val="lowerLetter"/>
      <w:start w:val="2"/>
    </w:lvl>
  </w:abstractNum>
  <w:abstractNum w:abstractNumId="79">
    <w:nsid w:val="B37E80A"/>
    <w:multiLevelType w:val="hybridMultilevel"/>
    <w:lvl w:ilvl="0">
      <w:lvlJc w:val="left"/>
      <w:lvlText w:val="(%1)"/>
      <w:numFmt w:val="lowerRoman"/>
      <w:start w:val="10"/>
    </w:lvl>
  </w:abstractNum>
  <w:abstractNum w:abstractNumId="80">
    <w:nsid w:val="2157F6BC"/>
    <w:multiLevelType w:val="hybridMultilevel"/>
    <w:lvl w:ilvl="0">
      <w:lvlJc w:val="left"/>
      <w:lvlText w:val="(%1)"/>
      <w:numFmt w:val="lowerLetter"/>
      <w:start w:val="1"/>
    </w:lvl>
  </w:abstractNum>
  <w:abstractNum w:abstractNumId="81">
    <w:nsid w:val="704E1DD5"/>
    <w:multiLevelType w:val="hybridMultilevel"/>
    <w:lvl w:ilvl="0">
      <w:lvlJc w:val="left"/>
      <w:lvlText w:val="(%1)"/>
      <w:numFmt w:val="lowerLetter"/>
      <w:start w:val="1"/>
    </w:lvl>
  </w:abstractNum>
  <w:abstractNum w:abstractNumId="82">
    <w:nsid w:val="57D2F10E"/>
    <w:multiLevelType w:val="hybridMultilevel"/>
    <w:lvl w:ilvl="0">
      <w:lvlJc w:val="left"/>
      <w:lvlText w:val="(%1)"/>
      <w:numFmt w:val="lowerLetter"/>
      <w:start w:val="3"/>
    </w:lvl>
  </w:abstractNum>
  <w:abstractNum w:abstractNumId="83">
    <w:nsid w:val="BFFAE18"/>
    <w:multiLevelType w:val="hybridMultilevel"/>
    <w:lvl w:ilvl="0">
      <w:lvlJc w:val="left"/>
      <w:lvlText w:val="(%1)"/>
      <w:numFmt w:val="lowerLetter"/>
      <w:start w:val="2"/>
    </w:lvl>
  </w:abstractNum>
  <w:abstractNum w:abstractNumId="84">
    <w:nsid w:val="E3E47A8"/>
    <w:multiLevelType w:val="hybridMultilevel"/>
    <w:lvl w:ilvl="0">
      <w:lvlJc w:val="left"/>
      <w:lvlText w:val="(%1)"/>
      <w:numFmt w:val="lowerLetter"/>
      <w:start w:val="5"/>
    </w:lvl>
  </w:abstractNum>
  <w:abstractNum w:abstractNumId="85">
    <w:nsid w:val="2E48F044"/>
    <w:multiLevelType w:val="hybridMultilevel"/>
    <w:lvl w:ilvl="0">
      <w:lvlJc w:val="left"/>
      <w:lvlText w:val="(%1)"/>
      <w:numFmt w:val="lowerRoman"/>
      <w:start w:val="1"/>
    </w:lvl>
  </w:abstractNum>
  <w:abstractNum w:abstractNumId="86">
    <w:nsid w:val="49D0FEAC"/>
    <w:multiLevelType w:val="hybridMultilevel"/>
    <w:lvl w:ilvl="0">
      <w:lvlJc w:val="left"/>
      <w:lvlText w:val="%1"/>
      <w:numFmt w:val="lowerLetter"/>
      <w:start w:val="1"/>
    </w:lvl>
    <w:lvl w:ilvl="1">
      <w:lvlJc w:val="left"/>
      <w:lvlText w:val="(%2)"/>
      <w:numFmt w:val="lowerLetter"/>
      <w:start w:val="1"/>
    </w:lvl>
  </w:abstractNum>
  <w:abstractNum w:abstractNumId="87">
    <w:nsid w:val="4BEE5A5B"/>
    <w:multiLevelType w:val="hybridMultilevel"/>
    <w:lvl w:ilvl="0">
      <w:lvlJc w:val="left"/>
      <w:lvlText w:val="(%1)"/>
      <w:numFmt w:val="lowerLetter"/>
      <w:start w:val="35"/>
    </w:lvl>
    <w:lvl w:ilvl="1">
      <w:lvlJc w:val="left"/>
      <w:lvlText w:val="(%2)"/>
      <w:numFmt w:val="lowerLetter"/>
      <w:start w:val="3"/>
    </w:lvl>
  </w:abstractNum>
  <w:abstractNum w:abstractNumId="88">
    <w:nsid w:val="5551B9F3"/>
    <w:multiLevelType w:val="hybridMultilevel"/>
    <w:lvl w:ilvl="0">
      <w:lvlJc w:val="left"/>
      <w:lvlText w:val="(%1)"/>
      <w:numFmt w:val="lowerLetter"/>
      <w:start w:val="4"/>
    </w:lvl>
  </w:abstractNum>
  <w:abstractNum w:abstractNumId="89">
    <w:nsid w:val="24F6AB8E"/>
    <w:multiLevelType w:val="hybridMultilevel"/>
    <w:lvl w:ilvl="0">
      <w:lvlJc w:val="left"/>
      <w:lvlText w:val="(%1)"/>
      <w:numFmt w:val="lowerLetter"/>
      <w:start w:val="1"/>
    </w:lvl>
  </w:abstractNum>
  <w:abstractNum w:abstractNumId="90">
    <w:nsid w:val="634C574C"/>
    <w:multiLevelType w:val="hybridMultilevel"/>
    <w:lvl w:ilvl="0">
      <w:lvlJc w:val="left"/>
      <w:lvlText w:val="%1"/>
      <w:numFmt w:val="lowerLetter"/>
      <w:start w:val="1"/>
    </w:lvl>
    <w:lvl w:ilvl="1">
      <w:lvlJc w:val="left"/>
      <w:lvlText w:val="(%2)"/>
      <w:numFmt w:val="lowerLetter"/>
      <w:start w:val="2"/>
    </w:lvl>
  </w:abstractNum>
  <w:abstractNum w:abstractNumId="91">
    <w:nsid w:val="24E99DD7"/>
    <w:multiLevelType w:val="hybridMultilevel"/>
    <w:lvl w:ilvl="0">
      <w:lvlJc w:val="left"/>
      <w:lvlText w:val="(%1)"/>
      <w:numFmt w:val="lowerLetter"/>
      <w:start w:val="9"/>
    </w:lvl>
    <w:lvl w:ilvl="1">
      <w:lvlJc w:val="left"/>
      <w:lvlText w:val="(%2)"/>
      <w:numFmt w:val="lowerLetter"/>
      <w:start w:val="4"/>
    </w:lvl>
  </w:abstractNum>
  <w:abstractNum w:abstractNumId="92">
    <w:nsid w:val="2A31B62D"/>
    <w:multiLevelType w:val="hybridMultilevel"/>
    <w:lvl w:ilvl="0">
      <w:lvlJc w:val="left"/>
      <w:lvlText w:val="(%1)"/>
      <w:numFmt w:val="lowerLetter"/>
      <w:start w:val="1"/>
    </w:lvl>
  </w:abstractNum>
  <w:abstractNum w:abstractNumId="93">
    <w:nsid w:val="1849C29B"/>
    <w:multiLevelType w:val="hybridMultilevel"/>
    <w:lvl w:ilvl="0">
      <w:lvlJc w:val="left"/>
      <w:lvlText w:val="(%1)"/>
      <w:numFmt w:val="lowerLetter"/>
      <w:start w:val="2"/>
    </w:lvl>
  </w:abstractNum>
  <w:abstractNum w:abstractNumId="94">
    <w:nsid w:val="7DFF9D09"/>
    <w:multiLevelType w:val="hybridMultilevel"/>
    <w:lvl w:ilvl="0">
      <w:lvlJc w:val="left"/>
      <w:lvlText w:val="(%1)"/>
      <w:numFmt w:val="lowerLetter"/>
      <w:start w:val="1"/>
    </w:lvl>
  </w:abstractNum>
  <w:abstractNum w:abstractNumId="95">
    <w:nsid w:val="754342"/>
    <w:multiLevelType w:val="hybridMultilevel"/>
    <w:lvl w:ilvl="0">
      <w:lvlJc w:val="left"/>
      <w:lvlText w:val="%1"/>
      <w:numFmt w:val="lowerLetter"/>
      <w:start w:val="1"/>
    </w:lvl>
    <w:lvl w:ilvl="1">
      <w:lvlJc w:val="left"/>
      <w:lvlText w:val="(%2)"/>
      <w:numFmt w:val="lowerLetter"/>
      <w:start w:val="1"/>
    </w:lvl>
  </w:abstractNum>
  <w:abstractNum w:abstractNumId="96">
    <w:nsid w:val="69E7F3E5"/>
    <w:multiLevelType w:val="hybridMultilevel"/>
    <w:lvl w:ilvl="0">
      <w:lvlJc w:val="left"/>
      <w:lvlText w:val="(%1)"/>
      <w:numFmt w:val="lowerLetter"/>
      <w:start w:val="35"/>
    </w:lvl>
    <w:lvl w:ilvl="1">
      <w:lvlJc w:val="left"/>
      <w:lvlText w:val="(%2)"/>
      <w:numFmt w:val="lowerLetter"/>
      <w:start w:val="2"/>
    </w:lvl>
  </w:abstractNum>
  <w:abstractNum w:abstractNumId="97">
    <w:nsid w:val="2A6DE806"/>
    <w:multiLevelType w:val="hybridMultilevel"/>
    <w:lvl w:ilvl="0">
      <w:lvlJc w:val="left"/>
      <w:lvlText w:val="(%1)"/>
      <w:numFmt w:val="lowerLetter"/>
      <w:start w:val="3"/>
    </w:lvl>
  </w:abstractNum>
  <w:abstractNum w:abstractNumId="98">
    <w:nsid w:val="1816F8C4"/>
    <w:multiLevelType w:val="hybridMultilevel"/>
    <w:lvl w:ilvl="0">
      <w:lvlJc w:val="left"/>
      <w:lvlText w:val="%1"/>
      <w:numFmt w:val="lowerRoman"/>
      <w:start w:val="1"/>
    </w:lvl>
    <w:lvl w:ilvl="1">
      <w:lvlJc w:val="left"/>
      <w:lvlText w:val="(%2)"/>
      <w:numFmt w:val="lowerRoman"/>
      <w:start w:val="1"/>
    </w:lvl>
  </w:abstractNum>
  <w:abstractNum w:abstractNumId="99">
    <w:nsid w:val="37DF2233"/>
    <w:multiLevelType w:val="hybridMultilevel"/>
    <w:lvl w:ilvl="0">
      <w:lvlJc w:val="left"/>
      <w:lvlText w:val="(%1)"/>
      <w:numFmt w:val="lowerRoman"/>
      <w:start w:val="10"/>
    </w:lvl>
    <w:lvl w:ilvl="1">
      <w:lvlJc w:val="left"/>
      <w:lvlText w:val="%2"/>
      <w:numFmt w:val="lowerRoman"/>
      <w:start w:val="1"/>
    </w:lvl>
  </w:abstractNum>
  <w:abstractNum w:abstractNumId="100">
    <w:nsid w:val="7AB49DAF"/>
    <w:multiLevelType w:val="hybridMultilevel"/>
    <w:lvl w:ilvl="0">
      <w:lvlJc w:val="left"/>
      <w:lvlText w:val="(%1)"/>
      <w:numFmt w:val="lowerRoman"/>
      <w:start w:val="3"/>
    </w:lvl>
  </w:abstractNum>
  <w:abstractNum w:abstractNumId="101">
    <w:nsid w:val="759F82CD"/>
    <w:multiLevelType w:val="hybridMultilevel"/>
    <w:lvl w:ilvl="0">
      <w:lvlJc w:val="left"/>
      <w:lvlText w:val="(%1)"/>
      <w:numFmt w:val="lowerRoman"/>
      <w:start w:val="5"/>
    </w:lvl>
  </w:abstractNum>
  <w:abstractNum w:abstractNumId="102">
    <w:nsid w:val="61E74EA3"/>
    <w:multiLevelType w:val="hybridMultilevel"/>
    <w:lvl w:ilvl="0">
      <w:lvlJc w:val="left"/>
      <w:lvlText w:val="(%1)"/>
      <w:numFmt w:val="lowerLetter"/>
      <w:start w:val="1"/>
    </w:lvl>
  </w:abstractNum>
  <w:abstractNum w:abstractNumId="103">
    <w:nsid w:val="597B4D84"/>
    <w:multiLevelType w:val="hybridMultilevel"/>
    <w:lvl w:ilvl="0">
      <w:lvlJc w:val="left"/>
      <w:lvlText w:val="(%1)"/>
      <w:numFmt w:val="lowerLetter"/>
      <w:start w:val="3"/>
    </w:lvl>
  </w:abstractNum>
  <w:abstractNum w:abstractNumId="104">
    <w:nsid w:val="F819E7F"/>
    <w:multiLevelType w:val="hybridMultilevel"/>
    <w:lvl w:ilvl="0">
      <w:lvlJc w:val="left"/>
      <w:lvlText w:val="(%1)"/>
      <w:numFmt w:val="lowerLetter"/>
      <w:start w:val="1"/>
    </w:lvl>
  </w:abstractNum>
  <w:abstractNum w:abstractNumId="105">
    <w:nsid w:val="57C7D42D"/>
    <w:multiLevelType w:val="hybridMultilevel"/>
    <w:lvl w:ilvl="0">
      <w:lvlJc w:val="left"/>
      <w:lvlText w:val="%1"/>
      <w:numFmt w:val="lowerRoman"/>
      <w:start w:val="1"/>
    </w:lvl>
    <w:lvl w:ilvl="1">
      <w:lvlJc w:val="left"/>
      <w:lvlText w:val="(%2)"/>
      <w:numFmt w:val="lowerLetter"/>
      <w:start w:val="2"/>
    </w:lvl>
  </w:abstractNum>
  <w:abstractNum w:abstractNumId="106">
    <w:nsid w:val="312167AD"/>
    <w:multiLevelType w:val="hybridMultilevel"/>
    <w:lvl w:ilvl="0">
      <w:lvlJc w:val="left"/>
      <w:lvlText w:val="(%1)"/>
      <w:numFmt w:val="lowerRoman"/>
      <w:start w:val="1"/>
    </w:lvl>
    <w:lvl w:ilvl="1">
      <w:lvlJc w:val="left"/>
      <w:lvlText w:val="%2"/>
      <w:numFmt w:val="lowerLetter"/>
      <w:start w:val="1"/>
    </w:lvl>
  </w:abstractNum>
  <w:abstractNum w:abstractNumId="107">
    <w:nsid w:val="631B64D4"/>
    <w:multiLevelType w:val="hybridMultilevel"/>
    <w:lvl w:ilvl="0">
      <w:lvlJc w:val="left"/>
      <w:lvlText w:val="(%1)"/>
      <w:numFmt w:val="lowerLetter"/>
      <w:start w:val="1"/>
    </w:lvl>
  </w:abstractNum>
  <w:abstractNum w:abstractNumId="108">
    <w:nsid w:val="78B5E776"/>
    <w:multiLevelType w:val="hybridMultilevel"/>
    <w:lvl w:ilvl="0">
      <w:lvlJc w:val="left"/>
      <w:lvlText w:val="(%1)"/>
      <w:numFmt w:val="lowerLetter"/>
      <w:start w:val="6"/>
    </w:lvl>
  </w:abstractNum>
  <w:abstractNum w:abstractNumId="109">
    <w:nsid w:val="75486E47"/>
    <w:multiLevelType w:val="hybridMultilevel"/>
    <w:lvl w:ilvl="0">
      <w:lvlJc w:val="left"/>
      <w:lvlText w:val="(%1)"/>
      <w:numFmt w:val="lowerLetter"/>
      <w:start w:val="1"/>
    </w:lvl>
  </w:abstractNum>
  <w:abstractNum w:abstractNumId="110">
    <w:nsid w:val="6E534CDE"/>
    <w:multiLevelType w:val="hybridMultilevel"/>
    <w:lvl w:ilvl="0">
      <w:lvlJc w:val="left"/>
      <w:lvlText w:val="(%1)"/>
      <w:numFmt w:val="lowerLetter"/>
      <w:start w:val="6"/>
    </w:lvl>
  </w:abstractNum>
  <w:abstractNum w:abstractNumId="111">
    <w:nsid w:val="1A0DDE32"/>
    <w:multiLevelType w:val="hybridMultilevel"/>
    <w:lvl w:ilvl="0">
      <w:lvlJc w:val="left"/>
      <w:lvlText w:val="(%1)"/>
      <w:numFmt w:val="lowerRoman"/>
      <w:start w:val="1"/>
    </w:lvl>
  </w:abstractNum>
  <w:abstractNum w:abstractNumId="112">
    <w:nsid w:val="65968C1C"/>
    <w:multiLevelType w:val="hybridMultilevel"/>
    <w:lvl w:ilvl="0">
      <w:lvlJc w:val="left"/>
      <w:lvlText w:val="(%1)"/>
      <w:numFmt w:val="lowerLetter"/>
      <w:start w:val="1"/>
    </w:lvl>
  </w:abstractNum>
  <w:abstractNum w:abstractNumId="113">
    <w:nsid w:val="46263DEC"/>
    <w:multiLevelType w:val="hybridMultilevel"/>
    <w:lvl w:ilvl="0">
      <w:lvlJc w:val="left"/>
      <w:lvlText w:val="%1"/>
      <w:numFmt w:val="lowerLetter"/>
      <w:start w:val="1"/>
    </w:lvl>
    <w:lvl w:ilvl="1">
      <w:lvlJc w:val="left"/>
      <w:lvlText w:val="(%2)"/>
      <w:numFmt w:val="lowerLetter"/>
      <w:start w:val="5"/>
    </w:lvl>
  </w:abstractNum>
  <w:abstractNum w:abstractNumId="114">
    <w:nsid w:val="260D8C4A"/>
    <w:multiLevelType w:val="hybridMultilevel"/>
    <w:lvl w:ilvl="0">
      <w:lvlJc w:val="left"/>
      <w:lvlText w:val="(%1)"/>
      <w:numFmt w:val="lowerLetter"/>
      <w:start w:val="9"/>
    </w:lvl>
    <w:lvl w:ilvl="1">
      <w:lvlJc w:val="left"/>
      <w:lvlText w:val="(%2)"/>
      <w:numFmt w:val="lowerLetter"/>
      <w:start w:val="8"/>
    </w:lvl>
  </w:abstractNum>
  <w:abstractNum w:abstractNumId="115">
    <w:nsid w:val="73D4D3C4"/>
    <w:multiLevelType w:val="hybridMultilevel"/>
    <w:lvl w:ilvl="0">
      <w:lvlJc w:val="left"/>
      <w:lvlText w:val="%1"/>
      <w:numFmt w:val="lowerLetter"/>
      <w:start w:val="1"/>
    </w:lvl>
    <w:lvl w:ilvl="1">
      <w:lvlJc w:val="left"/>
      <w:lvlText w:val="(%2)"/>
      <w:numFmt w:val="lowerLetter"/>
      <w:start w:val="1"/>
    </w:lvl>
  </w:abstractNum>
  <w:abstractNum w:abstractNumId="116">
    <w:nsid w:val="746F2E30"/>
    <w:multiLevelType w:val="hybridMultilevel"/>
    <w:lvl w:ilvl="0">
      <w:lvlJc w:val="left"/>
      <w:lvlText w:val="(%1)"/>
      <w:numFmt w:val="lowerLetter"/>
      <w:start w:val="35"/>
    </w:lvl>
    <w:lvl w:ilvl="1">
      <w:lvlJc w:val="left"/>
      <w:lvlText w:val="(%2)"/>
      <w:numFmt w:val="lowerLetter"/>
      <w:start w:val="2"/>
    </w:lvl>
  </w:abstractNum>
  <w:abstractNum w:abstractNumId="117">
    <w:nsid w:val="6FDE8AF6"/>
    <w:multiLevelType w:val="hybridMultilevel"/>
    <w:lvl w:ilvl="0">
      <w:lvlJc w:val="left"/>
      <w:lvlText w:val="(%1)"/>
      <w:numFmt w:val="lowerLetter"/>
      <w:start w:val="4"/>
    </w:lvl>
  </w:abstractNum>
  <w:abstractNum w:abstractNumId="118">
    <w:nsid w:val="3FC32E20"/>
    <w:multiLevelType w:val="hybridMultilevel"/>
    <w:lvl w:ilvl="0">
      <w:lvlJc w:val="left"/>
      <w:lvlText w:val="(%1)"/>
      <w:numFmt w:val="decimal"/>
      <w:start w:val="3"/>
    </w:lvl>
  </w:abstractNum>
  <w:abstractNum w:abstractNumId="119">
    <w:nsid w:val="49C0E823"/>
    <w:multiLevelType w:val="hybridMultilevel"/>
    <w:lvl w:ilvl="0">
      <w:lvlJc w:val="left"/>
      <w:lvlText w:val="(%1)"/>
      <w:numFmt w:val="lowerLetter"/>
      <w:start w:val="1"/>
    </w:lvl>
  </w:abstractNum>
  <w:abstractNum w:abstractNumId="120">
    <w:nsid w:val="14D53685"/>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121">
    <w:nsid w:val="230F856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122">
    <w:nsid w:val="6EAA85FB"/>
    <w:multiLevelType w:val="hybridMultilevel"/>
    <w:lvl w:ilvl="0">
      <w:lvlJc w:val="left"/>
      <w:lvlText w:val="(%1)"/>
      <w:numFmt w:val="lowerLetter"/>
      <w:start w:val="5"/>
    </w:lvl>
  </w:abstractNum>
  <w:abstractNum w:abstractNumId="123">
    <w:nsid w:val="3F06ECB2"/>
    <w:multiLevelType w:val="hybridMultilevel"/>
    <w:lvl w:ilvl="0">
      <w:lvlJc w:val="left"/>
      <w:lvlText w:val="(%1)"/>
      <w:numFmt w:val="lowerLetter"/>
      <w:start w:val="14"/>
    </w:lvl>
  </w:abstractNum>
  <w:abstractNum w:abstractNumId="124">
    <w:nsid w:val="3B594807"/>
    <w:multiLevelType w:val="hybridMultilevel"/>
    <w:lvl w:ilvl="0">
      <w:lvlJc w:val="left"/>
      <w:lvlText w:val="%1"/>
      <w:numFmt w:val="lowerRoman"/>
      <w:start w:val="1"/>
    </w:lvl>
    <w:lvl w:ilvl="1">
      <w:lvlJc w:val="left"/>
      <w:lvlText w:val="(%2)"/>
      <w:numFmt w:val="upperLetter"/>
      <w:start w:val="1"/>
    </w:lvl>
  </w:abstractNum>
  <w:abstractNum w:abstractNumId="125">
    <w:nsid w:val="6CAA2304"/>
    <w:multiLevelType w:val="hybridMultilevel"/>
    <w:lvl w:ilvl="0">
      <w:lvlJc w:val="left"/>
      <w:lvlText w:val="(%1)"/>
      <w:numFmt w:val="lowerRoman"/>
      <w:start w:val="1"/>
    </w:lvl>
    <w:lvl w:ilvl="1">
      <w:lvlJc w:val="left"/>
      <w:lvlText w:val="%2"/>
      <w:numFmt w:val="upperLetter"/>
      <w:start w:val="1"/>
    </w:lvl>
  </w:abstractNum>
  <w:abstractNum w:abstractNumId="126">
    <w:nsid w:val="3F7C2FF4"/>
    <w:multiLevelType w:val="hybridMultilevel"/>
    <w:lvl w:ilvl="0">
      <w:lvlJc w:val="left"/>
      <w:lvlText w:val="(%1)"/>
      <w:numFmt w:val="upperLetter"/>
      <w:start w:val="2"/>
    </w:lvl>
  </w:abstractNum>
  <w:abstractNum w:abstractNumId="127">
    <w:nsid w:val="25413BEC"/>
    <w:multiLevelType w:val="hybridMultilevel"/>
    <w:lvl w:ilvl="0">
      <w:lvlJc w:val="left"/>
      <w:lvlText w:val="(%1)"/>
      <w:numFmt w:val="lowerLetter"/>
      <w:start w:val="2"/>
    </w:lvl>
  </w:abstractNum>
  <w:abstractNum w:abstractNumId="128">
    <w:nsid w:val="17180B0B"/>
    <w:multiLevelType w:val="hybridMultilevel"/>
    <w:lvl w:ilvl="0">
      <w:lvlJc w:val="left"/>
      <w:lvlText w:val="%1"/>
      <w:numFmt w:val="lowerLetter"/>
      <w:start w:val="1"/>
    </w:lvl>
    <w:lvl w:ilvl="1">
      <w:lvlJc w:val="left"/>
      <w:lvlText w:val="(%2)"/>
      <w:numFmt w:val="lowerLetter"/>
      <w:start w:val="1"/>
    </w:lvl>
  </w:abstractNum>
  <w:abstractNum w:abstractNumId="129">
    <w:nsid w:val="579328B9"/>
    <w:multiLevelType w:val="hybridMultilevel"/>
    <w:lvl w:ilvl="0">
      <w:lvlJc w:val="left"/>
      <w:lvlText w:val="(%1)"/>
      <w:numFmt w:val="lowerLetter"/>
      <w:start w:val="61"/>
    </w:lvl>
    <w:lvl w:ilvl="1">
      <w:lvlJc w:val="left"/>
      <w:lvlText w:val="%2"/>
      <w:numFmt w:val="lowerLetter"/>
      <w:start w:val="1"/>
    </w:lvl>
  </w:abstractNum>
  <w:abstractNum w:abstractNumId="130">
    <w:nsid w:val="5D205E20"/>
    <w:multiLevelType w:val="hybridMultilevel"/>
    <w:lvl w:ilvl="0">
      <w:lvlJc w:val="left"/>
      <w:lvlText w:val="%1"/>
      <w:numFmt w:val="lowerLetter"/>
      <w:start w:val="1"/>
    </w:lvl>
    <w:lvl w:ilvl="1">
      <w:lvlJc w:val="left"/>
      <w:lvlText w:val="(%2)"/>
      <w:numFmt w:val="lowerLetter"/>
      <w:start w:val="2"/>
    </w:lvl>
  </w:abstractNum>
  <w:abstractNum w:abstractNumId="131">
    <w:nsid w:val="11CCA8BA"/>
    <w:multiLevelType w:val="hybridMultilevel"/>
    <w:lvl w:ilvl="0">
      <w:lvlJc w:val="left"/>
      <w:lvlText w:val="(%1)"/>
      <w:numFmt w:val="lowerLetter"/>
      <w:start w:val="9"/>
    </w:lvl>
    <w:lvl w:ilvl="1">
      <w:lvlJc w:val="left"/>
      <w:lvlText w:val="%2"/>
      <w:numFmt w:val="lowerLetter"/>
      <w:start w:val="1"/>
    </w:lvl>
  </w:abstractNum>
  <w:abstractNum w:abstractNumId="132">
    <w:nsid w:val="4D32AB86"/>
    <w:multiLevelType w:val="hybridMultilevel"/>
    <w:lvl w:ilvl="0">
      <w:lvlJc w:val="left"/>
      <w:lvlText w:val="(%1)"/>
      <w:numFmt w:val="decimal"/>
      <w:start w:val="2"/>
    </w:lvl>
  </w:abstractNum>
  <w:abstractNum w:abstractNumId="133">
    <w:nsid w:val="3F07ACC3"/>
    <w:multiLevelType w:val="hybridMultilevel"/>
    <w:lvl w:ilvl="0">
      <w:lvlJc w:val="left"/>
      <w:lvlText w:val="(%1)"/>
      <w:numFmt w:val="lowerRoman"/>
      <w:start w:val="2"/>
    </w:lvl>
  </w:abstractNum>
  <w:abstractNum w:abstractNumId="134">
    <w:nsid w:val="6B47F63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35">
    <w:nsid w:val="5CB44A05"/>
    <w:multiLevelType w:val="hybridMultilevel"/>
    <w:lvl w:ilvl="0">
      <w:lvlJc w:val="left"/>
      <w:lvlText w:val="(%1)"/>
      <w:numFmt w:val="lowerRoman"/>
      <w:start w:val="1"/>
    </w:lvl>
    <w:lvl w:ilvl="1">
      <w:lvlJc w:val="left"/>
      <w:lvlText w:val="(%2)"/>
      <w:numFmt w:val="decimal"/>
      <w:start w:val="90"/>
    </w:lvl>
    <w:lvl w:ilvl="2">
      <w:lvlJc w:val="left"/>
      <w:lvlText w:val="%3"/>
      <w:numFmt w:val="lowerLetter"/>
      <w:start w:val="1"/>
    </w:lvl>
  </w:abstractNum>
  <w:abstractNum w:abstractNumId="136">
    <w:nsid w:val="16CF80F1"/>
    <w:multiLevelType w:val="hybridMultilevel"/>
    <w:lvl w:ilvl="0">
      <w:lvlJc w:val="left"/>
      <w:lvlText w:val="(%1)"/>
      <w:numFmt w:val="lowerRoman"/>
      <w:start w:val="3"/>
    </w:lvl>
    <w:lvl w:ilvl="1">
      <w:lvlJc w:val="left"/>
      <w:lvlText w:val="(%2)"/>
      <w:numFmt w:val="lowerLetter"/>
      <w:start w:val="5"/>
    </w:lvl>
  </w:abstractNum>
  <w:abstractNum w:abstractNumId="137">
    <w:nsid w:val="1C695DEC"/>
    <w:multiLevelType w:val="hybridMultilevel"/>
    <w:lvl w:ilvl="0">
      <w:lvlJc w:val="left"/>
      <w:lvlText w:val="(%1)"/>
      <w:numFmt w:val="lowerRoman"/>
      <w:start w:val="1"/>
    </w:lvl>
    <w:lvl w:ilvl="1">
      <w:lvlJc w:val="left"/>
      <w:lvlText w:val="(%2)"/>
      <w:numFmt w:val="upperLetter"/>
    </w:lvl>
    <w:lvl w:ilvl="2">
      <w:lvlJc w:val="left"/>
      <w:lvlText w:val="(%3)"/>
      <w:numFmt w:val="decimal"/>
      <w:start w:val="1"/>
    </w:lvl>
  </w:abstractNum>
  <w:abstractNum w:abstractNumId="138">
    <w:nsid w:val="3FCFAED9"/>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139">
    <w:nsid w:val="F856867"/>
    <w:multiLevelType w:val="hybridMultilevel"/>
    <w:lvl w:ilvl="0">
      <w:lvlJc w:val="left"/>
      <w:lvlText w:val="(%1)"/>
      <w:numFmt w:val="lowerRoman"/>
      <w:start w:val="2"/>
    </w:lvl>
    <w:lvl w:ilvl="1">
      <w:lvlJc w:val="left"/>
      <w:lvlText w:val="(%2)"/>
      <w:numFmt w:val="decimal"/>
      <w:start w:val="24"/>
    </w:lvl>
  </w:abstractNum>
  <w:abstractNum w:abstractNumId="140">
    <w:nsid w:val="11B1CC33"/>
    <w:multiLevelType w:val="hybridMultilevel"/>
    <w:lvl w:ilvl="0">
      <w:lvlJc w:val="left"/>
      <w:lvlText w:val="%1"/>
      <w:numFmt w:val="lowerRoman"/>
      <w:start w:val="1"/>
    </w:lvl>
    <w:lvl w:ilvl="1">
      <w:lvlJc w:val="left"/>
      <w:lvlText w:val="(%2)"/>
      <w:numFmt w:val="decimal"/>
      <w:start w:val="12"/>
    </w:lvl>
  </w:abstractNum>
  <w:abstractNum w:abstractNumId="141">
    <w:nsid w:val="2E22FBB7"/>
    <w:multiLevelType w:val="hybridMultilevel"/>
    <w:lvl w:ilvl="0">
      <w:lvlJc w:val="left"/>
      <w:lvlText w:val="(%1)"/>
      <w:numFmt w:val="lowerRoman"/>
      <w:start w:val="3"/>
    </w:lvl>
    <w:lvl w:ilvl="1">
      <w:lvlJc w:val="left"/>
      <w:lvlText w:val="%2"/>
      <w:numFmt w:val="decimal"/>
      <w:start w:val="1"/>
    </w:lvl>
  </w:abstractNum>
  <w:abstractNum w:abstractNumId="142">
    <w:nsid w:val="29934699"/>
    <w:multiLevelType w:val="hybridMultilevel"/>
    <w:lvl w:ilvl="0">
      <w:lvlJc w:val="left"/>
      <w:lvlText w:val="(%1)"/>
      <w:numFmt w:val="lowerRoman"/>
      <w:start w:val="5"/>
    </w:lvl>
    <w:lvl w:ilvl="1">
      <w:lvlJc w:val="left"/>
      <w:lvlText w:val="(%2)"/>
      <w:numFmt w:val="lowerLetter"/>
      <w:start w:val="6"/>
    </w:lvl>
  </w:abstractNum>
  <w:abstractNum w:abstractNumId="143">
    <w:nsid w:val="77485850"/>
    <w:multiLevelType w:val="hybridMultilevel"/>
    <w:lvl w:ilvl="0">
      <w:lvlJc w:val="left"/>
      <w:lvlText w:val="(%1)"/>
      <w:numFmt w:val="lowerRoman"/>
      <w:start w:val="1"/>
    </w:lvl>
  </w:abstractNum>
  <w:abstractNum w:abstractNumId="144">
    <w:nsid w:val="744939A3"/>
    <w:multiLevelType w:val="hybridMultilevel"/>
    <w:lvl w:ilvl="0">
      <w:lvlJc w:val="left"/>
      <w:lvlText w:val="(%1)"/>
      <w:numFmt w:val="lowerRoman"/>
      <w:start w:val="2"/>
    </w:lvl>
    <w:lvl w:ilvl="1">
      <w:lvlJc w:val="left"/>
      <w:lvlText w:val="(%2)"/>
      <w:numFmt w:val="lowerLetter"/>
      <w:start w:val="7"/>
    </w:lvl>
  </w:abstractNum>
  <w:abstractNum w:abstractNumId="145">
    <w:nsid w:val="4FA0D2E3"/>
    <w:multiLevelType w:val="hybridMultilevel"/>
    <w:lvl w:ilvl="0">
      <w:lvlJc w:val="left"/>
      <w:lvlText w:val="%1"/>
      <w:numFmt w:val="lowerLetter"/>
      <w:start w:val="1"/>
    </w:lvl>
    <w:lvl w:ilvl="1">
      <w:lvlJc w:val="left"/>
      <w:lvlText w:val="(%2)"/>
      <w:numFmt w:val="lowerLetter"/>
      <w:start w:val="9"/>
    </w:lvl>
  </w:abstractNum>
  <w:abstractNum w:abstractNumId="146">
    <w:nsid w:val="6B1D2C14"/>
    <w:multiLevelType w:val="hybridMultilevel"/>
    <w:lvl w:ilvl="0">
      <w:lvlJc w:val="left"/>
      <w:lvlText w:val="(%1)"/>
      <w:numFmt w:val="lowerLetter"/>
      <w:start w:val="9"/>
    </w:lvl>
    <w:lvl w:ilvl="1">
      <w:lvlJc w:val="left"/>
      <w:lvlText w:val="%2"/>
      <w:numFmt w:val="lowerLetter"/>
      <w:start w:val="1"/>
    </w:lvl>
  </w:abstractNum>
  <w:abstractNum w:abstractNumId="147">
    <w:nsid w:val="68B867D3"/>
    <w:multiLevelType w:val="hybridMultilevel"/>
    <w:lvl w:ilvl="0">
      <w:lvlJc w:val="left"/>
      <w:lvlText w:val="(%1)"/>
      <w:numFmt w:val="lowerLetter"/>
      <w:start w:val="14"/>
    </w:lvl>
  </w:abstractNum>
  <w:abstractNum w:abstractNumId="148">
    <w:nsid w:val="3F7F5DD9"/>
    <w:multiLevelType w:val="hybridMultilevel"/>
    <w:lvl w:ilvl="0">
      <w:lvlJc w:val="left"/>
      <w:lvlText w:val="(%1)"/>
      <w:numFmt w:val="lowerRoman"/>
      <w:start w:val="8"/>
    </w:lvl>
  </w:abstractNum>
  <w:abstractNum w:abstractNumId="149">
    <w:nsid w:val="2AE05A34"/>
    <w:multiLevelType w:val="hybridMultilevel"/>
    <w:lvl w:ilvl="0">
      <w:lvlJc w:val="left"/>
      <w:lvlText w:val="(%1)"/>
      <w:numFmt w:val="lowerRoman"/>
      <w:start w:val="10"/>
    </w:lvl>
  </w:abstractNum>
  <w:abstractNum w:abstractNumId="150">
    <w:nsid w:val="32794FF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1">
    <w:nsid w:val="5454945E"/>
    <w:multiLevelType w:val="hybridMultilevel"/>
    <w:lvl w:ilvl="0">
      <w:lvlJc w:val="left"/>
      <w:lvlText w:val="(%1)"/>
      <w:numFmt w:val="lowerLetter"/>
      <w:start w:val="24"/>
    </w:lvl>
    <w:lvl w:ilvl="1">
      <w:lvlJc w:val="left"/>
      <w:lvlText w:val="(%2)"/>
      <w:numFmt w:val="lowerLetter"/>
      <w:start w:val="22"/>
    </w:lvl>
    <w:lvl w:ilvl="2">
      <w:lvlJc w:val="left"/>
      <w:lvlText w:val="(%3)"/>
      <w:numFmt w:val="lowerRoman"/>
      <w:start w:val="3"/>
    </w:lvl>
  </w:abstractNum>
  <w:abstractNum w:abstractNumId="152">
    <w:nsid w:val="4DEFDFA0"/>
    <w:multiLevelType w:val="hybridMultilevel"/>
    <w:lvl w:ilvl="0">
      <w:lvlJc w:val="left"/>
      <w:lvlText w:val="(%1)"/>
      <w:numFmt w:val="lowerLetter"/>
      <w:start w:val="24"/>
    </w:lvl>
  </w:abstractNum>
  <w:abstractNum w:abstractNumId="153">
    <w:nsid w:val="2123D5F2"/>
    <w:multiLevelType w:val="hybridMultilevel"/>
    <w:lvl w:ilvl="0">
      <w:lvlJc w:val="left"/>
      <w:lvlText w:val="(%1)"/>
      <w:numFmt w:val="lowerRoman"/>
      <w:start w:val="4"/>
    </w:lvl>
  </w:abstractNum>
  <w:abstractNum w:abstractNumId="154">
    <w:nsid w:val="135B8110"/>
    <w:multiLevelType w:val="hybridMultilevel"/>
    <w:lvl w:ilvl="0">
      <w:lvlJc w:val="left"/>
      <w:lvlText w:val="(%1)"/>
      <w:numFmt w:val="lowerRoman"/>
      <w:start w:val="2"/>
    </w:lvl>
    <w:lvl w:ilvl="1">
      <w:lvlJc w:val="left"/>
      <w:lvlText w:val="(%2)"/>
      <w:numFmt w:val="lowerRoman"/>
      <w:start w:val="1"/>
    </w:lvl>
  </w:abstractNum>
  <w:abstractNum w:abstractNumId="155">
    <w:nsid w:val="94927A8"/>
    <w:multiLevelType w:val="hybridMultilevel"/>
    <w:lvl w:ilvl="0">
      <w:lvlJc w:val="left"/>
      <w:lvlText w:val="(%1)"/>
      <w:numFmt w:val="lowerRoman"/>
      <w:start w:val="1"/>
    </w:lvl>
  </w:abstractNum>
  <w:abstractNum w:abstractNumId="156">
    <w:nsid w:val="DCDF8F6"/>
    <w:multiLevelType w:val="hybridMultilevel"/>
    <w:lvl w:ilvl="0">
      <w:lvlJc w:val="left"/>
      <w:lvlText w:val="(%1)"/>
      <w:numFmt w:val="lowerRoman"/>
      <w:start w:val="3"/>
    </w:lvl>
  </w:abstractNum>
  <w:abstractNum w:abstractNumId="157">
    <w:nsid w:val="52D7B105"/>
    <w:multiLevelType w:val="hybridMultilevel"/>
    <w:lvl w:ilvl="0">
      <w:lvlJc w:val="left"/>
      <w:lvlText w:val="(%1)"/>
      <w:numFmt w:val="lowerRoman"/>
      <w:start w:val="1"/>
    </w:lvl>
  </w:abstractNum>
  <w:abstractNum w:abstractNumId="158">
    <w:nsid w:val="2E8A63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59">
    <w:nsid w:val="24E60401"/>
    <w:multiLevelType w:val="hybridMultilevel"/>
    <w:lvl w:ilvl="0">
      <w:lvlJc w:val="left"/>
      <w:lvlText w:val="(%1)"/>
      <w:numFmt w:val="lowerLetter"/>
      <w:start w:val="25"/>
    </w:lvl>
    <w:lvl w:ilvl="1">
      <w:lvlJc w:val="left"/>
      <w:lvlText w:val="(%2)"/>
      <w:numFmt w:val="lowerLetter"/>
      <w:start w:val="8"/>
    </w:lvl>
    <w:lvl w:ilvl="2">
      <w:lvlJc w:val="left"/>
      <w:lvlText w:val="(%3)"/>
      <w:numFmt w:val="lowerLetter"/>
      <w:start w:val="2"/>
    </w:lvl>
  </w:abstractNum>
  <w:abstractNum w:abstractNumId="160">
    <w:nsid w:val="2A6AD9BE"/>
    <w:multiLevelType w:val="hybridMultilevel"/>
    <w:lvl w:ilvl="0">
      <w:lvlJc w:val="left"/>
      <w:lvlText w:val="4"/>
      <w:numFmt w:val="bullet"/>
      <w:start w:val="1"/>
    </w:lvl>
  </w:abstractNum>
  <w:abstractNum w:abstractNumId="161">
    <w:nsid w:val="BAAC1B4"/>
    <w:multiLevelType w:val="hybridMultilevel"/>
    <w:lvl w:ilvl="0">
      <w:lvlJc w:val="left"/>
      <w:lvlText w:val="%1"/>
      <w:numFmt w:val="lowerRoman"/>
      <w:start w:val="1"/>
    </w:lvl>
    <w:lvl w:ilvl="1">
      <w:lvlJc w:val="left"/>
      <w:lvlText w:val="(%2)"/>
      <w:numFmt w:val="lowerRoman"/>
      <w:start w:val="2"/>
    </w:lvl>
  </w:abstractNum>
  <w:abstractNum w:abstractNumId="162">
    <w:nsid w:val="36B2ACBC"/>
    <w:multiLevelType w:val="hybridMultilevel"/>
    <w:lvl w:ilvl="0">
      <w:lvlJc w:val="left"/>
      <w:lvlText w:val="(%1)"/>
      <w:numFmt w:val="lowerRoman"/>
      <w:start w:val="2"/>
    </w:lvl>
    <w:lvl w:ilvl="1">
      <w:lvlJc w:val="left"/>
      <w:lvlText w:val="(%2)"/>
      <w:numFmt w:val="lowerRoman"/>
      <w:start w:val="3"/>
    </w:lvl>
  </w:abstractNum>
  <w:abstractNum w:abstractNumId="163">
    <w:nsid w:val="779D8544"/>
    <w:multiLevelType w:val="hybridMultilevel"/>
    <w:lvl w:ilvl="0">
      <w:lvlJc w:val="left"/>
      <w:lvlText w:val="5"/>
      <w:numFmt w:val="bullet"/>
      <w:start w:val="1"/>
    </w:lvl>
  </w:abstractNum>
  <w:abstractNum w:abstractNumId="164">
    <w:nsid w:val="4AB26E78"/>
    <w:multiLevelType w:val="hybridMultilevel"/>
    <w:lvl w:ilvl="0">
      <w:lvlJc w:val="left"/>
      <w:lvlText w:val="6"/>
      <w:numFmt w:val="bullet"/>
      <w:start w:val="1"/>
    </w:lvl>
  </w:abstractNum>
  <w:abstractNum w:abstractNumId="165">
    <w:nsid w:val="21FAA2FA"/>
    <w:multiLevelType w:val="hybridMultilevel"/>
    <w:lvl w:ilvl="0">
      <w:lvlJc w:val="left"/>
      <w:lvlText w:val="(%1)"/>
      <w:numFmt w:val="lowerLetter"/>
      <w:start w:val="3"/>
    </w:lvl>
  </w:abstractNum>
  <w:abstractNum w:abstractNumId="166">
    <w:nsid w:val="5451CF49"/>
    <w:multiLevelType w:val="hybridMultilevel"/>
    <w:lvl w:ilvl="0">
      <w:lvlJc w:val="left"/>
      <w:lvlText w:val="(%1)"/>
      <w:numFmt w:val="lowerLetter"/>
      <w:start w:val="1"/>
    </w:lvl>
  </w:abstractNum>
  <w:abstractNum w:abstractNumId="167">
    <w:nsid w:val="6181EF69"/>
    <w:multiLevelType w:val="hybridMultilevel"/>
    <w:lvl w:ilvl="0">
      <w:lvlJc w:val="left"/>
      <w:lvlText w:val="(%1)"/>
      <w:numFmt w:val="lowerLetter"/>
      <w:start w:val="2"/>
    </w:lvl>
  </w:abstractNum>
  <w:abstractNum w:abstractNumId="168">
    <w:nsid w:val="3E6400E6"/>
    <w:multiLevelType w:val="hybridMultilevel"/>
    <w:lvl w:ilvl="0">
      <w:lvlJc w:val="left"/>
      <w:lvlText w:val="(%1)"/>
      <w:numFmt w:val="lowerLetter"/>
      <w:start w:val="1"/>
    </w:lvl>
  </w:abstractNum>
  <w:abstractNum w:abstractNumId="169">
    <w:nsid w:val="14217E23"/>
    <w:multiLevelType w:val="hybridMultilevel"/>
    <w:lvl w:ilvl="0">
      <w:lvlJc w:val="left"/>
      <w:lvlText w:val="7"/>
      <w:numFmt w:val="bullet"/>
      <w:start w:val="1"/>
    </w:lvl>
  </w:abstractNum>
  <w:abstractNum w:abstractNumId="170">
    <w:nsid w:val="710757D0"/>
    <w:multiLevelType w:val="hybridMultilevel"/>
    <w:lvl w:ilvl="0">
      <w:lvlJc w:val="left"/>
      <w:lvlText w:val="(%1)"/>
      <w:numFmt w:val="lowerLetter"/>
      <w:start w:val="2"/>
    </w:lvl>
  </w:abstractNum>
  <w:abstractNum w:abstractNumId="171">
    <w:nsid w:val="5015CD1A"/>
    <w:multiLevelType w:val="hybridMultilevel"/>
    <w:lvl w:ilvl="0">
      <w:lvlJc w:val="left"/>
      <w:lvlText w:val="(%1)"/>
      <w:numFmt w:val="lowerRoman"/>
      <w:start w:val="3"/>
    </w:lvl>
  </w:abstractNum>
  <w:abstractNum w:abstractNumId="172">
    <w:nsid w:val="424479DA"/>
    <w:multiLevelType w:val="hybridMultilevel"/>
    <w:lvl w:ilvl="0">
      <w:lvlJc w:val="left"/>
      <w:lvlText w:val="(%1)"/>
      <w:numFmt w:val="lowerRoman"/>
      <w:start w:val="4"/>
    </w:lvl>
  </w:abstractNum>
  <w:abstractNum w:abstractNumId="173">
    <w:nsid w:val="1A9A9E69"/>
    <w:multiLevelType w:val="hybridMultilevel"/>
    <w:lvl w:ilvl="0">
      <w:lvlJc w:val="left"/>
      <w:lvlText w:val="(%1)"/>
      <w:numFmt w:val="decimal"/>
      <w:start w:val="15"/>
    </w:lvl>
  </w:abstractNum>
  <w:abstractNum w:abstractNumId="174">
    <w:nsid w:val="475E256A"/>
    <w:multiLevelType w:val="hybridMultilevel"/>
    <w:lvl w:ilvl="0">
      <w:lvlJc w:val="left"/>
      <w:lvlText w:val="(%1)"/>
      <w:numFmt w:val="lowerLetter"/>
      <w:start w:val="1"/>
    </w:lvl>
  </w:abstractNum>
  <w:abstractNum w:abstractNumId="175">
    <w:nsid w:val="368DB37E"/>
    <w:multiLevelType w:val="hybridMultilevel"/>
    <w:lvl w:ilvl="0">
      <w:lvlJc w:val="left"/>
      <w:lvlText w:val="(%1)"/>
      <w:numFmt w:val="lowerLetter"/>
      <w:start w:val="3"/>
    </w:lvl>
  </w:abstractNum>
  <w:abstractNum w:abstractNumId="176">
    <w:nsid w:val="6A3B714C"/>
    <w:multiLevelType w:val="hybridMultilevel"/>
    <w:lvl w:ilvl="0">
      <w:lvlJc w:val="left"/>
      <w:lvlText w:val="(%1)"/>
      <w:numFmt w:val="upperLetter"/>
      <w:start w:val="2"/>
    </w:lvl>
  </w:abstractNum>
  <w:abstractNum w:abstractNumId="177">
    <w:nsid w:val="327B517E"/>
    <w:multiLevelType w:val="hybridMultilevel"/>
    <w:lvl w:ilvl="0">
      <w:lvlJc w:val="left"/>
      <w:lvlText w:val="(%1)"/>
      <w:numFmt w:val="lowerLetter"/>
      <w:start w:val="1"/>
    </w:lvl>
  </w:abstractNum>
  <w:abstractNum w:abstractNumId="178">
    <w:nsid w:val="1F461B51"/>
    <w:multiLevelType w:val="hybridMultilevel"/>
    <w:lvl w:ilvl="0">
      <w:lvlJc w:val="left"/>
      <w:lvlText w:val="(%1)"/>
      <w:numFmt w:val="lowerRoman"/>
      <w:start w:val="1"/>
    </w:lvl>
  </w:abstractNum>
  <w:abstractNum w:abstractNumId="179">
    <w:nsid w:val="29BACF25"/>
    <w:multiLevelType w:val="hybridMultilevel"/>
    <w:lvl w:ilvl="0">
      <w:lvlJc w:val="left"/>
      <w:lvlText w:val="(%1)"/>
      <w:numFmt w:val="upperLetter"/>
      <w:start w:val="2"/>
    </w:lvl>
    <w:lvl w:ilvl="1">
      <w:lvlJc w:val="left"/>
      <w:lvlText w:val="(%2)"/>
      <w:numFmt w:val="lowerLetter"/>
      <w:start w:val="2"/>
    </w:lvl>
  </w:abstractNum>
  <w:abstractNum w:abstractNumId="180">
    <w:nsid w:val="5D5BABB3"/>
    <w:multiLevelType w:val="hybridMultilevel"/>
    <w:lvl w:ilvl="0">
      <w:lvlJc w:val="left"/>
      <w:lvlText w:val="(%1)"/>
      <w:numFmt w:val="lowerLetter"/>
      <w:start w:val="2"/>
    </w:lvl>
  </w:abstractNum>
  <w:abstractNum w:abstractNumId="181">
    <w:nsid w:val="51BF6B48"/>
    <w:multiLevelType w:val="hybridMultilevel"/>
    <w:lvl w:ilvl="0">
      <w:lvlJc w:val="left"/>
      <w:lvlText w:val="(%1)"/>
      <w:numFmt w:val="lowerLetter"/>
      <w:start w:val="2"/>
    </w:lvl>
  </w:abstractNum>
  <w:abstractNum w:abstractNumId="182">
    <w:nsid w:val="7E0F6384"/>
    <w:multiLevelType w:val="hybridMultilevel"/>
    <w:lvl w:ilvl="0">
      <w:lvlJc w:val="left"/>
      <w:lvlText w:val="(%1)"/>
      <w:numFmt w:val="lowerLetter"/>
      <w:start w:val="1"/>
    </w:lvl>
  </w:abstractNum>
  <w:abstractNum w:abstractNumId="183">
    <w:nsid w:val="2B4B8B53"/>
    <w:multiLevelType w:val="hybridMultilevel"/>
    <w:lvl w:ilvl="0">
      <w:lvlJc w:val="left"/>
      <w:lvlText w:val="(%1)"/>
      <w:numFmt w:val="lowerRoman"/>
      <w:start w:val="1"/>
    </w:lvl>
  </w:abstractNum>
  <w:abstractNum w:abstractNumId="184">
    <w:nsid w:val="72E3413A"/>
    <w:multiLevelType w:val="hybridMultilevel"/>
    <w:lvl w:ilvl="0">
      <w:lvlJc w:val="left"/>
      <w:lvlText w:val="(%1)"/>
      <w:numFmt w:val="lowerLetter"/>
      <w:start w:val="3"/>
    </w:lvl>
  </w:abstractNum>
  <w:abstractNum w:abstractNumId="185">
    <w:nsid w:val="116AE49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2022-02-15T15:31:16Z</dcterms:created>
  <dcterms:modified xsi:type="dcterms:W3CDTF">2022-02-15T15:31:16Z</dcterms:modified>
</cp:coreProperties>
</file>