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4" w:lineRule="exact"/>
        <w:rPr>
          <w:sz w:val="24"/>
          <w:szCs w:val="24"/>
          <w:color w:val="auto"/>
        </w:rPr>
      </w:pPr>
    </w:p>
    <w:p>
      <w:pPr>
        <w:ind w:left="460" w:right="420" w:hanging="452"/>
        <w:spacing w:after="0" w:line="262"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58" w:lineRule="exact"/>
        <w:rPr>
          <w:sz w:val="24"/>
          <w:szCs w:val="24"/>
          <w:color w:val="auto"/>
        </w:rPr>
      </w:pPr>
    </w:p>
    <w:p>
      <w:pPr>
        <w:ind w:left="460" w:right="460" w:hanging="452"/>
        <w:spacing w:after="0" w:line="242"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460"/>
        <w:spacing w:after="0"/>
        <w:tabs>
          <w:tab w:leader="none" w:pos="3920" w:val="left"/>
        </w:tabs>
        <w:rPr>
          <w:sz w:val="20"/>
          <w:szCs w:val="20"/>
          <w:color w:val="auto"/>
        </w:rPr>
      </w:pPr>
      <w:r>
        <w:rPr>
          <w:rFonts w:ascii="Arial" w:cs="Arial" w:eastAsia="Arial" w:hAnsi="Arial"/>
          <w:sz w:val="22"/>
          <w:szCs w:val="22"/>
          <w:b w:val="1"/>
          <w:bCs w:val="1"/>
          <w:color w:val="auto"/>
        </w:rPr>
        <w:t>For the transition period</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940" w:type="dxa"/>
            <w:vAlign w:val="bottom"/>
          </w:tcPr>
          <w:p>
            <w:pPr>
              <w:spacing w:after="0"/>
              <w:rPr>
                <w:sz w:val="18"/>
                <w:szCs w:val="18"/>
                <w:color w:val="auto"/>
              </w:rPr>
            </w:pPr>
          </w:p>
        </w:tc>
        <w:tc>
          <w:tcPr>
            <w:tcW w:w="1800" w:type="dxa"/>
            <w:vAlign w:val="bottom"/>
            <w:gridSpan w:val="2"/>
          </w:tcPr>
          <w:p>
            <w:pPr>
              <w:jc w:val="center"/>
              <w:ind w:right="57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5340" w:type="dxa"/>
            <w:vAlign w:val="bottom"/>
            <w:gridSpan w:val="5"/>
          </w:tcPr>
          <w:p>
            <w:pPr>
              <w:jc w:val="center"/>
              <w:ind w:left="3742"/>
              <w:spacing w:after="0"/>
              <w:rPr>
                <w:sz w:val="20"/>
                <w:szCs w:val="20"/>
                <w:color w:val="auto"/>
              </w:rPr>
            </w:pPr>
            <w:r>
              <w:rPr>
                <w:rFonts w:ascii="Arial" w:cs="Arial" w:eastAsia="Arial" w:hAnsi="Arial"/>
                <w:sz w:val="18"/>
                <w:szCs w:val="18"/>
                <w:b w:val="1"/>
                <w:bCs w:val="1"/>
                <w:color w:val="auto"/>
                <w:w w:val="87"/>
              </w:rPr>
              <w:t>46-0484987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40" w:type="dxa"/>
            <w:vAlign w:val="bottom"/>
            <w:gridSpan w:val="3"/>
          </w:tcPr>
          <w:p>
            <w:pPr>
              <w:jc w:val="center"/>
              <w:ind w:left="11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gridSpan w:val="2"/>
          </w:tcPr>
          <w:p>
            <w:pPr>
              <w:jc w:val="center"/>
              <w:ind w:left="58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40" w:type="dxa"/>
            <w:vAlign w:val="bottom"/>
            <w:gridSpan w:val="3"/>
          </w:tcPr>
          <w:p>
            <w:pPr>
              <w:jc w:val="center"/>
              <w:ind w:left="1180"/>
              <w:spacing w:after="0"/>
              <w:rPr>
                <w:sz w:val="20"/>
                <w:szCs w:val="20"/>
                <w:color w:val="auto"/>
              </w:rPr>
            </w:pPr>
            <w:r>
              <w:rPr>
                <w:rFonts w:ascii="Arial" w:cs="Arial" w:eastAsia="Arial" w:hAnsi="Arial"/>
                <w:sz w:val="14"/>
                <w:szCs w:val="14"/>
                <w:b w:val="1"/>
                <w:bCs w:val="1"/>
                <w:color w:val="auto"/>
                <w:w w:val="88"/>
              </w:rPr>
              <w:t>incorporation or organization)</w:t>
            </w:r>
          </w:p>
        </w:tc>
        <w:tc>
          <w:tcPr>
            <w:tcW w:w="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gridSpan w:val="2"/>
          </w:tcPr>
          <w:p>
            <w:pPr>
              <w:jc w:val="center"/>
              <w:ind w:left="587"/>
              <w:spacing w:after="0"/>
              <w:rPr>
                <w:sz w:val="20"/>
                <w:szCs w:val="20"/>
                <w:color w:val="auto"/>
              </w:rPr>
            </w:pPr>
            <w:r>
              <w:rPr>
                <w:rFonts w:ascii="Arial" w:cs="Arial" w:eastAsia="Arial" w:hAnsi="Arial"/>
                <w:sz w:val="14"/>
                <w:szCs w:val="14"/>
                <w:b w:val="1"/>
                <w:bCs w:val="1"/>
                <w:color w:val="auto"/>
                <w:w w:val="90"/>
              </w:rPr>
              <w:t>Identification Number)</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20" w:type="dxa"/>
            <w:vAlign w:val="bottom"/>
            <w:gridSpan w:val="5"/>
          </w:tcPr>
          <w:p>
            <w:pPr>
              <w:jc w:val="center"/>
              <w:ind w:right="707"/>
              <w:spacing w:after="0"/>
              <w:rPr>
                <w:sz w:val="20"/>
                <w:szCs w:val="20"/>
                <w:color w:val="auto"/>
              </w:rPr>
            </w:pPr>
            <w:r>
              <w:rPr>
                <w:rFonts w:ascii="Arial" w:cs="Arial" w:eastAsia="Arial" w:hAnsi="Arial"/>
                <w:sz w:val="18"/>
                <w:szCs w:val="18"/>
                <w:b w:val="1"/>
                <w:bCs w:val="1"/>
                <w:color w:val="auto"/>
                <w:w w:val="86"/>
              </w:rPr>
              <w:t>3131 Las Vegas Boulevard South—Las Vegas,</w:t>
            </w: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gridSpan w:val="3"/>
          </w:tcPr>
          <w:p>
            <w:pPr>
              <w:jc w:val="center"/>
              <w:ind w:right="1787"/>
              <w:spacing w:after="0"/>
              <w:rPr>
                <w:sz w:val="20"/>
                <w:szCs w:val="20"/>
                <w:color w:val="auto"/>
              </w:rPr>
            </w:pPr>
            <w:r>
              <w:rPr>
                <w:rFonts w:ascii="Arial" w:cs="Arial" w:eastAsia="Arial" w:hAnsi="Arial"/>
                <w:sz w:val="18"/>
                <w:szCs w:val="18"/>
                <w:b w:val="1"/>
                <w:bCs w:val="1"/>
                <w:color w:val="auto"/>
                <w:w w:val="88"/>
              </w:rPr>
              <w:t>Nevada 89109</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60" w:type="dxa"/>
            <w:vAlign w:val="bottom"/>
            <w:gridSpan w:val="4"/>
          </w:tcPr>
          <w:p>
            <w:pPr>
              <w:jc w:val="center"/>
              <w:ind w:right="1367"/>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0" w:type="dxa"/>
            <w:vAlign w:val="bottom"/>
            <w:gridSpan w:val="2"/>
          </w:tcPr>
          <w:p>
            <w:pPr>
              <w:jc w:val="center"/>
              <w:ind w:left="342"/>
              <w:spacing w:after="0"/>
              <w:rPr>
                <w:sz w:val="20"/>
                <w:szCs w:val="20"/>
                <w:color w:val="auto"/>
              </w:rPr>
            </w:pPr>
            <w:r>
              <w:rPr>
                <w:rFonts w:ascii="Arial" w:cs="Arial" w:eastAsia="Arial" w:hAnsi="Arial"/>
                <w:sz w:val="18"/>
                <w:szCs w:val="18"/>
                <w:b w:val="1"/>
                <w:bCs w:val="1"/>
                <w:color w:val="auto"/>
                <w:w w:val="89"/>
              </w:rPr>
              <w:t>(702) 770-7555</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60" w:type="dxa"/>
            <w:vAlign w:val="bottom"/>
            <w:gridSpan w:val="4"/>
          </w:tcPr>
          <w:p>
            <w:pPr>
              <w:jc w:val="center"/>
              <w:ind w:right="136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20" w:type="dxa"/>
            <w:vAlign w:val="bottom"/>
            <w:gridSpan w:val="5"/>
          </w:tcPr>
          <w:p>
            <w:pPr>
              <w:jc w:val="center"/>
              <w:ind w:right="7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940" w:type="dxa"/>
            <w:vAlign w:val="bottom"/>
            <w:vMerge w:val="restart"/>
          </w:tcPr>
          <w:p>
            <w:pPr>
              <w:ind w:left="1360"/>
              <w:spacing w:after="0"/>
              <w:rPr>
                <w:sz w:val="20"/>
                <w:szCs w:val="20"/>
                <w:color w:val="auto"/>
              </w:rPr>
            </w:pPr>
            <w:r>
              <w:rPr>
                <w:rFonts w:ascii="Arial" w:cs="Arial" w:eastAsia="Arial" w:hAnsi="Arial"/>
                <w:sz w:val="18"/>
                <w:szCs w:val="18"/>
                <w:b w:val="1"/>
                <w:bCs w:val="1"/>
                <w:color w:val="auto"/>
                <w:w w:val="71"/>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1940" w:type="dxa"/>
            <w:vAlign w:val="bottom"/>
            <w:vMerge w:val="continue"/>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Stock, $.01 par value</w:t>
            </w:r>
          </w:p>
        </w:tc>
        <w:tc>
          <w:tcPr>
            <w:tcW w:w="4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Nasdaq Global Select Market</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20" w:type="dxa"/>
            <w:vAlign w:val="bottom"/>
            <w:gridSpan w:val="5"/>
          </w:tcPr>
          <w:p>
            <w:pPr>
              <w:jc w:val="center"/>
              <w:ind w:right="68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40" w:type="dxa"/>
            <w:vAlign w:val="bottom"/>
            <w:gridSpan w:val="3"/>
          </w:tcPr>
          <w:p>
            <w:pPr>
              <w:jc w:val="center"/>
              <w:ind w:right="1787"/>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4160" w:type="dxa"/>
            <w:vAlign w:val="bottom"/>
            <w:gridSpan w:val="4"/>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860" w:type="dxa"/>
            <w:vAlign w:val="bottom"/>
            <w:gridSpan w:val="2"/>
          </w:tcPr>
          <w:p>
            <w:pPr>
              <w:spacing w:after="0"/>
              <w:rPr>
                <w:sz w:val="11"/>
                <w:szCs w:val="11"/>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32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40"/>
            <w:col w:w="6440" w:space="720"/>
            <w:col w:w="156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1500" w:space="320"/>
            <w:col w:w="6440" w:space="720"/>
            <w:col w:w="1940" w:space="34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8" w:lineRule="exact"/>
        <w:rPr>
          <w:sz w:val="24"/>
          <w:szCs w:val="24"/>
          <w:color w:val="auto"/>
        </w:rPr>
      </w:pPr>
    </w:p>
    <w:p>
      <w:pPr>
        <w:sectPr>
          <w:pgSz w:w="11900" w:h="16838" w:orient="portrait"/>
          <w:cols w:equalWidth="0" w:num="5">
            <w:col w:w="8320" w:space="200"/>
            <w:col w:w="260" w:space="100"/>
            <w:col w:w="140" w:space="200"/>
            <w:col w:w="200" w:space="100"/>
            <w:col w:w="1900"/>
          </w:cols>
          <w:pgMar w:left="240" w:top="230" w:right="239" w:bottom="1440" w:gutter="0" w:footer="0" w:header="0"/>
          <w:type w:val="continuous"/>
        </w:sectPr>
      </w:pPr>
    </w:p>
    <w:p>
      <w:pPr>
        <w:ind w:right="460" w:firstLine="342"/>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2011 was approximately $11 billion.</w:t>
      </w:r>
    </w:p>
    <w:p>
      <w:pPr>
        <w:spacing w:after="0" w:line="2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April 23, 2012, 100,512,724 shares of the registrant’s Common Stock, $.01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20" w:type="dxa"/>
            <w:vAlign w:val="bottom"/>
            <w:gridSpan w:val="4"/>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419"/>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gridSpan w:val="3"/>
          </w:tcPr>
          <w:p>
            <w:pPr>
              <w:ind w:left="240"/>
              <w:spacing w:after="0"/>
              <w:rPr>
                <w:sz w:val="20"/>
                <w:szCs w:val="20"/>
                <w:color w:val="auto"/>
              </w:rPr>
            </w:pPr>
            <w:r>
              <w:rPr>
                <w:rFonts w:ascii="Arial" w:cs="Arial" w:eastAsia="Arial" w:hAnsi="Arial"/>
                <w:sz w:val="18"/>
                <w:szCs w:val="18"/>
                <w:b w:val="1"/>
                <w:bCs w:val="1"/>
                <w:color w:val="auto"/>
              </w:rPr>
              <w:t>PART III</w:t>
            </w:r>
          </w:p>
        </w:tc>
        <w:tc>
          <w:tcPr>
            <w:tcW w:w="242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Directors, Executive Officers and Corporate Governance</w:t>
              </w:r>
            </w:hyperlink>
          </w:p>
        </w:tc>
        <w:tc>
          <w:tcPr>
            <w:tcW w:w="4000" w:type="dxa"/>
            <w:vAlign w:val="bottom"/>
            <w:gridSpan w:val="3"/>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Executive Compensation</w:t>
              </w:r>
            </w:hyperlink>
          </w:p>
        </w:tc>
        <w:tc>
          <w:tcPr>
            <w:tcW w:w="62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00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Security Ownership of Certain Beneficial Owners and Management and Related</w:t>
              </w:r>
            </w:hyperlink>
          </w:p>
        </w:tc>
        <w:tc>
          <w:tcPr>
            <w:tcW w:w="24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Stockholder Matters</w:t>
              </w:r>
            </w:hyperlink>
          </w:p>
        </w:tc>
        <w:tc>
          <w:tcPr>
            <w:tcW w:w="23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Certain Relationships and Related Transactions, and Director Independence</w:t>
              </w:r>
            </w:hyperlink>
          </w:p>
        </w:tc>
        <w:tc>
          <w:tcPr>
            <w:tcW w:w="268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00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Accountant Fees and Services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60" w:type="dxa"/>
            <w:vAlign w:val="bottom"/>
          </w:tcPr>
          <w:p>
            <w:pPr>
              <w:jc w:val="right"/>
              <w:ind w:right="5392"/>
              <w:spacing w:after="0"/>
              <w:rPr>
                <w:sz w:val="20"/>
                <w:szCs w:val="20"/>
                <w:color w:val="auto"/>
              </w:rPr>
            </w:pPr>
            <w:r>
              <w:rPr>
                <w:rFonts w:ascii="Arial" w:cs="Arial" w:eastAsia="Arial" w:hAnsi="Arial"/>
                <w:sz w:val="18"/>
                <w:szCs w:val="18"/>
                <w:b w:val="1"/>
                <w:bCs w:val="1"/>
                <w:color w:val="auto"/>
              </w:rPr>
              <w:t>PART IV</w:t>
            </w:r>
          </w:p>
        </w:tc>
      </w:tr>
      <w:tr>
        <w:trPr>
          <w:trHeight w:val="286"/>
        </w:trPr>
        <w:tc>
          <w:tcPr>
            <w:tcW w:w="9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66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 and Financial Statement Schedules</w:t>
              </w:r>
            </w:hyperlink>
          </w:p>
        </w:tc>
        <w:tc>
          <w:tcPr>
            <w:tcW w:w="6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90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30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3"/>
        </w:trPr>
        <w:tc>
          <w:tcPr>
            <w:tcW w:w="7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tcPr>
          <w:p>
            <w:pPr>
              <w:jc w:val="right"/>
              <w:ind w:right="54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Amendment No. 1 on Form 10-K/A (the “Amendment”) amends the Annual Report on Form 10-K of Wynn Resorts, Limited for the fiscal year ended December 31, 2011, originally filed with the Securities and Exchange Commission (“SEC”) on February 29, 2012 (the “Original Filing”). We are filing this Amendment solely to amend and restate Part III of the Original Filing to include the information not previously included in Part III of the Original Filing because we no longer intend to file our definitive proxy statement within 120 days of the end of our fiscal year ended December 31, 2011. The cover page of this Amendment now reflects we are not incorporating Part III disclosures by reference to our proxy statement. In connection with the filing of this Amendment and pursuant to the rules of the SEC, we are including with this Amendment certifications by our principal executive officer and principal financial officer. Accordingly, Item 15 of Part IV has also been amended to reflect the filing of these additional certifications.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other than as expressly indicated in this Amendment. In this Amendment, unless the context indicates otherwise, the terms “Company”, “we,” “us,” and “our” refer to Wynn Resorts, Limited. Other defined terms used in this Amendment but not defined herein shall have the meaning specified for such terms in the Original Filing.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Second Amended and Restated Articles of Incorporation (the “Articles”) and Fourth Amended and Restated Bylaws, as amended (the “Bylaws”), require that the number of directors on the Board of Directors be not less than one nor more than thirteen. Presently, the Board of Directors is set at twelve directors and is divided into three classes. Class I includes Linda Chen, John A. Moran, Marc D. Schorr and Elaine P. Wynn, whose terms expire in 2012. Class II consists of Stephen A. Wynn, Ray R. Irani, Alvin V. Shoemaker and D. Boone Wayson, whose terms expire in 2013. Class III consists of Russell Goldsmith, Robert J. Miller, Kazuo Okada, and Allan Zeman, whose terms expire in 2014. At each annual meeting of stockholders, the terms of one class of directors expire. Each director is elected to the Board of Directors for a term of three years and until his or her successor is elected and qualified.</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is biographical information regarding the directors and key skills and qualifications of our directors supporting their service as a director, in light of the Company’s business and structure.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45, has served as a Director of the Company since October 2007. Ms. Chen has been an Executive Director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Wynn Macau, Limited, a majority owned subsidiary of the Company, since September 2009. Ms. Chen serves as the President of Wynn International Marketing, Limited, a wholly-owned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Ms. Chen’s insight and experience as the primary marketing executive for the Company contribute to the Board’s ability to evaluate and make informed decisions that affect our global operations. Ms. Chen’s experience becomes ever more important to the Company and its stockholders as the percentage of the Company’s operational revenue and profits generated from its Macau operations increases.</w:t>
      </w:r>
    </w:p>
    <w:p>
      <w:pPr>
        <w:spacing w:after="0" w:line="13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80, has served as a director of the Company since October 2002. Mr. Moran is the retired Chairman of the Dyson-Kissner-Moran Corporation. Dyson-Kissner-Moran is a private holding company headquartered in New York City whose international portfolio of companies in over 20 countries has included business engaged in manufacturing, retailing, distribution, financial services, and real estate development. During his business career, Mr. Moran has served as a Director of over 30 corporations and philanthropic organizations. Mr. Moran serves as a Director of the John A. Moran Eye Center at the University of Utah; a Trustee of the George and Barbara Bush Endowment for Innovative Cancer Research at M.D. Anderson Cancer Center at the University of Texas; and an Honorary Trustee of the Metropolitan Museum of Art in New York City.</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his extensive knowledge of the Company’s background, development and financing arrangements and his experience in the financial and equity markets, Mr. Moran provides the Board insight that is important to its oversight of the Company’s financial structure. His guidance in the evaluation of capital deployment and management of the Company’s balance sheet is especially valuable. In addition, he brings to the Board experience in political and public policy matters.</w:t>
      </w:r>
    </w:p>
    <w:p>
      <w:pPr>
        <w:spacing w:after="0" w:line="137"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64, has served as a Director of the Company since July 2010. He also serves as Chief Operating Officer of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2002. Mr. Schorr has served as a Non-Executive Director of Wynn Macau, Limited since September 2009 and is also an officer of several of the Company’s other subsidiaries. Mr. Schorr has over 32 years of experience in the casino gaming industry.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extensive operating experience, particularly his marketing expertise and ability to effectively manage operating costs. These qualifications have been particularly valuable to the Company as we have navigated the difficult economic environment of the past several years. In addition, Mr. Schorr brings first hand operational knowledge to the Board, enhancing their ability to oversee the operations of the Company.</w:t>
      </w:r>
    </w:p>
    <w:p>
      <w:pPr>
        <w:spacing w:after="0" w:line="137" w:lineRule="exact"/>
        <w:rPr>
          <w:sz w:val="20"/>
          <w:szCs w:val="20"/>
          <w:color w:val="auto"/>
        </w:rPr>
      </w:pPr>
    </w:p>
    <w:p>
      <w:pPr>
        <w:ind w:right="380" w:firstLine="456"/>
        <w:spacing w:after="0" w:line="289"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Ms. Wynn, 70, has served as a Director of the Company since October 2002. Ms. Wynn has been a strong advocate of programs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for children at risk of dropping out of school. Since 1995 she has co-chaired the Greater Las Vegas After-School All Stars, providing thousands of children with high quality educational, recreational and cultural after-school programs. A past member of the Executive Board of the Consortium for Policy Research in Education, Ms. Wynn has served since 1997 on the State of Nevada Council to Establish Academic Standards. She also chaired the UNLV Foundation, (the private fundraising arm of that institution) for eight years. Most recently, Ms. Wynn was appointed by Nevada’s governor to co-chair a Blue Ribbon Education Reform Task Force that resulted in the enactment of ambitious new reform legislation. She is the founding chairman of Communities in Schools of Nevada and was appointed in 2009 as Chairman of the national board of Communities in Schools, the oldest, most successful stay-in-school organization in America. In 2010, Elaine Wynn was appointed to the Kennedy Center for the Performing Arts Board of Trustees and the Library of Congress Trust Fund Board.</w:t>
      </w:r>
    </w:p>
    <w:p>
      <w:pPr>
        <w:spacing w:after="0" w:line="11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Ms. Wynn’s philanthropic and community efforts and her history of assisting the Company on such matters is important to the Board’s strategic vision and continued development of the Wynn brand.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70, has served as Chairman and Chief Executive Officer of the Company since June 2002. Mr. Wynn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the Chairman of the Board of Directors, Chief Executive Officer and President of Wynn Macau, Limited, a majority owned subsidiary of the Company since September 2009. Mr. Wynn has also served as Director, Chairman and Chief Executive Officer of Wynn Resorts (Macau) since October 2001.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 President and Chief Executive Officer of Mirage Resorts, Inc. and its predecessor, Golden Nugget Inc., between 1973 and 2000. Mr. Wynn developed and opened The Mirage, Treasure Island and Bellagio in 1989, 1993 and 1998, respectively. Mr. Wynn has also served as an outside director of Monaco QD International Hotels and Resort Management since December 2010.</w:t>
      </w:r>
    </w:p>
    <w:p>
      <w:pPr>
        <w:spacing w:after="0" w:line="11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1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77, has served as a Director of the Company since October 2007. Dr. Irani became Executive Chairman of Occidental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and serves on the Board of Directors of The TCW Group. He is a member of the American Chemical Society, the American Institute of Chemists, Inc., the California Business Roundtable, The Conference Board, the Council on Foreign Relations, the National Association of Manufacturers, the National Committee on United States-China Relations, the National Petroleum Council, Sigma Xi—The Scientific Research Society and the U.S.-Saudi Arabian Business Council. He is the 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Chairman of the U.S.-U.A.E. Business Council. Dr. Irani is a Trustee of the University of Southern California, Co-Chair of the Board of the American University of Beirut and a member of the Lebanese American University Board of Trustees. He is a member of the Board of Governors of Town Hall Los Angeles and the Los Angeles World Affairs Council, and serves on the Advisory Boards of RAND’s Center for Middle East Public Policy and the Atlantic Council’s Rafik Hariri Center for the Middle East.</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After the opening of Wynn Macau in 2006, the Company sought additional representation on the Board by executives with experience in managing international operations and with keen insight into issues relevant to companies with global operations, which are of increasing importance to the Company. Dr. Irani was elected to the Board of Directors in 2007 as a result of that extensive international experience gained from serving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73, has served as a Director of the Company since December 2002. Mr. Shoemaker was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Mr. Shoemaker has served on the Board of Directors of the Company since its formation in 2002. With his extensive knowledge of the Company’s history, development and financing arrangements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3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59, has served as a Director of the Company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2014 Annual Meeting of Stockholders)</w:t>
      </w:r>
    </w:p>
    <w:p>
      <w:pPr>
        <w:spacing w:after="0" w:line="8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62, has served as a Director of the Company since May 2008. Mr. Goldsmith serves as Chairman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City National Bank, a provider of a wide range of banking, investing and trust services. Additionally, he serves as President and Chief Executive Officer of its publicly held parent company, City National Corporation, which is listed on the New York Stock Exchange (CYN) and headquartered in Los Angeles, California. He has been a director of both the bank and its parent company since 1978. From 2008—2011, Mr. Goldsmith was a member of the Federal Reserve board’s 12-member Federal Advisory Council, representing the Twelfth Federal Reserve District. Mr. Goldsmith chairs the Mid-Size Bank Coalition of America, which is composed of 25 mid-sized banks in 41 states and the District of Columbia. He also chairs the Los Angeles Coalition for the Economy &amp; Jobs, an independent organization of leading economic stakeholders representing business, labor, higher education and the nonprofit sectors. Mr. Goldsmith also serves on the board of trustees of the Harvard-Westlake School and is a member of the Council on Foreign Relations.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recent service on the Federal Reserve Board’s Advisory Council has brought additional perspective on the macroeconomic and public policy issues facing our Company.</w:t>
      </w:r>
    </w:p>
    <w:p>
      <w:pPr>
        <w:spacing w:after="0" w:line="126"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 xml:space="preserve">Robert J. Miller. </w:t>
      </w:r>
      <w:r>
        <w:rPr>
          <w:rFonts w:ascii="Arial" w:cs="Arial" w:eastAsia="Arial" w:hAnsi="Arial"/>
          <w:sz w:val="15"/>
          <w:szCs w:val="15"/>
          <w:color w:val="auto"/>
        </w:rPr>
        <w:t>Governor Miller, 67, has served as a Director of the Company since October 2002 and as the Chairman of Wynn Las Vegas’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and as the Company’s Compliance Director.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2000—2005. He was a partner in Miller &amp; Behar Strategies from January 2003 to August 2007 and has been a partner in Nevada Rose, LLC since November 2004. From January 1989 until January 1999, Governor Miller served as Governor of the State of Nevada, and, from 1987 to 1989, he served as Lieutenant Governor of the State of Nevada. Governor Miller also serves as a director at International Game Technology (IGT).</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Governor Miller’s extensive experience in regulatory and legal compliance matters and in Nevada and federal government and politics brings unique expertise and insight into state regulatory and public policy issues that directly impact the Company’s operations. In addition, his legal background and service as Chair of the Company’s Compliance Committee and as Compliance Director is an important element to maintaining our regulatory structure and probity. Governor Miller’s experience was especially valuable to the Company in his role as chairman of the Compliance Committee which commissioned the independent investigation that led to the determination of unsuitability and eventual redemption of shares owned by Aruze USA, Inc.</w:t>
      </w:r>
    </w:p>
    <w:p>
      <w:pPr>
        <w:spacing w:after="0" w:line="1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69, has served as a Director of the Company since October 2002. Mr. Okada also served as a Non-Executive Director of Wynn</w:t>
      </w:r>
      <w:r>
        <w:rPr>
          <w:rFonts w:ascii="Arial" w:cs="Arial" w:eastAsia="Arial" w:hAnsi="Arial"/>
          <w:sz w:val="16"/>
          <w:szCs w:val="16"/>
          <w:b w:val="1"/>
          <w:bCs w:val="1"/>
          <w:color w:val="auto"/>
        </w:rPr>
        <w:t xml:space="preserve"> </w:t>
      </w:r>
      <w:r>
        <w:rPr>
          <w:rFonts w:ascii="Arial" w:cs="Arial" w:eastAsia="Arial" w:hAnsi="Arial"/>
          <w:sz w:val="16"/>
          <w:szCs w:val="16"/>
          <w:color w:val="auto"/>
        </w:rPr>
        <w:t>Macau, Limited, a majority owned subsidiary of the Company from September 2009 until his removal in February of 2012. In 1969, Mr. Okada founded Universal Lease Co. Ltd., which, in 1998, became Aruze Corp., a company listed on the Japanese Association of Securities Dealers Automated Quotation Securities Exchange. In November 2009, Aruze Corp. changed its name to Universal Entertainment Corporation, which is a Japanese manufacturer of pachislot and pachinko machines, amusement machines, and video games for domestic sales. Mr. Okada currently serves as Director and Chairman of the Board of Universal Entertainment Corporation and as Director, President, Secretary and Treasurer of Aruze USA, Inc., which is a wholly owned subsidiary of Universal Entertainment Corporation and prior to the redemption described below owned approximately 19.7% of Wynn Resorts, Limited. 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February 18, 2012, the Company’s Gaming Compliance Committee concluded a year-long investigation after receiving an independent report by Freeh, Sporkin &amp; Sullivan, LLP (the “Freeh Report”) detailing, among other things, numerous prima facie violations of the U.S. Foreign Corrupt Practices Act by Aruze USA, Inc. (which at the time was a stockholder of the Company), Universal Entertainment Corporation, Aruze USA, Inc.’s parent company, and Kazuo Okada, the majority shareholder of Universal Entertainment Corporation, who is also a member of our Board of Directors and was at the time a director of Wynn Macau, Limited.</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Based on the Freeh Report, the Company’s Board of Directors determined that Aruze USA, Inc., Universal Entertainment Corporation and Mr. Okada are “unsuitable” under Article VII of the Wynn Resorts articles of incorporation. The Board was unanimous (other than Mr. Okada) in its determination. The Board of Directors also requested that Mr. Okada resign as a director of the Company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Aruze USA, Inc.’s 24,549,222 shares of the Company’s common stock. For additional information on the share redemption, see “Certain Relationships and Related Transactions; Share Redemption.”</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19, 2012, the Company filed a complaint in the District Court of Clark County, Nevada against Mr. Okada, Aruze USA, Inc. and Universal Entertainment Corporation alleging breaches of fiduciary duty and related claims.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Company’s board (other than Mr. Okada) and a senior executive of the Company. Among other relief, the counterclaim seeks a declaration that the redemption of Aruze USA, Inc.’s shares was void, an injunction restoring Aruze USA, Inc.’s share ownership and damages in an unspecified amount. On March 29, 2012, the Company filed a motion to remand the action to state court and to request an extension to answer. The motion to remand is pending and the request for extension to answer was granted on March 30, 2012, giving the Company until May 21, 2012 to answer the counterclaim.</w:t>
      </w:r>
    </w:p>
    <w:p>
      <w:pPr>
        <w:spacing w:after="0" w:line="11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Dr. Zeman, 63, has served as a Director of the Company since October 2002. He is also Vice Chairman and has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the Company, since September 2009. Dr. Zeman founded The Colby International Group in 1975 to source and export fashion apparel to North America. In late 2000, The Colby International Group merged with Li &amp; Fung Limited. Dr. Zeman is the Chairman of Lan Kwai Fong Holdings Limited, a company engaged in property investment and development in Hong Kong since July 1996. He is also the owner of Paradise Properties Group, a property developer in Thailand. Dr. Zeman is also Chairman of Ocean Park, a major theme park in Hong Kong. 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 member of the Food Business Task Force for Business Facilitation Advisory Committee, the Committee on the Commission on Strategic Development, the West Kowloon Cultural District Authority (“WKCDA”), the Consultation Panel of the WKCDA, WKCDA Development Committee, WKCDA Investment Committee, and WKCDA Performing Arts Committee (of which Dr. Zeman is the Chairman). In 2001,</w:t>
      </w:r>
    </w:p>
    <w:p>
      <w:pPr>
        <w:spacing w:after="0" w:line="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Dr. Zeman joined the Richard Ivey School of Business’ Asian Advisory Board. In 2001, Dr. Zeman was appointed a Justice of the Peace. He was awarded the Gold Bauhinia Star in 2004 and the Grand Bauhinia Medal in 2011.</w:t>
      </w:r>
    </w:p>
    <w:p>
      <w:pPr>
        <w:spacing w:after="0" w:line="13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Mr. Zeman, a Hong Kong citizen and successful Hong Kong entrepreneur, has been a guiding force in the development of our Macau operations and the continued operation and strategic focus of Wynn Macau. His personal business experience in China and extensive knowledge of the Company’s history, development and marketing strategy in Asia contribute to the Board’s oversight of these aspects of the Company’s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executive officers and certain key management personnel of the Company and certain of its subsidiaries as of April 30,</w:t>
      </w:r>
    </w:p>
    <w:p>
      <w:pPr>
        <w:spacing w:after="0" w:line="3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2012. Executive officers are appointed by the Board of Directors and serve at the discretion of the Board of Directors, subject to applicable employment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300" w:type="dxa"/>
            <w:vAlign w:val="bottom"/>
          </w:tcPr>
          <w:p>
            <w:pPr>
              <w:spacing w:after="0"/>
              <w:rPr>
                <w:sz w:val="15"/>
                <w:szCs w:val="15"/>
                <w:color w:val="auto"/>
              </w:rPr>
            </w:pPr>
          </w:p>
        </w:tc>
        <w:tc>
          <w:tcPr>
            <w:tcW w:w="8280" w:type="dxa"/>
            <w:vAlign w:val="bottom"/>
            <w:tcBorders>
              <w:bottom w:val="single" w:sz="8" w:color="auto"/>
            </w:tcBorders>
          </w:tcPr>
          <w:p>
            <w:pPr>
              <w:ind w:left="39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600" w:type="dxa"/>
            <w:vAlign w:val="bottom"/>
            <w:gridSpan w:val="2"/>
          </w:tcPr>
          <w:p>
            <w:pPr>
              <w:spacing w:after="0" w:line="195" w:lineRule="exact"/>
              <w:rPr>
                <w:sz w:val="20"/>
                <w:szCs w:val="20"/>
                <w:color w:val="auto"/>
              </w:rPr>
            </w:pPr>
            <w:r>
              <w:rPr>
                <w:rFonts w:ascii="Arial" w:cs="Arial" w:eastAsia="Arial" w:hAnsi="Arial"/>
                <w:sz w:val="18"/>
                <w:szCs w:val="18"/>
                <w:color w:val="auto"/>
              </w:rPr>
              <w:t>Stephen A. Wynn</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300" w:type="dxa"/>
            <w:vAlign w:val="bottom"/>
          </w:tcPr>
          <w:p>
            <w:pPr>
              <w:spacing w:after="0"/>
              <w:rPr>
                <w:sz w:val="16"/>
                <w:szCs w:val="16"/>
                <w:color w:val="auto"/>
              </w:rPr>
            </w:pPr>
          </w:p>
        </w:tc>
        <w:tc>
          <w:tcPr>
            <w:tcW w:w="8280" w:type="dxa"/>
            <w:vAlign w:val="bottom"/>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40" w:type="dxa"/>
            <w:vAlign w:val="bottom"/>
          </w:tcPr>
          <w:p>
            <w:pPr>
              <w:jc w:val="right"/>
              <w:spacing w:after="0"/>
              <w:rPr>
                <w:sz w:val="20"/>
                <w:szCs w:val="20"/>
                <w:color w:val="auto"/>
              </w:rPr>
            </w:pPr>
            <w:r>
              <w:rPr>
                <w:rFonts w:ascii="Arial" w:cs="Arial" w:eastAsia="Arial" w:hAnsi="Arial"/>
                <w:sz w:val="18"/>
                <w:szCs w:val="18"/>
                <w:color w:val="auto"/>
              </w:rPr>
              <w:t>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President, Wynn Macau</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Marilyn Spiegel</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Vice President and Chief Financial Officer, Wynn Las Vegas, LLC</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Vice President and Chief Financial Officer, Wynn Resorts (Macau), S.A.</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certain information regarding the non-director executive officers and certain key management personnel of the Company.</w:t>
      </w:r>
    </w:p>
    <w:p>
      <w:pPr>
        <w:spacing w:after="0" w:line="18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held since September 2002. Mr. Strzemp served as the Company’s Treasurer from March 2003 to March 2006.</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the Company’s Chief Financial Officer and Treasurer. Prior to his promotion in March 2008, Mr. Maddox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Senior Vice President of Business Development and Treasurer, positions he held since January 2007 and May 2006, respectively. From September 2005 to December 31, 2006, Mr. Maddox served as the Senior Vice President of Business Development for Wynn Las Vegas, LLC. From March 2003 to September 2005, Mr. Maddox was the Chief Financial Officer of Wynn Resorts (Macau), S.A. From May 2002 through March 2003, Mr. Maddox was the Company’s Treasurer and Vice President—Investor Relations. Mr. Maddox also serves as an officer of several of the Company’s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1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the Company, a position she has held since February 2006. She joined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Ian Michael Coughlan. </w:t>
      </w:r>
      <w:r>
        <w:rPr>
          <w:rFonts w:ascii="Arial" w:cs="Arial" w:eastAsia="Arial" w:hAnsi="Arial"/>
          <w:sz w:val="16"/>
          <w:szCs w:val="16"/>
          <w:color w:val="auto"/>
        </w:rPr>
        <w:t>Mr. Coughlan has been an Executive Director of Wynn Macau, Limited since September 2009. Mr. Coughlan is also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of Wynn Resorts (Macau) S.A., a position he has held since July 2007. In this role, he is responsible for the operation of Wynn Macau and Encore at Wynn Macau.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Marilyn Spiegel. </w:t>
      </w:r>
      <w:r>
        <w:rPr>
          <w:rFonts w:ascii="Arial" w:cs="Arial" w:eastAsia="Arial" w:hAnsi="Arial"/>
          <w:sz w:val="16"/>
          <w:szCs w:val="16"/>
          <w:color w:val="auto"/>
        </w:rPr>
        <w:t>Mrs. Spiegel is the President of Wynn Las Vegas, LLC, owner and operator of Wynn Las Vegas and Encore Las Vegas where she</w:t>
      </w:r>
      <w:r>
        <w:rPr>
          <w:rFonts w:ascii="Arial" w:cs="Arial" w:eastAsia="Arial" w:hAnsi="Arial"/>
          <w:sz w:val="16"/>
          <w:szCs w:val="16"/>
          <w:b w:val="1"/>
          <w:bCs w:val="1"/>
          <w:color w:val="auto"/>
        </w:rPr>
        <w:t xml:space="preserve"> </w:t>
      </w:r>
      <w:r>
        <w:rPr>
          <w:rFonts w:ascii="Arial" w:cs="Arial" w:eastAsia="Arial" w:hAnsi="Arial"/>
          <w:sz w:val="16"/>
          <w:szCs w:val="16"/>
          <w:color w:val="auto"/>
        </w:rPr>
        <w:t>oversees the day-to-day operations of the properties. She assumed this position in December 2010. From January 2004 to November 2010 Mrs. Spiegel was the General Manager and Regional President of five Caesars Entertainment Las Vegas Properties including most recently Bally’s, Paris and Planet Hollywood. Prior to joining the Company, Spiegel held various executive positions with Caesars Entertainment (formerly Harrah’s), including Senior Vice President and General Manager of Harrah’s Las Vegas and the Rio All Suite Hotel and Casino, Senior Vice President of human resources, Senior Vice President and general manager of Harrah’s Shreveport Hotel &amp; Casino in Louisiana and Vice President of Human Resources for the company’s Southern Nevada operations. Mrs. Spiegel began working for Harrah’s Entertainment, Inc. in 1988. Mrs. Spiegel is a member of the Las Vegas Visitors and Convention Bureau board of directors.</w:t>
      </w:r>
    </w:p>
    <w:p>
      <w:pPr>
        <w:spacing w:after="0" w:line="11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Director—Finance of Wynn Resorts (Macau) S.A., a position he assumed in January 2007. Mr. Gansmo is responsible for the management and administration of Wynn Resorts (Macau) S.A.’s finance division. Before joining Wynn Resorts (Macau) S.A., Mr. Gansmo worked at Wynn Resorts, Limited, where he served as the Director of Financial Reporting from November 2002. Prior to joining the Company, Mr. Gansmo practiced as a certified public accountant with firms in Las Vegas, Washington and California, including KPMG Peat Marwick, Arthur Andersen, and Deloitte and Touche.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The Corporate Governance Guidelines, Board committee charters and codes of ethics are available under the heading “Corporate Governance” on the Company Information page of the Company’s website at </w:t>
      </w:r>
      <w:r>
        <w:rPr>
          <w:rFonts w:ascii="Arial" w:cs="Arial" w:eastAsia="Arial" w:hAnsi="Arial"/>
          <w:sz w:val="18"/>
          <w:szCs w:val="18"/>
          <w:i w:val="1"/>
          <w:iCs w:val="1"/>
          <w:u w:val="single" w:color="auto"/>
          <w:color w:val="auto"/>
        </w:rPr>
        <w:t>http://www.wynnresorts.com</w:t>
      </w:r>
      <w:r>
        <w:rPr>
          <w:rFonts w:ascii="Arial" w:cs="Arial" w:eastAsia="Arial" w:hAnsi="Arial"/>
          <w:sz w:val="18"/>
          <w:szCs w:val="18"/>
          <w:i w:val="1"/>
          <w:iCs w:val="1"/>
          <w:color w:val="auto"/>
        </w:rPr>
        <w: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Board of Directors met eight times during 2011. During 2011, none of the members of the Board of Directors attended fewer than 75% of the total number of meetings of the Board of Directors and meetings of the committees on which they served. In addition, the independent directors met in executive session, without management present, at each regular meeting of the Board of Directors. Governor Miller acts as the presiding director and communicates necessary matters from the executive sessions to management.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standards for audit committee members. The current membership and functions of each of the Board of Directors’ committees are listed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c>
          <w:tcPr>
            <w:tcW w:w="0" w:type="dxa"/>
            <w:vAlign w:val="bottom"/>
          </w:tcPr>
          <w:p>
            <w:pPr>
              <w:spacing w:after="0"/>
              <w:rPr>
                <w:sz w:val="1"/>
                <w:szCs w:val="1"/>
                <w:color w:val="auto"/>
              </w:rPr>
            </w:pPr>
          </w:p>
        </w:tc>
      </w:tr>
      <w:tr>
        <w:trPr>
          <w:trHeight w:val="168"/>
        </w:trPr>
        <w:tc>
          <w:tcPr>
            <w:tcW w:w="4780" w:type="dxa"/>
            <w:vAlign w:val="bottom"/>
            <w:gridSpan w:val="2"/>
            <w:vMerge w:val="continue"/>
          </w:tcPr>
          <w:p>
            <w:pPr>
              <w:spacing w:after="0"/>
              <w:rPr>
                <w:sz w:val="14"/>
                <w:szCs w:val="14"/>
                <w:color w:val="auto"/>
              </w:rPr>
            </w:pPr>
          </w:p>
        </w:tc>
        <w:tc>
          <w:tcPr>
            <w:tcW w:w="14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Audit</w:t>
            </w:r>
          </w:p>
        </w:tc>
        <w:tc>
          <w:tcPr>
            <w:tcW w:w="17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6"/>
              </w:rPr>
              <w:t>Compensation</w:t>
            </w: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Governance Committee</w:t>
            </w: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Russell</w:t>
            </w:r>
          </w:p>
        </w:tc>
        <w:tc>
          <w:tcPr>
            <w:tcW w:w="4280" w:type="dxa"/>
            <w:vAlign w:val="bottom"/>
          </w:tcPr>
          <w:p>
            <w:pPr>
              <w:ind w:left="60"/>
              <w:spacing w:after="0" w:line="188" w:lineRule="exact"/>
              <w:rPr>
                <w:sz w:val="20"/>
                <w:szCs w:val="20"/>
                <w:color w:val="auto"/>
              </w:rPr>
            </w:pPr>
            <w:r>
              <w:rPr>
                <w:rFonts w:ascii="Arial" w:cs="Arial" w:eastAsia="Arial" w:hAnsi="Arial"/>
                <w:sz w:val="18"/>
                <w:szCs w:val="18"/>
                <w:color w:val="auto"/>
              </w:rPr>
              <w:t>Goldsmith</w:t>
            </w: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Chair</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X</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Chair</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Number of meetings during 2011</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87"/>
              </w:rPr>
              <w:t>Eleven</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3"/>
              </w:rPr>
              <w:t>Five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Four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Governor Miller serves as Chairman of the Company’s Gaming Compliance Committee and as the Company’s Compliance Director. The Gaming Compliance Committee is a committee comprised of Messrs. Miller, Schorr and Strzemp, and its purpose is to assist the Company in maintaining the highest level of regulatory compliance.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Audit Committee</w:t>
      </w:r>
    </w:p>
    <w:p>
      <w:pPr>
        <w:spacing w:after="0" w:line="9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Board of Directors, after review of each individual’s employment experience and other relevant factors, has determined that Messrs. Wayson, Goldsmith, Shoemaker and Zeman are qualified as audit committee financial experts within the meaning of SEC regulations.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internal audit staff, management and legal counsel to discuss accounting principles, financial and accounting controls, the scope of the annual audit, internal controls, regulatory compliance and other matters. In addition to responsibilities discussed elsewhere in this Annual Report on Form 10-K/A, the functions of the Audit Committee also include the following:</w:t>
      </w:r>
    </w:p>
    <w:p>
      <w:pPr>
        <w:spacing w:after="0" w:line="2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appointing, approving the compensation of, and oversight of the independent auditors;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the scope and results of the Company’s internal auditing procedures and practices;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1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evaluating the performance of the Chief Executive Officer of the Company, overseeing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any employment agreement or any severance or termination agreement, between the Company (or any of its subsidiaries) and any officer, as well as any other employment agreement between the Company and any individual in which annual base salary exceeds $500,000, regardless of position involved;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early 2010, the Committee completed a review of the Company’s compensation policies and practices and determined, under the guidelines recently issued by the SEC, that such policies and practices are not reasonably likely to have a material adverse effect on the Company. Upon promulgation of final rules by the SEC, the Committee will adopt clawback provisions that comply with all applicable requirements.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screening and recommending candidates qualified to serve as directors of the Company taking into account the Company’s current and planned business and the existing membership of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annual evaluation of the Board of Directors.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Board’s current size and composition, needs of the Board of Directors, including the skills and experience of existing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The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Nominating and Corporate Governance Committee implements its policy with regards to considering diversity by annually reviewing with the Board the Board’s composition as a whole and recommending, if necessary, measures to be taken so that the Board reflects the appropriate balance of knowledge, depth and diversity of experience, and skills and expertise required for the Board as a whole. The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of Directors. As described above, the Committee will also consider candidates recommended by stockholders.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Mr. Wynn, the Company’s founder, serves as the Chairman and Chief Executive Officer of the Company. The Board of Directors has determined that the combination of these roles held singularly by Mr. Wynn is in the best interest of all stockholders.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stockholders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combined role of Mr. Wynn as both Chairman and Chief Executive Officer is balanced by the Company’s governance structure and policies and controls. Seven of the twelve members of our Board of Directors satisfy the most stringent requirements of independence promulgated by NASDAQ for audit committee members, and the Audit, Compensation, and Nominating and Corporate Governance Committees are composed entirely of independent members of the Board. This structure encourages independent and effective oversight of the Company’s operations and prudent management of risk. In addition, the Company is subject to stringent regulatory requirements and oversight, combining these internal controls with third party monitoring of the Company’s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independent members of the Company’s Board of Directors meet separately in executive session at each regular meeting of the Board and also meet separately in executive session with each of the Company’s auditors, Vice President of Internal Audit and General Counsel. The independent members of the Board have designated a presiding director for such sessions who is responsible for communicating to the Chief Executive Officer and senior management all concerns that arise during executive session. Governor Miller currently serves as the Presiding Director.</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all Committee agendas and all agendas for meetings of the Board of Directors are provided in advance to all independent members of the Board. The members are encouraged to review the proposed agenda items and to add additional items of concern or interest. Members of the Board of Directors also have unimpeded access to Company management.</w:t>
      </w:r>
    </w:p>
    <w:p>
      <w:pPr>
        <w:spacing w:after="0" w:line="14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Mr. Wynn’s compensation is established and reviewed by the Compensation Committee, all of whose members are independent. During 2011, the Compensation Committee engaged the services of an independent third party compensation consultant, Pay Governance, in its evaluation of the level of compensation and benefits of employment provided to Mr. Wynn.</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the reasons stated above and as a result of the structure, policies and procedures outlined above, and in light of the historical success of Mr. Wynn’s leadership, the Board has concluded that the current Board leadership structure is in the best interest of the Company and its stockholders.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has an active role in overseeing the Company’s areas of risk. While the full Board has overall responsibility for risk oversight, the Board has assigned certain areas of risk primarily to designated Committees, which report back to the full Board. The Board regularly reviews information regarding the Company’s risks relating to political, regulatory, construction, operations, succession planning, catastrophic events and general financial conditions. The Audit Committee is primarily responsible for the oversight of credit, related party, construction and general financial risks. The Compliance Committee primarily oversees risks relating to regulatory, security and political compliance. As discussed above, the Compensation Committee is primarily responsible for monitoring risks relating to the Company’s compensation policies and practices to determine whether they create risks that may have a material adverse effect on the Company.</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in consultation with management and the Company’s outside auditors, has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Committees) and management have agreed upon a processes for management to identify, manage and mitigate these risks.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Throughout the year, the Board and the relevant Committees receive reports from management that include information regarding major risks and exposures facing the Company and the steps management has taken to monitor and control such risks and exposures. In addition, throughout the year, the Board and the relevant Committees dedicate a portion of their meetings to review and discuss specific risk topics in greater detail.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2011, the Board adopted Stock Ownership Guidelines applicable to members of the Board of Directors and senior corporate officers. The Guidelines require that members of the Board achieve ownership of an amount of common stock of the Company for which the fair market value equals or exceed three times such director’s annual cash retainer. For the Company’s Chief Executive Officer, the fair market value of common stock owned should equal or exceed five times base salary and for the Chief Operating Officer, Chief Financial Officer and any Executive Vice President, three times base salary.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and Corporate Governance Committee for consideration.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Currently, all members of the Board and executives satisfy the guidelines.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Hedging Policy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directors, executive officers and employees are prohibited from hedging their ownership of our stock, including purchasing Company stock on margin, selling Company stock short, buying or selling puts or calls or other derivative instruments related to Company stock.</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The Board of Directors has established a process to receive communications from stockholders. This process is described under “Corporate Governance” on the Company Information page of the Company’s website at </w:t>
      </w:r>
      <w:r>
        <w:rPr>
          <w:rFonts w:ascii="Arial" w:cs="Arial" w:eastAsia="Arial" w:hAnsi="Arial"/>
          <w:sz w:val="15"/>
          <w:szCs w:val="15"/>
          <w:i w:val="1"/>
          <w:iCs w:val="1"/>
          <w:color w:val="auto"/>
        </w:rPr>
        <w:t>http://www.wynnresorts.com.</w:t>
      </w:r>
      <w:r>
        <w:rPr>
          <w:rFonts w:ascii="Arial" w:cs="Arial" w:eastAsia="Arial" w:hAnsi="Arial"/>
          <w:sz w:val="15"/>
          <w:szCs w:val="15"/>
          <w:color w:val="auto"/>
        </w:rPr>
        <w:t xml:space="preserve"> Stockholders may contact any member or all members of the Board of Directors, any committee of the Board of Directors or the chair of any committee by mail. Correspondence should be addressed to the appropriate individual by either name or title. All such correspondence should be sent “c/o Corporate Secretary” at 3131 Las Vegas Boulevard South, Las Vegas, Nevada 89109.</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attended the 2011 Annual Meeting.</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2011 were Messrs. Goldsmith, Irani, Moran, Shoemaker and Wayson.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stated above, as part of the Company’s commitment to integrity, the Board of Directors has adopted a Code of Business Conduct and Ethics applicable to all directors, officers and employees of the Company and its subsidiaries. This Code is periodically reviewed by the Board of Directors. The most recent update, dated November 1, 2011, included clarifications and revisions in presentation and is available on our website. In the event we determine to amend or waive certain provisions of this code of ethics, we will disclose such amendments or waivers under the heading “Corporate Governance” on the Company information page of our website at http://www.wynnresorts.com or as otherwise required by the NASDAQ listing standards. During 2011, all of our directors, except Mr. Okada, acknowledged in writing their compliance with the Company’s Code of Business Conduct.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2011, except that one report covering two stock option exercises by Ms. Chen was filed after the deadline.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DIRECTOR COMPENSATION</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Earned or</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Paid in</w:t>
            </w:r>
          </w:p>
        </w:tc>
        <w:tc>
          <w:tcPr>
            <w:tcW w:w="1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Cash</w:t>
            </w:r>
          </w:p>
        </w:tc>
        <w:tc>
          <w:tcPr>
            <w:tcW w:w="120" w:type="dxa"/>
            <w:vAlign w:val="bottom"/>
          </w:tcPr>
          <w:p>
            <w:pPr>
              <w:spacing w:after="0"/>
              <w:rPr>
                <w:sz w:val="12"/>
                <w:szCs w:val="12"/>
                <w:color w:val="auto"/>
              </w:rPr>
            </w:pPr>
          </w:p>
        </w:tc>
        <w:tc>
          <w:tcPr>
            <w:tcW w:w="560" w:type="dxa"/>
            <w:vAlign w:val="bottom"/>
          </w:tcPr>
          <w:p>
            <w:pPr>
              <w:jc w:val="right"/>
              <w:ind w:right="186"/>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($)(4)</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121,500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5"/>
              </w:rPr>
              <w:t>$173,912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311,662</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Ray R. Irani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118,500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324,912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172,000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378,412</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John A. Moran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106,500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312,912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Kazuo Okada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72,000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Alvin V. Shoemaker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123,000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329,412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136,500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342,912</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Elaine P. Wynn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70,500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Allan Zeman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121,500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8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set forth in this column reflect the aggregate grant date fair value of 3,600 stock option awards granted to each non-employee director, other than Mr. Okada and Elaine P. Wynn, on May 16, 2011, computed in accordance with accounting standards for stock-based compensation. See Note 14 to our Consolidated Financial Statements in the Original Filing for assumptions used in computing fair value.</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Governor Miller, as a member of the Board of Directors, receives a $50,000 annual retainer for his service as the Chairman of the Company’s Gaming Compliance Committee and a $20,000 annual retainer for his service as the Company’s Compliance Director.</w:t>
      </w:r>
    </w:p>
    <w:p>
      <w:pPr>
        <w:ind w:left="460" w:right="1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outstanding option awards for each director at December 31, 2011 is as follows: Mr. Goldsmith 27,600, Dr. Irani and Governor Miller 28,600 each, Messrs. Moran, Shoemaker and Wayson 48,600 each and Mr. Zeman 38,600. The aggregate number of outstanding stock awards for each director at December 31, 2011 is as follows: Mr. Goldsmith 2,500, and Messrs. Irani, Moran, Shoemaker, Wayson and Zeman 5,000 each. Mr. Okada and Elaine P. Wynn, who each are greater than five percent beneficial owners of the Company’s common stock, have not previously been granted equity awards for their service as directors.</w:t>
      </w:r>
    </w:p>
    <w:p>
      <w:pPr>
        <w:spacing w:after="0" w:line="2"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the Company did not regularly pay dividends at that time.</w:t>
      </w:r>
    </w:p>
    <w:p>
      <w:pPr>
        <w:spacing w:after="0" w:line="144"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Directors who are not employees of the Company currently receive a monthly fee of $5,000 for services as a director. Directors who serve on the Compensation Committee or the Nominating/Governance Committee receive an additional monthly fee of $1,000 per committee ($2,000 for committee chairmen). Directors who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2011 consisted of a grant of 3,600 stock options. All directors are provided complimentary room, food and beverage privileges at our resorts and are reimbursed for any other out of pocket expenses related to attendance at meetings. Directors from time to time may receive other benefits, although the aggregate incremental cost of any such benefits and perquisites did not exceed $10,000 for any director in 2011. The Company does not provide non-equity incentive plan awards or deferred compensation or retirement plans for non-employee directors.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section explains the Company’s executive compensation program as it relates to the following “named executive officers” whose compensation information is presented in the tables following this discussion in accordance with SEC rules:</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sectPr>
          <w:pgSz w:w="11900" w:h="16838" w:orient="portrait"/>
          <w:cols w:equalWidth="0" w:num="2">
            <w:col w:w="4560" w:space="720"/>
            <w:col w:w="6120"/>
          </w:cols>
          <w:pgMar w:left="240" w:top="459" w:right="259" w:bottom="1440" w:gutter="0" w:footer="0" w:header="0"/>
          <w:type w:val="continuous"/>
        </w:sectPr>
      </w:pPr>
    </w:p>
    <w:p>
      <w:pPr>
        <w:ind w:right="40" w:firstLine="456"/>
        <w:spacing w:after="0" w:line="268" w:lineRule="auto"/>
        <w:rPr>
          <w:sz w:val="20"/>
          <w:szCs w:val="20"/>
          <w:color w:val="auto"/>
        </w:rPr>
      </w:pPr>
      <w:r>
        <w:rPr>
          <w:rFonts w:ascii="Arial" w:cs="Arial" w:eastAsia="Arial" w:hAnsi="Arial"/>
          <w:sz w:val="18"/>
          <w:szCs w:val="18"/>
          <w:color w:val="auto"/>
        </w:rPr>
        <w:t>The Compensation Committee of the Board of Directors, or the Committee, has responsibility for establishing, developing and administering our executive compensation program.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Resorts completed another year of outstanding performance in 2011, posting record net revenues, operating income, net income, earnings per share and EBITDA. Wynn Resorts set a Company record in 2011 with $1.6 billion in Adjusted Property EBITDA, up 40.7% from 2010. The Company did not achieve this Adjusted Property EBITDA growth through risky balance sheet expansion. Instead, we achieved these Adjusted Property EBITDA results during a period when we also reduced our debt from $4.3 billion in 2008 to $3.2 billion in 2011.</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Increase</w:t>
            </w:r>
          </w:p>
        </w:tc>
        <w:tc>
          <w:tcPr>
            <w:tcW w:w="20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5,269.8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4,184.7</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Operating Income ($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1,008.2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625.3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160.6%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278.3%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1,635.3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1,163.0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operating and balance sheet management success has contributed to significant returns for Wynn Resorts’ stockholders. Our total stockholder return was 12.3% for this past year, 49.2% over the past 5 years and 1,048</w:t>
      </w:r>
      <w:r>
        <w:rPr>
          <w:rFonts w:ascii="Arial" w:cs="Arial" w:eastAsia="Arial" w:hAnsi="Arial"/>
          <w:sz w:val="18"/>
          <w:szCs w:val="18"/>
          <w:b w:val="1"/>
          <w:bCs w:val="1"/>
          <w:color w:val="auto"/>
        </w:rPr>
        <w:t>%</w:t>
      </w:r>
      <w:r>
        <w:rPr>
          <w:rFonts w:ascii="Arial" w:cs="Arial" w:eastAsia="Arial" w:hAnsi="Arial"/>
          <w:sz w:val="18"/>
          <w:szCs w:val="18"/>
          <w:color w:val="auto"/>
        </w:rPr>
        <w:t xml:space="preserve"> since our inception in 2002. Thus, $100 invested in Wynn Resorts at its inception would be worth $1,148 at the end of 2011. This performance for stockholders is unmatched in the gaming and resort industry and far exceeds the results of the S&amp;P 500 during this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graph illustrates the compound average annual growth rate of share price growth adjusted for dividends and splits for Wynn Resorts, Las Vegas Sands, MGM Resorts International, a Gaming industry index (Las Vegas Sands, MGM, Crown, Penn National, Melco Crown, and Boyd, weighted by current market capitalization) and the S&amp;P 500. The Compounded Annual Growth Rate (CAGR) for Las Vegas Sands (12/16/2004), Melco Crown (12/19/2006), and Crown Limited (3/25/2008) were measured from the date of their initial public offerings and the CAGR for all others was measured from the October 25, 2002, initial public offering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224790</wp:posOffset>
            </wp:positionV>
            <wp:extent cx="3679190" cy="2383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7919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Standard &amp; Poor’s Capital IQ.</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the formation of our Company, we set out to develop and operate the premier casino resort in each jurisdiction in which we operate, and to develop and expand the “Wynn” brand while delivering successful operating and financial performance. Today the Wynn brand has become synonymous with luxury in the gaming industry. Our Las Vegas resort and our Macau resort both have received the coveted Forbes five-star distinction.</w:t>
      </w:r>
    </w:p>
    <w:p>
      <w:pPr>
        <w:spacing w:after="0" w:line="10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Committee believes that our compensation program has been instrumental in supporting achievement of our branding success and our strong financial and stockholder value performance. The program emphasizes pay for performance and total compensation. It is designed to help recruit, retain and motivate a highly talented team of executives with the requisite set of skills and experience to successfully lead the Company in creating value for our stockholders.</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of the Company’s named executive officers consists primarily of base salary, annual cash incentives, and periodic grants of equity in the form of stock options and restricted stock. As a result, the vast majority of their total compensation is tied to the Company’s financial and share price performance. Historically, Mr. Wynn has not received equity incentives, relying on his significant equity ownership as a founding stockholder to realize increases in value created for the Company’s stockholders. For the past three years, Mr. Wynn received 64% of his total compensation in the form of annual cash incentives. The other named executive officers as a group received 73% of their total compensation in the form of annual and long-term incentives that are tied to the Company’s operating results and stock price.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205740</wp:posOffset>
            </wp:positionV>
            <wp:extent cx="1483360" cy="182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3360" cy="182689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205740</wp:posOffset>
            </wp:positionV>
            <wp:extent cx="1483360" cy="182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our outstanding performance, the Committee made the following compensation changes for NEOs in 2011:</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the base salary for Mr. Wynn.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Company EBITDA that far exceeded our goals, awarded NEOs annual incentive awards at maximum levels for 2011 performance.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Determined no additional equity awards were necessary during 2011 (none were made in 2010 either), in light of the significant grants awarded to the Company’s most senior executive officers in 2009.</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a $10 million cash retention award to Ms. Chen, payable in ten years, in recognition of her contribution and continued importance to our Macau resort.</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Wynn received a $2 million discretionary bonus from the Wynn Macau Limited Board of Directors for his contribution to the extraordinary performance of Wynn Macau for 2011.</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Committee believes that stockholder interests are best advanced by attracting and retaining a high-performing management team. To promote this objective, the Committee was guided by the following underlying principles in developing our executive compensation program:</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Top talent</w:t>
      </w:r>
      <w:r>
        <w:rPr>
          <w:rFonts w:ascii="Arial" w:cs="Arial" w:eastAsia="Arial" w:hAnsi="Arial"/>
          <w:sz w:val="16"/>
          <w:szCs w:val="16"/>
          <w:color w:val="auto"/>
        </w:rPr>
        <w:t>—The program should be designed to gain a long-term commitment from the proven, successful executives that lead our success.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gaming companies and other competitors for key talent.</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Stockholder alignment</w:t>
      </w:r>
      <w:r>
        <w:rPr>
          <w:rFonts w:ascii="Arial" w:cs="Arial" w:eastAsia="Arial" w:hAnsi="Arial"/>
          <w:sz w:val="18"/>
          <w:szCs w:val="18"/>
          <w:color w:val="auto"/>
        </w:rPr>
        <w:t>—Long-term incentives should be provided periodically in Company equity to encourage executives to plan and 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perspective of stockholders.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compensation program is simple in design and provides only a limited number of perquisites and executive benefits. We do not provide supplemental retirement benefits to our executives. The Committee regularly evaluates the Company’s compensation arrangements to assess whether they are appropriately structured to support these objectives and are effective in enabling the Company to attract and retain superior employees in key positions.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Program Overview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Element</w:t>
            </w:r>
          </w:p>
        </w:tc>
        <w:tc>
          <w:tcPr>
            <w:tcW w:w="9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Role and Purpose</w:t>
            </w:r>
          </w:p>
        </w:tc>
      </w:tr>
      <w:tr>
        <w:trPr>
          <w:trHeight w:val="309"/>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Base salary</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Provide competitive foundation for total compensation</w:t>
            </w:r>
          </w:p>
        </w:tc>
      </w:tr>
      <w:tr>
        <w:trPr>
          <w:trHeight w:val="297"/>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Recognize executive’s demonstrated sustained performance, capabilities, job scope and experience</w:t>
            </w:r>
          </w:p>
        </w:tc>
      </w:tr>
      <w:tr>
        <w:trPr>
          <w:trHeight w:val="338"/>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Annual incentives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Motivate and reward achievement of annual EBITDA targets, which drive the valuation of our stock</w:t>
            </w:r>
          </w:p>
        </w:tc>
      </w:tr>
      <w:tr>
        <w:trPr>
          <w:trHeight w:val="297"/>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89"/>
              </w:rPr>
              <w:t>Enforce accountability for individual performance through discretionary reductions in awards as deemed appropriate</w:t>
            </w:r>
          </w:p>
        </w:tc>
      </w:tr>
      <w:tr>
        <w:trPr>
          <w:trHeight w:val="338"/>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Discretionary bonus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91"/>
              </w:rPr>
              <w:t>Make periodic awards for superior contributions to the enterprise as determined in the discretion of the Committee</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Long-term incentives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Align executives with stockholders</w:t>
            </w:r>
          </w:p>
        </w:tc>
      </w:tr>
      <w:tr>
        <w:trPr>
          <w:trHeight w:val="291"/>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93"/>
              </w:rPr>
              <w:t>Make periodic grants with long-term vesting to encourage a long-term value perspective and executive retention</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9000" w:type="dxa"/>
            <w:vAlign w:val="bottom"/>
          </w:tcPr>
          <w:p>
            <w:pPr>
              <w:spacing w:after="0"/>
              <w:rPr>
                <w:sz w:val="19"/>
                <w:szCs w:val="19"/>
                <w:color w:val="auto"/>
              </w:rPr>
            </w:pPr>
          </w:p>
        </w:tc>
      </w:tr>
      <w:tr>
        <w:trPr>
          <w:trHeight w:val="338"/>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compensation</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Permit executives to participate in the Company’s 401(k) plan to facilitate retirement savings</w:t>
            </w:r>
          </w:p>
        </w:tc>
      </w:tr>
      <w:tr>
        <w:trPr>
          <w:trHeight w:val="318"/>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Security benefits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88"/>
              </w:rPr>
              <w:t>Consistent with the Board’s requirement that Mr. Wynn travel privately for security reasons, provide him with access to</w:t>
            </w:r>
          </w:p>
        </w:tc>
      </w:tr>
      <w:tr>
        <w:trPr>
          <w:trHeight w:val="222"/>
        </w:trPr>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90"/>
              </w:rPr>
              <w:t>Company aircraft for both personal and business travel, as well as a car and a driver (and security when necessary)</w:t>
            </w:r>
          </w:p>
        </w:tc>
      </w:tr>
      <w:tr>
        <w:trPr>
          <w:trHeight w:val="318"/>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Foreign living expenses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85"/>
              </w:rPr>
              <w:t>Consistent with competitive practice in Macau, provide Ms. Chen with a car and driver, certain housing and living expenses</w:t>
            </w:r>
          </w:p>
        </w:tc>
      </w:tr>
      <w:tr>
        <w:trPr>
          <w:trHeight w:val="222"/>
        </w:trPr>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and assistance with tax preparation</w:t>
            </w:r>
          </w:p>
        </w:tc>
      </w:tr>
      <w:tr>
        <w:trPr>
          <w:trHeight w:val="324"/>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benefits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Promote executive health through supplemental health benefits</w:t>
            </w:r>
          </w:p>
        </w:tc>
      </w:tr>
      <w:tr>
        <w:trPr>
          <w:trHeight w:val="297"/>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Provide for executives’ families in the event of death through supplemental life insurance policies</w:t>
            </w:r>
          </w:p>
        </w:tc>
      </w:tr>
      <w:tr>
        <w:trPr>
          <w:trHeight w:val="331"/>
        </w:trPr>
        <w:tc>
          <w:tcPr>
            <w:tcW w:w="2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perquisites</w:t>
            </w: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w w:val="86"/>
              </w:rPr>
              <w:t>Offer industry-competitive discounts and complimentary privileges with respect to the Company’s resorts and aircraft as</w:t>
            </w:r>
          </w:p>
        </w:tc>
      </w:tr>
      <w:tr>
        <w:trPr>
          <w:trHeight w:val="222"/>
        </w:trPr>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b w:val="1"/>
                <w:bCs w:val="1"/>
                <w:i w:val="1"/>
                <w:iCs w:val="1"/>
                <w:color w:val="auto"/>
              </w:rPr>
              <w:t>described below</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Committee sets all elements of compensation for the Chief Executive Officer and Chief Operating Officer based upon consideration of their respective contributions to the development and operating performance of the Company. Annually, the Committee reviews compensation data of those with whom we compete for talent. The Committee considers the recommendations of the Chief Executive Officer and Chief Operating Officer in establishing compensation for all other named executive officers. The Chief Executive Officer and Chief Operating Officer perform annual reviews of all of our senior management and make recommendations to the Committee. The Committee reviews the recommendations and makes final decisions regarding compensation for all of our most senior management.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Compensation Committee has the authority to retain compensation consulting firms exclusively to assist it in the evaluation of executive officer and employee compensation and benefit programs. During 2011, the Committee retained Pay Governance LLC, a nationally-recognized independent compensation consulting firm, to assist in performing its duties. In 2011, Pay Governance assisted with a review of certain benefits accorded to our CEO and advised the Committee with respect to compensation trends and best practices, competitive pay levels, equity grant practices and competitive levels, and proxy disclosure. While our advisor regularly consults with management in performing work requested by the Committee, Pay Governance did not perform any separate additional services for management.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determining base salary, target annual incentives and guidelines for equity awards, the Committee uses the named executive officers’ current level of compensation as the starting point. Our compensation decisions consider the scope and complexity of the functions executives oversee, the contribution of those functions to our overall performance, their experience and capabilities, and individual performance, taking into consideration the compensation practices of our peers in order to obtain a general understanding of competitive compensation practices. In addition, wealth accumulation is considered when making equity grants to increase the alignment between the interest of our senior executives and those of our stockholders.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reviews total compensation annually, along with the value from past equity awards, to assess the need for change to current compensation. While cash bonuses and annual cash incentive compensation awards are considered annually on the basis of Company and individual performance, reviews of base salary and equity incentives are conducted only on a periodic basis or in recognition of notable contributions to value creation for Company stockholders. The Committee retains the discretion to adjust actual bonus amounts paid based on a variety of factors, including corporate, property level and individual performance, as well as general macroeconomic conditions.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Committee believes that the companies in its Peer Group are those companies with which the Company competes for talent and stockholder investment. Please refer to the discussion below under “Peer Group” for a more detailed discussion of our use of Peer Group data.</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Advisory Resolution Approving Our Executive Compensation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the May 17, 2011, Annual Meeting of Stockholders, our advisory resolution on executive compensation was approved by the stockholders. Although this approval was non-binding, the Board of Directors and the Compensation Committee considered the voting results in evaluating our executive compensation program for the current year. The Board of Directors and the Compensation Committee also consider the other factors discussed in this Compensation Discussion and Analysis. Following such consideration, the Board of Directors determined not to make any changes to our compensation program based on the advisory resolution voting result. In addition, at that same meeting, approximately 71% of the votes cast regarding the frequency proposal voted in favor of holding future advisory votes on executive compensation every three years. The Board has determined to follow this decision by stockholders. Accordingly, the next advisory resolution on executive compensation will be voted on by stockholders at the 2014 Annual Meeting of Stockholders.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do not use a specific formula or weighting for allocating among the elements of our total compensation program including base salary, cash bonus awards, and long term compensation. Instead we offer what the Compensation Committee views to be effective for attracting and retaining key leaders while motivating management to maximize long term value of our Company for our stockholders.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deemed necessary due to competitive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to reflect sustained performance, capabilities, experience and changes in responsibility or other extraordinary circumstances. Companies in the gaming business typically have total compensation packages that may be higher than many of their non-gaming counterparts due to certain regulatory and other extraordinary demands. The Company’s rapid expansion in the last six years and our operations in widely separated geographic locations has required that named executive officers provide extraordinary levels of financial, development and operating expertise. These efforts have resulted in industry-leading product and impressive financial performance, including returns to stockholders exceeding industry averages. Thus, in fulfilling the Company’s goal of attracting and retaining high-quality and experienced executives, the Company has paid base salary levels for its named executive officers that may exceed the peer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group median. Prior to an increase in 2011, Mr. Wynn’s base salary had not been increased since 2008, other than restoring a 15% reduction that was applied to certain corporate executives in 2009 and 2010. Base salary increases for 2011 are indicated in the following table:</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Executive</w:t>
            </w:r>
          </w:p>
        </w:tc>
        <w:tc>
          <w:tcPr>
            <w:tcW w:w="5460" w:type="dxa"/>
            <w:vAlign w:val="bottom"/>
          </w:tcPr>
          <w:p>
            <w:pPr>
              <w:spacing w:after="0"/>
              <w:rPr>
                <w:sz w:val="14"/>
                <w:szCs w:val="14"/>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4"/>
                <w:szCs w:val="14"/>
                <w:color w:val="auto"/>
                <w:w w:val="96"/>
              </w:rPr>
              <w:t>2011 Salary</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2010 Salary</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1"/>
              </w:rPr>
              <w:t>Increase</w:t>
            </w:r>
          </w:p>
        </w:tc>
        <w:tc>
          <w:tcPr>
            <w:tcW w:w="0" w:type="dxa"/>
            <w:vAlign w:val="bottom"/>
          </w:tcPr>
          <w:p>
            <w:pPr>
              <w:spacing w:after="0"/>
              <w:rPr>
                <w:sz w:val="1"/>
                <w:szCs w:val="1"/>
                <w:color w:val="auto"/>
              </w:rPr>
            </w:pPr>
          </w:p>
        </w:tc>
      </w:tr>
      <w:tr>
        <w:trPr>
          <w:trHeight w:val="20"/>
        </w:trPr>
        <w:tc>
          <w:tcPr>
            <w:tcW w:w="6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4,000,000</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3,250,000</w:t>
            </w:r>
          </w:p>
        </w:tc>
        <w:tc>
          <w:tcPr>
            <w:tcW w:w="6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1,000,000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1,000,000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2,000,000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2,000,000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1,500,000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1,500,000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650,000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Our named executive officers participate in the Wynn Resorts, Limited Annual Performance-Based Incentive Plan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2011, the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our audited consolidated financial statements. This criterion is a reflection on the operating performance of the Company’s assets and directly influences return to stockholders. In addition, management and stockholders use adjusted property EBITDA to value the Company and its assets. Given the challenging economic environment an adjusted property EBITDA target of $1 billion on a consolidated basis was established for maximum Plan funding. Actual performance of $1.6 billion significantly exceeded the target and all participants were awarded the maximum incentive allowed under the Incentive Plan. While the Compensation Committee has the discretion to reduce individual awards from this maximum level based on other Company and individual performance and any other considerations it may deem appropriate, it did not exercise that discretion with respect to 2011 owing to the outstanding Company EBITDA results.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the Compensation Committee approved a $2 million discretionary bonus to Mr. Wynn outside the Incentive Plan awarded by the Wynn Macau Limited Board of Directors for his contribution to the extraordinary performance of Wynn Macau for 2011.</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The Company makes only periodic (not annual) equity grants to executives, with the last grant in 2009. The Committee uses grants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2002 Stock Plan to attract qualified individuals to work for the Company and align executives with the perspective of stockholders, and makes additional grants periodically to existing officers to reward extraordinary performance and encourage retention with the Company. Periodic grants to named executive officers are typically made with long term vesting dates to assure retention of talent deemed important to the Company’s continued prosperity. From time to time, the Company also has granted long-term cash retention awards to reward extraordinary performance and encourage retention. The underlying philosophy behind this approach is to retain senior management for the long term, building a talent base to drive sustained Company performance and growth. As in 2010, the Compensation Committee determined not to make any grants during 2011 to the named executive officers in light of significant grants awarded to the Company’s most senior officers in 2009.</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the Company who owns 10% of the Company’s outstanding stock, has not participated in the Company’s equity incentive plans. This differs from the chief executive officer compensation at most of the companies included in the Peer Group.</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July 2011, Ms. Chen was granted a $10 million cash retention award which vests in full on July 27, 2021, subject to certain provisions. This retention award was awarded to Ms. Chen for her current and expected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contributions to the success of the Company and to provide an incentive to her to remain an employee of the Company. If Ms. Chen’s employment is terminated without “Cause” (as such term is defined in the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is forfeited in full and no compensation is paid under the award.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Committee believes that it is appropriate to offer competitive cash and equity compensation packages to executive officers in order to attract and retain top executive talent. The compensation peer group allows the Committee to monitor the compensation practices of our primary competitors for executive talent, although the Committee also takes into account the gaming industry’s extensive regulatory requirements and other demands. However, the Committee does not utilize this information to target any specific pay percentile for the Company’s executive officers. Instead, the Committee uses this information as a general overview of market practices and to ensure that it makes informed decisions on executive pay packages in the interest of attracting and retaining highly-qualified executive talent.</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help evaluate overall 2011 compensation, the Committee reviewed the Peer Group established in 2010 to confirm it remained appropriate in light of the growth in Company market capitalization and revenues and the competitive market for key executive talent.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2011 Executive Compensation Peer Group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Gaming &amp; Resorts</w:t>
            </w: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Travel, Hospitality &amp; Resorts</w:t>
            </w: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Lifestyle Products</w:t>
            </w:r>
          </w:p>
        </w:tc>
      </w:tr>
      <w:tr>
        <w:trPr>
          <w:trHeight w:val="195"/>
        </w:trPr>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75"/>
              </w:rPr>
              <w:t>Las Vegas Sands</w:t>
            </w:r>
          </w:p>
        </w:tc>
        <w:tc>
          <w:tcPr>
            <w:tcW w:w="2860" w:type="dxa"/>
            <w:vAlign w:val="bottom"/>
          </w:tcPr>
          <w:p>
            <w:pPr>
              <w:ind w:left="160"/>
              <w:spacing w:after="0" w:line="195" w:lineRule="exact"/>
              <w:rPr>
                <w:sz w:val="20"/>
                <w:szCs w:val="20"/>
                <w:color w:val="auto"/>
              </w:rPr>
            </w:pPr>
            <w:r>
              <w:rPr>
                <w:rFonts w:ascii="Arial" w:cs="Arial" w:eastAsia="Arial" w:hAnsi="Arial"/>
                <w:sz w:val="18"/>
                <w:szCs w:val="18"/>
                <w:b w:val="1"/>
                <w:bCs w:val="1"/>
                <w:color w:val="auto"/>
              </w:rPr>
              <w:t>Corp.</w:t>
            </w:r>
          </w:p>
        </w:tc>
        <w:tc>
          <w:tcPr>
            <w:tcW w:w="1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Carnival plc</w:t>
            </w:r>
          </w:p>
        </w:tc>
        <w:tc>
          <w:tcPr>
            <w:tcW w:w="1660" w:type="dxa"/>
            <w:vAlign w:val="bottom"/>
          </w:tcPr>
          <w:p>
            <w:pPr>
              <w:spacing w:after="0"/>
              <w:rPr>
                <w:sz w:val="16"/>
                <w:szCs w:val="16"/>
                <w:color w:val="auto"/>
              </w:rPr>
            </w:pPr>
          </w:p>
        </w:tc>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5"/>
              </w:rPr>
              <w:t>Estee Lauder</w:t>
            </w:r>
          </w:p>
        </w:tc>
        <w:tc>
          <w:tcPr>
            <w:tcW w:w="940" w:type="dxa"/>
            <w:vAlign w:val="bottom"/>
          </w:tcPr>
          <w:p>
            <w:pPr>
              <w:spacing w:after="0" w:line="195" w:lineRule="exact"/>
              <w:rPr>
                <w:sz w:val="20"/>
                <w:szCs w:val="20"/>
                <w:color w:val="auto"/>
              </w:rPr>
            </w:pPr>
            <w:r>
              <w:rPr>
                <w:rFonts w:ascii="Arial" w:cs="Arial" w:eastAsia="Arial" w:hAnsi="Arial"/>
                <w:sz w:val="18"/>
                <w:szCs w:val="18"/>
                <w:b w:val="1"/>
                <w:bCs w:val="1"/>
                <w:color w:val="auto"/>
                <w:w w:val="94"/>
              </w:rPr>
              <w:t>Companies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MGM Resorts International</w:t>
            </w: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Hyatt Hotels Corporation</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w w:val="90"/>
              </w:rPr>
              <w:t>Ralph Lauren Corporation</w:t>
            </w:r>
          </w:p>
        </w:tc>
      </w:tr>
      <w:tr>
        <w:trPr>
          <w:trHeight w:val="216"/>
        </w:trPr>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Marriott International</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priceline.com</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1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Starwood Hotels &amp; Resorts</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5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11 companies in the peer group</w:t>
      </w:r>
      <w:r>
        <w:rPr>
          <w:rFonts w:ascii="Arial" w:cs="Arial" w:eastAsia="Arial" w:hAnsi="Arial"/>
          <w:sz w:val="11"/>
          <w:szCs w:val="11"/>
          <w:color w:val="auto"/>
        </w:rPr>
        <w:t>(1)</w:t>
      </w:r>
      <w:r>
        <w:rPr>
          <w:rFonts w:ascii="Arial" w:cs="Arial" w:eastAsia="Arial" w:hAnsi="Arial"/>
          <w:sz w:val="18"/>
          <w:szCs w:val="18"/>
          <w:color w:val="auto"/>
        </w:rPr>
        <w:t xml:space="preserve"> generally had 2011 revenue, market capitalization and total enterprise value (as of December 31, 2011) in a relevant range around those of the Company as set forth below (amounts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Market</w:t>
            </w:r>
          </w:p>
        </w:tc>
        <w:tc>
          <w:tcPr>
            <w:tcW w:w="2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Enterprise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5"/>
                <w:szCs w:val="15"/>
                <w:color w:val="auto"/>
              </w:rPr>
            </w:pPr>
          </w:p>
        </w:tc>
        <w:tc>
          <w:tcPr>
            <w:tcW w:w="3860" w:type="dxa"/>
            <w:vAlign w:val="bottom"/>
            <w:gridSpan w:val="2"/>
          </w:tcPr>
          <w:p>
            <w:pPr>
              <w:ind w:left="1420"/>
              <w:spacing w:after="0"/>
              <w:rPr>
                <w:sz w:val="20"/>
                <w:szCs w:val="20"/>
                <w:color w:val="auto"/>
              </w:rPr>
            </w:pPr>
            <w:r>
              <w:rPr>
                <w:rFonts w:ascii="Arial" w:cs="Arial" w:eastAsia="Arial" w:hAnsi="Arial"/>
                <w:sz w:val="14"/>
                <w:szCs w:val="14"/>
                <w:b w:val="1"/>
                <w:bCs w:val="1"/>
                <w:color w:val="auto"/>
              </w:rPr>
              <w:t>Company</w:t>
            </w:r>
          </w:p>
        </w:tc>
        <w:tc>
          <w:tcPr>
            <w:tcW w:w="3080" w:type="dxa"/>
            <w:vAlign w:val="bottom"/>
          </w:tcPr>
          <w:p>
            <w:pPr>
              <w:ind w:left="1020"/>
              <w:spacing w:after="0"/>
              <w:rPr>
                <w:sz w:val="20"/>
                <w:szCs w:val="20"/>
                <w:color w:val="auto"/>
              </w:rPr>
            </w:pPr>
            <w:r>
              <w:rPr>
                <w:rFonts w:ascii="Arial" w:cs="Arial" w:eastAsia="Arial" w:hAnsi="Arial"/>
                <w:sz w:val="14"/>
                <w:szCs w:val="14"/>
                <w:b w:val="1"/>
                <w:bCs w:val="1"/>
                <w:color w:val="auto"/>
              </w:rPr>
              <w:t>Business Segment</w:t>
            </w:r>
          </w:p>
        </w:tc>
      </w:tr>
      <w:tr>
        <w:trPr>
          <w:trHeight w:val="203"/>
        </w:trPr>
        <w:tc>
          <w:tcPr>
            <w:tcW w:w="920" w:type="dxa"/>
            <w:vAlign w:val="bottom"/>
            <w:tcBorders>
              <w:top w:val="single" w:sz="8" w:color="CCEEFF"/>
            </w:tcBorders>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5"/>
              </w:rPr>
              <w:t>$34,296</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$ 33,276</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$12,186</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Starbucks Corporation</w:t>
            </w:r>
          </w:p>
        </w:tc>
        <w:tc>
          <w:tcPr>
            <w:tcW w:w="48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Lifestyle Products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30,231</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36,361</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9,411</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Las Vegas Sands Corp.</w:t>
            </w:r>
          </w:p>
        </w:tc>
        <w:tc>
          <w:tcPr>
            <w:tcW w:w="308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25,671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28,665</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7,160</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Carnival plc</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23,284</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23,149</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4,356</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priceline.com</w:t>
            </w:r>
          </w:p>
        </w:tc>
        <w:tc>
          <w:tcPr>
            <w:tcW w:w="3080" w:type="dxa"/>
            <w:vAlign w:val="bottom"/>
          </w:tcPr>
          <w:p>
            <w:pPr>
              <w:spacing w:after="0"/>
              <w:rPr>
                <w:sz w:val="20"/>
                <w:szCs w:val="20"/>
                <w:color w:val="auto"/>
              </w:rPr>
            </w:pPr>
            <w:r>
              <w:rPr>
                <w:rFonts w:ascii="Arial" w:cs="Arial" w:eastAsia="Arial" w:hAnsi="Arial"/>
                <w:sz w:val="18"/>
                <w:szCs w:val="18"/>
                <w:color w:val="auto"/>
              </w:rPr>
              <w:t>Travel</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21,630</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21,844</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9,443</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Estee Lauder Companies</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13,820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15,775</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5,270</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Wynn Resorts Ltd.</w:t>
            </w:r>
          </w:p>
        </w:tc>
        <w:tc>
          <w:tcPr>
            <w:tcW w:w="308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12,721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12,171</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6,664</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Ralph Lauren Corporation</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9,776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11,845</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12,317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Marriott International</w:t>
            </w:r>
          </w:p>
        </w:tc>
        <w:tc>
          <w:tcPr>
            <w:tcW w:w="3080" w:type="dxa"/>
            <w:vAlign w:val="bottom"/>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9,370</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11,645</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5,624</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Starwood Hotels &amp; Resorts</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8,412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8,682</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3,643</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Tiffany &amp; Co.</w:t>
            </w:r>
          </w:p>
        </w:tc>
        <w:tc>
          <w:tcPr>
            <w:tcW w:w="3080" w:type="dxa"/>
            <w:vAlign w:val="bottom"/>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6,217</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6,908</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3,698</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Hyatt Hotels Corporation</w:t>
            </w: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5,099</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16,705</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7,849</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MGM Resorts International</w:t>
            </w:r>
          </w:p>
        </w:tc>
        <w:tc>
          <w:tcPr>
            <w:tcW w:w="308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51%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27%</w:t>
            </w:r>
          </w:p>
        </w:tc>
        <w:tc>
          <w:tcPr>
            <w:tcW w:w="408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308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5620" w:right="4920" w:hanging="5612"/>
        <w:spacing w:after="0" w:line="525" w:lineRule="auto"/>
        <w:tabs>
          <w:tab w:leader="none" w:pos="4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Peer data source: Standard &amp; Poor’s Capital IQ as of the most recently available date. 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implemented to maximize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2011 Summary Compensation table.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 tax gross-up. The Committee has determined that these arrangements are appropriate compensation to its senior management and are necessary to retain talent in a highly competitive industry.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certain of its named executive officers with executive benefits. The primary executive benefits include certain health insurance coverage, life insurance premiums, discounts and complimentary privileges with respect to the Company’s resorts which are described in the footnotes to the “2011 Summary Compensation Table.” In addition, Messrs. Wynn and Schorr have access to the 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cars and a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Mr. Wynn is employed by the Company pursuant to an employment agreement dated October 4, 2002, which was last amended on February 24, 2011 solely to reflect the change in his salary and has a term expiring in 2020. Mr. Wynn, a holder of approximately 10.0% of our common stock, has not received any equity awards as part of his compensation as Chief Executive Officer of the Company. Effective February 24, 2011, Mr. Wynn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receives a base salary of $4,000,000 per year, and participates in the Incentive Plan. Mr. Wynn is provided with Company paid life insurance and disability policies. He also receives certain executive benefits described above.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of Directors that the Compensation Discussion and Analysis be included in this Annual Report on Form 10-K/A for the year ended December 31, 2011.</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Non-Equity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4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3,878,846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2,000,000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9,062,500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$ 1,533,361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16,474,707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3,218,750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6,906,250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$ 1,540,779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14,615,779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2,953,125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4,062,500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$ 1,370,206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390,756</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1,038,423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510,866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3,549,289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and Treasurer</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779,988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5,650,000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248,067</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$ 2,117,573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8,117,573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1,838,462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3,400,000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$ 2,307,923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8,146,385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$ 1,153,817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$ 1,352,926</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5,852,926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President of Wynn</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1,417,308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2,000,000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$ 1,788,762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6,206,070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International Marketing</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858,565</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0" w:hanging="452"/>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set forth in this column reflect the aggregate grant date fair value of stock option awards granted in the specified year, computed in accordance with accounting standards for stock based compensation. See Note 14 to our Consolidated Financial Statements in the Original Filing for assumptions used in computing fair value. The 2009 grants vest 10% per year beginning on the first anniversary of the grant until fully vested in May 2019.</w:t>
      </w:r>
    </w:p>
    <w:p>
      <w:pPr>
        <w:spacing w:after="0" w:line="1" w:lineRule="exact"/>
        <w:rPr>
          <w:rFonts w:ascii="Arial" w:cs="Arial" w:eastAsia="Arial" w:hAnsi="Arial"/>
          <w:sz w:val="16"/>
          <w:szCs w:val="16"/>
          <w:color w:val="auto"/>
        </w:rPr>
      </w:pPr>
    </w:p>
    <w:p>
      <w:pPr>
        <w:ind w:left="460" w:right="120" w:hanging="452"/>
        <w:spacing w:after="0" w:line="29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executives other than Mr. Wynn, amounts reported as “All Other Compensation” for 2011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3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amounts for 2011 are included in “All Other Compensation” for Mr. Wynn:</w:t>
      </w:r>
    </w:p>
    <w:p>
      <w:pPr>
        <w:spacing w:after="0" w:line="90" w:lineRule="exact"/>
        <w:rPr>
          <w:rFonts w:ascii="Arial" w:cs="Arial" w:eastAsia="Arial" w:hAnsi="Arial"/>
          <w:sz w:val="16"/>
          <w:szCs w:val="16"/>
          <w:color w:val="auto"/>
        </w:rPr>
      </w:pPr>
    </w:p>
    <w:p>
      <w:pPr>
        <w:ind w:left="900" w:right="30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personal use of company aircraft of $910,345 (Mr. Wynn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2011, under the Amended and Restated Agreement of Lease between Mr. Wynn and Wynn Las Vegas, LLC dated March 18, 2010, in the amount of $503,831;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$14,054;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life insurance premiums of $10,668;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$22,902;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merchandise discounts of $71,561.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Maddox:</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life insurance premiums of $756;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$390,000.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Schorr:</w:t>
      </w:r>
    </w:p>
    <w:p>
      <w:pPr>
        <w:spacing w:after="0" w:line="90" w:lineRule="exact"/>
        <w:rPr>
          <w:sz w:val="20"/>
          <w:szCs w:val="20"/>
          <w:color w:val="auto"/>
        </w:rPr>
      </w:pPr>
    </w:p>
    <w:p>
      <w:pPr>
        <w:ind w:left="900" w:right="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use of Company aircraft of $387,982 (Mr. Schorr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life insurance premiums of $5,544;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merchandise discounts of $99,047;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$1,625,000 of accrued cash dividends related to unvested 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Ms. Chen:</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housing and other living expenses in Macau of $51,666;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life insurance premiums of $1,260;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$1,300,000.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Ms. Sinatra:</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life insurance premiums of $1,656;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$187,500.</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2011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2011,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860" w:type="dxa"/>
            <w:vAlign w:val="bottom"/>
          </w:tcPr>
          <w:p>
            <w:pPr>
              <w:spacing w:after="0"/>
              <w:rPr>
                <w:sz w:val="14"/>
                <w:szCs w:val="14"/>
                <w:color w:val="auto"/>
              </w:rPr>
            </w:pPr>
          </w:p>
        </w:tc>
        <w:tc>
          <w:tcPr>
            <w:tcW w:w="740" w:type="dxa"/>
            <w:vAlign w:val="bottom"/>
          </w:tcPr>
          <w:p>
            <w:pPr>
              <w:jc w:val="right"/>
              <w:ind w:right="26"/>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860" w:type="dxa"/>
            <w:vAlign w:val="bottom"/>
          </w:tcPr>
          <w:p>
            <w:pPr>
              <w:spacing w:after="0"/>
              <w:rPr>
                <w:sz w:val="14"/>
                <w:szCs w:val="14"/>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11/30/13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2/24/20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7140" w:type="dxa"/>
            <w:vAlign w:val="bottom"/>
            <w:gridSpan w:val="2"/>
          </w:tcPr>
          <w:p>
            <w:pPr>
              <w:jc w:val="center"/>
              <w:ind w:left="5499"/>
              <w:spacing w:after="0" w:line="149" w:lineRule="exact"/>
              <w:rPr>
                <w:sz w:val="20"/>
                <w:szCs w:val="20"/>
                <w:color w:val="auto"/>
              </w:rPr>
            </w:pPr>
            <w:r>
              <w:rPr>
                <w:rFonts w:ascii="Arial" w:cs="Arial" w:eastAsia="Arial" w:hAnsi="Arial"/>
                <w:sz w:val="14"/>
                <w:szCs w:val="14"/>
                <w:b w:val="1"/>
                <w:bCs w:val="1"/>
                <w:color w:val="auto"/>
                <w:w w:val="87"/>
              </w:rPr>
              <w:t>Non-Equity Incentive Plan</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2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5600" w:type="dxa"/>
            <w:vAlign w:val="bottom"/>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Target/Maximum</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7140" w:type="dxa"/>
            <w:vAlign w:val="bottom"/>
            <w:gridSpan w:val="2"/>
          </w:tcPr>
          <w:p>
            <w:pPr>
              <w:jc w:val="center"/>
              <w:ind w:left="5499"/>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56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$9,062,500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140" w:type="dxa"/>
            <w:vAlign w:val="bottom"/>
            <w:gridSpan w:val="2"/>
          </w:tcPr>
          <w:p>
            <w:pPr>
              <w:jc w:val="center"/>
              <w:ind w:left="5499"/>
              <w:spacing w:after="0"/>
              <w:rPr>
                <w:sz w:val="20"/>
                <w:szCs w:val="20"/>
                <w:color w:val="auto"/>
              </w:rPr>
            </w:pPr>
            <w:r>
              <w:rPr>
                <w:rFonts w:ascii="Arial" w:cs="Arial" w:eastAsia="Arial" w:hAnsi="Arial"/>
                <w:sz w:val="18"/>
                <w:szCs w:val="18"/>
                <w:color w:val="auto"/>
                <w:w w:val="88"/>
              </w:rPr>
              <w:t>$2,000,000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140" w:type="dxa"/>
            <w:vAlign w:val="bottom"/>
            <w:gridSpan w:val="2"/>
            <w:shd w:val="clear" w:color="auto" w:fill="CCEEFF"/>
          </w:tcPr>
          <w:p>
            <w:pPr>
              <w:jc w:val="center"/>
              <w:ind w:left="5499"/>
              <w:spacing w:after="0"/>
              <w:rPr>
                <w:sz w:val="20"/>
                <w:szCs w:val="20"/>
                <w:color w:val="auto"/>
              </w:rPr>
            </w:pPr>
            <w:r>
              <w:rPr>
                <w:rFonts w:ascii="Arial" w:cs="Arial" w:eastAsia="Arial" w:hAnsi="Arial"/>
                <w:sz w:val="18"/>
                <w:szCs w:val="18"/>
                <w:color w:val="auto"/>
                <w:w w:val="88"/>
              </w:rPr>
              <w:t>$4,000,000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140" w:type="dxa"/>
            <w:vAlign w:val="bottom"/>
            <w:gridSpan w:val="2"/>
          </w:tcPr>
          <w:p>
            <w:pPr>
              <w:jc w:val="center"/>
              <w:ind w:left="5499"/>
              <w:spacing w:after="0"/>
              <w:rPr>
                <w:sz w:val="20"/>
                <w:szCs w:val="20"/>
                <w:color w:val="auto"/>
              </w:rPr>
            </w:pPr>
            <w:r>
              <w:rPr>
                <w:rFonts w:ascii="Arial" w:cs="Arial" w:eastAsia="Arial" w:hAnsi="Arial"/>
                <w:sz w:val="18"/>
                <w:szCs w:val="18"/>
                <w:color w:val="auto"/>
                <w:w w:val="88"/>
              </w:rPr>
              <w:t>$3,000,000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140" w:type="dxa"/>
            <w:vAlign w:val="bottom"/>
            <w:gridSpan w:val="2"/>
            <w:shd w:val="clear" w:color="auto" w:fill="CCEEFF"/>
          </w:tcPr>
          <w:p>
            <w:pPr>
              <w:jc w:val="center"/>
              <w:ind w:left="5499"/>
              <w:spacing w:after="0"/>
              <w:rPr>
                <w:sz w:val="20"/>
                <w:szCs w:val="20"/>
                <w:color w:val="auto"/>
              </w:rPr>
            </w:pPr>
            <w:r>
              <w:rPr>
                <w:rFonts w:ascii="Arial" w:cs="Arial" w:eastAsia="Arial" w:hAnsi="Arial"/>
                <w:sz w:val="18"/>
                <w:szCs w:val="18"/>
                <w:color w:val="auto"/>
                <w:w w:val="88"/>
              </w:rPr>
              <w:t>$1,300,000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Company’s Incentive Plan rewards management for creation of superior return to stockholders, measured by the operating performance of our resorts. The amounts shown in the table above reflect possible payments based upon salaries in effect during the first quarter of 2011, when the performance criteria were established. Actual payouts were based upon achievement of the 2011 performance criteria of Adjusted Property EBITDA at the Company’s Wynn Las Vegas and Wynn Macau resorts which resulted in the payment of maximum bonuses under the Incentive Plan to all named executive officers.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5"/>
          </w:tcPr>
          <w:p>
            <w:pPr>
              <w:ind w:left="6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not</w:t>
            </w:r>
          </w:p>
        </w:tc>
        <w:tc>
          <w:tcPr>
            <w:tcW w:w="2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1100" w:type="dxa"/>
            <w:vAlign w:val="bottom"/>
            <w:gridSpan w:val="2"/>
          </w:tcPr>
          <w:p>
            <w:pPr>
              <w:jc w:val="center"/>
              <w:ind w:left="139"/>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Date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1100" w:type="dxa"/>
            <w:vAlign w:val="bottom"/>
            <w:gridSpan w:val="2"/>
          </w:tcPr>
          <w:p>
            <w:pPr>
              <w:jc w:val="center"/>
              <w:ind w:left="139"/>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321"/>
              <w:spacing w:after="0" w:line="203" w:lineRule="exact"/>
              <w:rPr>
                <w:sz w:val="20"/>
                <w:szCs w:val="20"/>
                <w:color w:val="auto"/>
              </w:rPr>
            </w:pPr>
            <w:r>
              <w:rPr>
                <w:rFonts w:ascii="Arial" w:cs="Arial" w:eastAsia="Arial" w:hAnsi="Arial"/>
                <w:sz w:val="18"/>
                <w:szCs w:val="18"/>
                <w:color w:val="auto"/>
                <w:w w:val="99"/>
              </w:rPr>
              <w:t>N/A</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93"/>
              </w:rPr>
              <w:t>N/A</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w w:val="93"/>
              </w:rPr>
              <w:t>N/A</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4320" w:type="dxa"/>
            <w:vAlign w:val="bottom"/>
            <w:gridSpan w:val="3"/>
          </w:tcPr>
          <w:p>
            <w:pPr>
              <w:spacing w:after="0"/>
              <w:rPr>
                <w:sz w:val="20"/>
                <w:szCs w:val="20"/>
                <w:color w:val="auto"/>
              </w:rPr>
            </w:pPr>
            <w:r>
              <w:rPr>
                <w:rFonts w:ascii="Arial" w:cs="Arial" w:eastAsia="Arial" w:hAnsi="Arial"/>
                <w:sz w:val="18"/>
                <w:szCs w:val="18"/>
                <w:color w:val="auto"/>
              </w:rPr>
              <w:t>Matt Maddox(1)</w:t>
            </w:r>
          </w:p>
        </w:tc>
        <w:tc>
          <w:tcPr>
            <w:tcW w:w="34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24"/>
                <w:szCs w:val="2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$107.95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05/06/18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92"/>
              </w:rPr>
              <w:t>$ 6,629,400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47.12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05/06/19</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47.12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05/06/19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87"/>
              </w:rPr>
              <w:t>$27,622,500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320" w:type="dxa"/>
            <w:vAlign w:val="bottom"/>
            <w:gridSpan w:val="3"/>
          </w:tcPr>
          <w:p>
            <w:pPr>
              <w:spacing w:after="0"/>
              <w:rPr>
                <w:sz w:val="20"/>
                <w:szCs w:val="20"/>
                <w:color w:val="auto"/>
              </w:rPr>
            </w:pPr>
            <w:r>
              <w:rPr>
                <w:rFonts w:ascii="Arial" w:cs="Arial" w:eastAsia="Arial" w:hAnsi="Arial"/>
                <w:sz w:val="18"/>
                <w:szCs w:val="18"/>
                <w:color w:val="auto"/>
              </w:rPr>
              <w:t>Linda Chen(3)</w:t>
            </w:r>
          </w:p>
        </w:tc>
        <w:tc>
          <w:tcPr>
            <w:tcW w:w="34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24"/>
                <w:szCs w:val="24"/>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18"/>
                <w:szCs w:val="18"/>
                <w:color w:val="auto"/>
              </w:rPr>
              <w:t>$107.95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05/06/18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10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$22,098,000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47.12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05/06/19</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$107.95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05/06/18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2"/>
              </w:rPr>
              <w:t>$ 2,762,250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47.12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05/06/19</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50,000 stock options will vest on May 6, 2012 and each anniversary thereafter until the 400,000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25,000 stock options will vest on May 6, 2012 and each anniversary thereafter until the 200,000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the Company’s stock at year-end, which was $110.49 per share.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the Company on the vesting date, except as discussed below under “Potential Payments Upon Termination or Change-in-Control.”</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2011 OPTION EXERCISES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0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20" w:type="dxa"/>
            <w:vAlign w:val="bottom"/>
            <w:vMerge w:val="restart"/>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$2,823,900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$4,894,145</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55,000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$3,333,500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$2,350,250</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25,000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left="460" w:right="2480" w:firstLine="2137"/>
        <w:spacing w:after="0" w:line="444" w:lineRule="auto"/>
        <w:rPr>
          <w:sz w:val="20"/>
          <w:szCs w:val="20"/>
          <w:color w:val="auto"/>
        </w:rPr>
      </w:pPr>
      <w:r>
        <w:rPr>
          <w:rFonts w:ascii="Arial" w:cs="Arial" w:eastAsia="Arial" w:hAnsi="Arial"/>
          <w:sz w:val="16"/>
          <w:szCs w:val="16"/>
          <w:b w:val="1"/>
          <w:bCs w:val="1"/>
          <w:color w:val="auto"/>
        </w:rPr>
        <w:t>POTENTIAL PAYMENTS UPON TERMINATION OR CHANGE-IN-CONTROL Payments Made Upon Termination Due to Death, Complete Disability or License Revocation</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Cause is defined as (i) willful destruction of property of the Company or an affiliate having a material value to the Company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 paid pursuant to the employment agreement through the end of the term (and in Mr. Wynn’s and Ms. Chen’s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2011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 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without Cause or</w:t>
            </w:r>
          </w:p>
        </w:tc>
      </w:tr>
      <w:tr>
        <w:trPr>
          <w:trHeight w:val="149"/>
        </w:trPr>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Upon</w:t>
            </w:r>
          </w:p>
        </w:tc>
        <w:tc>
          <w:tcPr>
            <w:tcW w:w="320" w:type="dxa"/>
            <w:vAlign w:val="bottom"/>
          </w:tcPr>
          <w:p>
            <w:pPr>
              <w:spacing w:after="0"/>
              <w:rPr>
                <w:sz w:val="12"/>
                <w:szCs w:val="12"/>
                <w:color w:val="auto"/>
              </w:rPr>
            </w:pPr>
          </w:p>
        </w:tc>
        <w:tc>
          <w:tcPr>
            <w:tcW w:w="17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without Cause at</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Death 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Employer’s</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Complete</w:t>
            </w:r>
          </w:p>
        </w:tc>
        <w:tc>
          <w:tcPr>
            <w:tcW w:w="320" w:type="dxa"/>
            <w:vAlign w:val="bottom"/>
          </w:tcPr>
          <w:p>
            <w:pPr>
              <w:spacing w:after="0"/>
              <w:rPr>
                <w:sz w:val="12"/>
                <w:szCs w:val="12"/>
                <w:color w:val="auto"/>
              </w:rPr>
            </w:pPr>
          </w:p>
        </w:tc>
        <w:tc>
          <w:tcPr>
            <w:tcW w:w="17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Disability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the Term</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Control</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16,000,000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44,250,000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w w:val="91"/>
              </w:rPr>
              <w:t>132,750,000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132,750,000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2,000,000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77,226,044</w:t>
            </w:r>
          </w:p>
        </w:tc>
      </w:tr>
      <w:tr>
        <w:trPr>
          <w:trHeight w:val="228"/>
        </w:trPr>
        <w:tc>
          <w:tcPr>
            <w:tcW w:w="37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286,759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286,759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Termination by</w:t>
            </w:r>
          </w:p>
        </w:tc>
      </w:tr>
      <w:tr>
        <w:trPr>
          <w:trHeight w:val="149"/>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Upon</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Death or</w:t>
            </w:r>
          </w:p>
        </w:tc>
        <w:tc>
          <w:tcPr>
            <w:tcW w:w="10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Employer’s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After</w:t>
            </w:r>
          </w:p>
        </w:tc>
      </w:tr>
      <w:tr>
        <w:trPr>
          <w:trHeight w:val="149"/>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Complete</w:t>
            </w:r>
          </w:p>
        </w:tc>
        <w:tc>
          <w:tcPr>
            <w:tcW w:w="18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the Term</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416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1,916,667</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1,916,667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3,833,333</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3,833,333</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22,127,800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4,158,996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6,919,000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N/A</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8"/>
        </w:trPr>
        <w:tc>
          <w:tcPr>
            <w:tcW w:w="416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126,042</w:t>
            </w:r>
          </w:p>
        </w:tc>
        <w:tc>
          <w:tcPr>
            <w:tcW w:w="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19"/>
                <w:szCs w:val="19"/>
                <w:color w:val="auto"/>
              </w:rPr>
            </w:pPr>
          </w:p>
        </w:tc>
      </w:tr>
      <w:tr>
        <w:trPr>
          <w:trHeight w:val="350"/>
        </w:trPr>
        <w:tc>
          <w:tcPr>
            <w:tcW w:w="4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30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spacing w:after="0" w:line="2" w:lineRule="exact"/>
        <w:rPr>
          <w:rFonts w:ascii="Arial" w:cs="Arial" w:eastAsia="Arial" w:hAnsi="Arial"/>
          <w:sz w:val="15"/>
          <w:szCs w:val="15"/>
          <w:color w:val="auto"/>
        </w:rPr>
      </w:pPr>
    </w:p>
    <w:p>
      <w:pPr>
        <w:ind w:left="460" w:right="2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2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the Company has not terminated or expired. Using the closing price on December 31, 2011, the value of such 50,000 shares would have been $5,524,500 plus accrued dividends of $950,000.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the Company has not terminated or expired, and another 10,000 shares of restricted stock would vest prorated based on the number of months since the grant date regardless of the status of the employee’s employment contract. Using the closing price on December 31, 2011, the value of such 30,246 shares would have been $3,341,928, plus accrued dividends of $629,682.</w:t>
      </w:r>
    </w:p>
    <w:p>
      <w:pPr>
        <w:spacing w:after="0" w:line="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Termination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Termination by</w:t>
            </w:r>
          </w:p>
        </w:tc>
      </w:tr>
      <w:tr>
        <w:trPr>
          <w:trHeight w:val="149"/>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without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Upon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Cause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Good Reason</w:t>
            </w:r>
          </w:p>
        </w:tc>
      </w:tr>
      <w:tr>
        <w:trPr>
          <w:trHeight w:val="149"/>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Death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Employer’s</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After</w:t>
            </w:r>
          </w:p>
        </w:tc>
      </w:tr>
      <w:tr>
        <w:trPr>
          <w:trHeight w:val="149"/>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Complete</w:t>
            </w:r>
          </w:p>
        </w:tc>
        <w:tc>
          <w:tcPr>
            <w:tcW w:w="38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Election During</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the Term</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552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2,000,000</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7"/>
              </w:rPr>
              <w:t>unpaid through the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date of termination.</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4,000,000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57,720,500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12,882,938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32,372,500</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2,000,000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N/A</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8"/>
        </w:trPr>
        <w:tc>
          <w:tcPr>
            <w:tcW w:w="55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63,357</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4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400,000 would vest in full immediately. Using the closing price on December 31, 2011, the value of such stock options upon exercise would have been $25,348,000.</w:t>
      </w:r>
    </w:p>
    <w:p>
      <w:pPr>
        <w:ind w:left="460" w:right="20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2011, the value of such restricted stock grants upon vesting would have been $27,622,500, plus accrued dividends of $4,750,000.</w:t>
      </w:r>
    </w:p>
    <w:p>
      <w:pPr>
        <w:spacing w:after="0" w:line="1" w:lineRule="exact"/>
        <w:rPr>
          <w:rFonts w:ascii="Arial" w:cs="Arial" w:eastAsia="Arial" w:hAnsi="Arial"/>
          <w:sz w:val="18"/>
          <w:szCs w:val="18"/>
          <w:color w:val="auto"/>
        </w:rPr>
      </w:pPr>
    </w:p>
    <w:p>
      <w:pPr>
        <w:jc w:val="both"/>
        <w:ind w:left="460" w:right="16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2011, the value of such 99,490 shares would have been $10,992,628 plus accrued dividends of $1,890,310.</w:t>
      </w:r>
    </w:p>
    <w:p>
      <w:pPr>
        <w:spacing w:after="0" w:line="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Termination by</w:t>
            </w:r>
          </w:p>
        </w:tc>
      </w:tr>
      <w:tr>
        <w:trPr>
          <w:trHeight w:val="149"/>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Upon</w:t>
            </w:r>
          </w:p>
        </w:tc>
        <w:tc>
          <w:tcPr>
            <w:tcW w:w="100" w:type="dxa"/>
            <w:vAlign w:val="bottom"/>
          </w:tcPr>
          <w:p>
            <w:pPr>
              <w:spacing w:after="0"/>
              <w:rPr>
                <w:sz w:val="12"/>
                <w:szCs w:val="12"/>
                <w:color w:val="auto"/>
              </w:rPr>
            </w:pPr>
          </w:p>
        </w:tc>
        <w:tc>
          <w:tcPr>
            <w:tcW w:w="17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Employer’s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Good</w:t>
            </w:r>
          </w:p>
        </w:tc>
      </w:tr>
      <w:tr>
        <w:trPr>
          <w:trHeight w:val="149"/>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5"/>
              </w:rPr>
              <w:t>Death or</w:t>
            </w:r>
          </w:p>
        </w:tc>
        <w:tc>
          <w:tcPr>
            <w:tcW w:w="100" w:type="dxa"/>
            <w:vAlign w:val="bottom"/>
          </w:tcPr>
          <w:p>
            <w:pPr>
              <w:spacing w:after="0"/>
              <w:rPr>
                <w:sz w:val="12"/>
                <w:szCs w:val="12"/>
                <w:color w:val="auto"/>
              </w:rPr>
            </w:pPr>
          </w:p>
        </w:tc>
        <w:tc>
          <w:tcPr>
            <w:tcW w:w="17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Complete</w:t>
            </w:r>
          </w:p>
        </w:tc>
        <w:tc>
          <w:tcPr>
            <w:tcW w:w="100" w:type="dxa"/>
            <w:vAlign w:val="bottom"/>
          </w:tcPr>
          <w:p>
            <w:pPr>
              <w:spacing w:after="0"/>
              <w:rPr>
                <w:sz w:val="12"/>
                <w:szCs w:val="12"/>
                <w:color w:val="auto"/>
              </w:rPr>
            </w:pPr>
          </w:p>
        </w:tc>
        <w:tc>
          <w:tcPr>
            <w:tcW w:w="17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7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42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5"/>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6,000,000</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7"/>
              </w:rPr>
              <w:t>unpaid through the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12,000,000</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28,602,300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18,420,722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13,393,500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Macau Executive Residence(5)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8,312,316</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1,500,000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N/A</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11,247,166</w:t>
            </w:r>
          </w:p>
        </w:tc>
        <w:tc>
          <w:tcPr>
            <w:tcW w:w="100" w:type="dxa"/>
            <w:vAlign w:val="bottom"/>
            <w:shd w:val="clear" w:color="auto" w:fill="CCEEFF"/>
          </w:tcPr>
          <w:p>
            <w:pPr>
              <w:spacing w:after="0"/>
              <w:rPr>
                <w:sz w:val="18"/>
                <w:szCs w:val="18"/>
                <w:color w:val="auto"/>
              </w:rPr>
            </w:pPr>
          </w:p>
        </w:tc>
      </w:tr>
      <w:tr>
        <w:trPr>
          <w:trHeight w:val="228"/>
        </w:trPr>
        <w:tc>
          <w:tcPr>
            <w:tcW w:w="424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ind w:left="460" w:right="1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580" w:hanging="452"/>
        <w:spacing w:after="0" w:line="28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2011, the value of such 100,000 shares would have been $11,049,000, plus accrued dividends of $1,900,000.</w:t>
      </w:r>
    </w:p>
    <w:p>
      <w:pPr>
        <w:spacing w:after="0" w:line="1" w:lineRule="exact"/>
        <w:rPr>
          <w:rFonts w:ascii="Arial" w:cs="Arial" w:eastAsia="Arial" w:hAnsi="Arial"/>
          <w:sz w:val="16"/>
          <w:szCs w:val="16"/>
          <w:color w:val="auto"/>
        </w:rPr>
      </w:pPr>
    </w:p>
    <w:p>
      <w:pPr>
        <w:jc w:val="both"/>
        <w:ind w:left="460" w:right="280" w:hanging="452"/>
        <w:spacing w:after="0" w:line="300"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2011, the value of such 132,442 shares would have been $14,633,518, plus accrued dividends of $3,599,818.</w:t>
      </w:r>
    </w:p>
    <w:p>
      <w:pPr>
        <w:ind w:left="460" w:right="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 The amount reflected in the table represents the fair market value of the residence at December 31, 2011.</w:t>
      </w:r>
    </w:p>
    <w:p>
      <w:pPr>
        <w:ind w:left="4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the retention award will vest on a prorated basis equal to the number of full calendar months elapsed between the grant date and the date of such termination of employment divided by 120.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Termination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7"/>
              </w:rPr>
              <w:t>Termination by</w:t>
            </w:r>
          </w:p>
        </w:tc>
      </w:tr>
      <w:tr>
        <w:trPr>
          <w:trHeight w:val="149"/>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Employee for</w:t>
            </w:r>
          </w:p>
        </w:tc>
      </w:tr>
      <w:tr>
        <w:trPr>
          <w:trHeight w:val="149"/>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Upon</w:t>
            </w:r>
          </w:p>
        </w:tc>
        <w:tc>
          <w:tcPr>
            <w:tcW w:w="10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Employer’s</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Good</w:t>
            </w:r>
          </w:p>
        </w:tc>
      </w:tr>
      <w:tr>
        <w:trPr>
          <w:trHeight w:val="149"/>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Death or</w:t>
            </w:r>
          </w:p>
        </w:tc>
        <w:tc>
          <w:tcPr>
            <w:tcW w:w="10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Election</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Complete</w:t>
            </w:r>
          </w:p>
        </w:tc>
        <w:tc>
          <w:tcPr>
            <w:tcW w:w="100" w:type="dxa"/>
            <w:vAlign w:val="bottom"/>
          </w:tcPr>
          <w:p>
            <w:pPr>
              <w:spacing w:after="0"/>
              <w:rPr>
                <w:sz w:val="12"/>
                <w:szCs w:val="12"/>
                <w:color w:val="auto"/>
              </w:rPr>
            </w:pP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Change in</w:t>
            </w:r>
          </w:p>
        </w:tc>
      </w:tr>
      <w:tr>
        <w:trPr>
          <w:trHeight w:val="161"/>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Term</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426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7"/>
              </w:rPr>
              <w:t>Amount earned and</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1,516,667</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1,516,667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unpaid through the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1,300,000</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1,300,000</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16,101,750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1,445,002</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3,427,750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650,000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N/A</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28"/>
        </w:trPr>
        <w:tc>
          <w:tcPr>
            <w:tcW w:w="426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156,086</w:t>
            </w:r>
          </w:p>
        </w:tc>
        <w:tc>
          <w:tcPr>
            <w:tcW w:w="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2011, the value of such stock options upon exercise would have been $190,500. Upon termination without cause, 75,000 stock options would vest on a prorated basis based on the number of months since the grant date, so long as the employee’s employment agreement with the Company has not terminated or expired. Using the closing price on December 31, 2011, the value of such 31,617 stock options upon exercise would have been $80,307.</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200,000 would vest in full immediately. Using the closing price on December 31, 2011, the value of such stock options upon exercise would have been $12,674,000.</w:t>
      </w: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2011, the value of such restricted stock grants upon vesting would have been $2,762,250, plus accrued dividends of $475,000.</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2011, the value of such 10,539 shares would have been $1,164,454 plus accrued dividends of $200,241.</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as of April 16, 2012, (unless otherwise indicated), certain information regarding the shares of the Company’s common stock beneficially owned by: (i) each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and directors as a group. There were 100,512,724 shares outstanding as of April 16, 2012.</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5420" w:type="dxa"/>
            <w:vAlign w:val="bottom"/>
            <w:vMerge w:val="restart"/>
          </w:tcPr>
          <w:p>
            <w:pPr>
              <w:spacing w:after="0"/>
              <w:rPr>
                <w:sz w:val="14"/>
                <w:szCs w:val="14"/>
                <w:color w:val="auto"/>
              </w:rPr>
            </w:pPr>
          </w:p>
        </w:tc>
        <w:tc>
          <w:tcPr>
            <w:tcW w:w="162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6"/>
              </w:rPr>
              <w:t>Of Shares(1)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5420" w:type="dxa"/>
            <w:vAlign w:val="bottom"/>
            <w:vMerge w:val="continue"/>
          </w:tcPr>
          <w:p>
            <w:pPr>
              <w:spacing w:after="0"/>
              <w:rPr>
                <w:sz w:val="11"/>
                <w:szCs w:val="11"/>
                <w:color w:val="auto"/>
              </w:rPr>
            </w:pPr>
          </w:p>
        </w:tc>
        <w:tc>
          <w:tcPr>
            <w:tcW w:w="16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Wynn(3)(9)</w:t>
            </w:r>
          </w:p>
        </w:tc>
        <w:tc>
          <w:tcPr>
            <w:tcW w:w="8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10,026,708</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Elaine P. Wynn(3)(9)</w:t>
            </w:r>
          </w:p>
        </w:tc>
        <w:tc>
          <w:tcPr>
            <w:tcW w:w="840" w:type="dxa"/>
            <w:vAlign w:val="bottom"/>
          </w:tcPr>
          <w:p>
            <w:pPr>
              <w:jc w:val="right"/>
              <w:spacing w:after="0"/>
              <w:rPr>
                <w:sz w:val="20"/>
                <w:szCs w:val="20"/>
                <w:color w:val="auto"/>
              </w:rPr>
            </w:pPr>
            <w:r>
              <w:rPr>
                <w:rFonts w:ascii="Arial" w:cs="Arial" w:eastAsia="Arial" w:hAnsi="Arial"/>
                <w:sz w:val="18"/>
                <w:szCs w:val="18"/>
                <w:color w:val="auto"/>
              </w:rPr>
              <w:t>9,742,150</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18,066,873</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6300 Lamar Avenue</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Overland Park, KS 66202</w:t>
            </w: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20" w:type="dxa"/>
            <w:vAlign w:val="bottom"/>
            <w:gridSpan w:val="2"/>
          </w:tcPr>
          <w:p>
            <w:pPr>
              <w:spacing w:after="0"/>
              <w:rPr>
                <w:sz w:val="20"/>
                <w:szCs w:val="20"/>
                <w:color w:val="auto"/>
              </w:rPr>
            </w:pPr>
            <w:r>
              <w:rPr>
                <w:rFonts w:ascii="Arial" w:cs="Arial" w:eastAsia="Arial" w:hAnsi="Arial"/>
                <w:sz w:val="18"/>
                <w:szCs w:val="18"/>
                <w:color w:val="auto"/>
              </w:rPr>
              <w:t>Marsico Capital Management, LLC(5)</w:t>
            </w:r>
          </w:p>
        </w:tc>
        <w:tc>
          <w:tcPr>
            <w:tcW w:w="840" w:type="dxa"/>
            <w:vAlign w:val="bottom"/>
          </w:tcPr>
          <w:p>
            <w:pPr>
              <w:jc w:val="right"/>
              <w:spacing w:after="0"/>
              <w:rPr>
                <w:sz w:val="20"/>
                <w:szCs w:val="20"/>
                <w:color w:val="auto"/>
              </w:rPr>
            </w:pPr>
            <w:r>
              <w:rPr>
                <w:rFonts w:ascii="Arial" w:cs="Arial" w:eastAsia="Arial" w:hAnsi="Arial"/>
                <w:sz w:val="18"/>
                <w:szCs w:val="18"/>
                <w:color w:val="auto"/>
              </w:rPr>
              <w:t>8,476,973</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ind w:left="440"/>
              <w:spacing w:after="0"/>
              <w:rPr>
                <w:sz w:val="20"/>
                <w:szCs w:val="20"/>
                <w:color w:val="auto"/>
              </w:rPr>
            </w:pPr>
            <w:r>
              <w:rPr>
                <w:rFonts w:ascii="Arial" w:cs="Arial" w:eastAsia="Arial" w:hAnsi="Arial"/>
                <w:sz w:val="18"/>
                <w:szCs w:val="18"/>
                <w:color w:val="auto"/>
              </w:rPr>
              <w:t>Denver, Colorado 80202</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840" w:type="dxa"/>
            <w:vAlign w:val="bottom"/>
          </w:tcPr>
          <w:p>
            <w:pPr>
              <w:jc w:val="right"/>
              <w:spacing w:after="0"/>
              <w:rPr>
                <w:sz w:val="20"/>
                <w:szCs w:val="20"/>
                <w:color w:val="auto"/>
              </w:rPr>
            </w:pPr>
            <w:r>
              <w:rPr>
                <w:rFonts w:ascii="Arial" w:cs="Arial" w:eastAsia="Arial" w:hAnsi="Arial"/>
                <w:sz w:val="18"/>
                <w:szCs w:val="18"/>
                <w:color w:val="auto"/>
              </w:rPr>
              <w:t>42,720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Kazuo Okada(9)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John A. Moran(11)(13)</w:t>
            </w:r>
          </w:p>
        </w:tc>
        <w:tc>
          <w:tcPr>
            <w:tcW w:w="840" w:type="dxa"/>
            <w:vAlign w:val="bottom"/>
          </w:tcPr>
          <w:p>
            <w:pPr>
              <w:jc w:val="right"/>
              <w:spacing w:after="0"/>
              <w:rPr>
                <w:sz w:val="20"/>
                <w:szCs w:val="20"/>
                <w:color w:val="auto"/>
              </w:rPr>
            </w:pPr>
            <w:r>
              <w:rPr>
                <w:rFonts w:ascii="Arial" w:cs="Arial" w:eastAsia="Arial" w:hAnsi="Arial"/>
                <w:sz w:val="18"/>
                <w:szCs w:val="18"/>
                <w:color w:val="auto"/>
              </w:rPr>
              <w:t>193,220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840" w:type="dxa"/>
            <w:vAlign w:val="bottom"/>
          </w:tcPr>
          <w:p>
            <w:pPr>
              <w:jc w:val="right"/>
              <w:spacing w:after="0"/>
              <w:rPr>
                <w:sz w:val="20"/>
                <w:szCs w:val="20"/>
                <w:color w:val="auto"/>
              </w:rPr>
            </w:pPr>
            <w:r>
              <w:rPr>
                <w:rFonts w:ascii="Arial" w:cs="Arial" w:eastAsia="Arial" w:hAnsi="Arial"/>
                <w:sz w:val="18"/>
                <w:szCs w:val="18"/>
                <w:color w:val="auto"/>
              </w:rPr>
              <w:t>43,220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93,220</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Allan Zeman(12)</w:t>
            </w:r>
          </w:p>
        </w:tc>
        <w:tc>
          <w:tcPr>
            <w:tcW w:w="840" w:type="dxa"/>
            <w:vAlign w:val="bottom"/>
          </w:tcPr>
          <w:p>
            <w:pPr>
              <w:jc w:val="right"/>
              <w:spacing w:after="0"/>
              <w:rPr>
                <w:sz w:val="20"/>
                <w:szCs w:val="20"/>
                <w:color w:val="auto"/>
              </w:rPr>
            </w:pPr>
            <w:r>
              <w:rPr>
                <w:rFonts w:ascii="Arial" w:cs="Arial" w:eastAsia="Arial" w:hAnsi="Arial"/>
                <w:sz w:val="18"/>
                <w:szCs w:val="18"/>
                <w:color w:val="auto"/>
              </w:rPr>
              <w:t>33,220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John Strzemp(16)</w:t>
            </w:r>
          </w:p>
        </w:tc>
        <w:tc>
          <w:tcPr>
            <w:tcW w:w="840" w:type="dxa"/>
            <w:vAlign w:val="bottom"/>
          </w:tcPr>
          <w:p>
            <w:pPr>
              <w:jc w:val="right"/>
              <w:spacing w:after="0"/>
              <w:rPr>
                <w:sz w:val="20"/>
                <w:szCs w:val="20"/>
                <w:color w:val="auto"/>
              </w:rPr>
            </w:pPr>
            <w:r>
              <w:rPr>
                <w:rFonts w:ascii="Arial" w:cs="Arial" w:eastAsia="Arial" w:hAnsi="Arial"/>
                <w:sz w:val="18"/>
                <w:szCs w:val="18"/>
                <w:color w:val="auto"/>
              </w:rPr>
              <w:t>250,500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65,887</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(15 persons)(18)</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21,219,785</w:t>
            </w:r>
          </w:p>
        </w:tc>
        <w:tc>
          <w:tcPr>
            <w:tcW w:w="7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jc w:val="both"/>
        <w:ind w:left="460" w:right="140" w:hanging="452"/>
        <w:spacing w:after="0" w:line="30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This table is based upon information supplied by officers, directors,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 w:lineRule="exact"/>
        <w:rPr>
          <w:rFonts w:ascii="Arial" w:cs="Arial" w:eastAsia="Arial" w:hAnsi="Arial"/>
          <w:sz w:val="15"/>
          <w:szCs w:val="15"/>
          <w:color w:val="auto"/>
        </w:rPr>
      </w:pPr>
    </w:p>
    <w:p>
      <w:pPr>
        <w:ind w:left="460" w:right="3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10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to which Mr. Wynn and Elaine P. Wynn have shared voting and dispositive power with respect to shares subject to the Stockholders Agreement. Each disclaims beneficial ownership of shares held by the other.</w:t>
      </w:r>
    </w:p>
    <w:p>
      <w:pPr>
        <w:spacing w:after="0" w:line="2"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2011. The information provided is based upon a Schedule 13G/A filed on February 14, 2012, filed by</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2" w:lineRule="auto"/>
        <w:rPr>
          <w:sz w:val="20"/>
          <w:szCs w:val="20"/>
          <w:color w:val="auto"/>
        </w:rPr>
      </w:pPr>
      <w:r>
        <w:rPr>
          <w:rFonts w:ascii="Arial" w:cs="Arial" w:eastAsia="Arial" w:hAnsi="Arial"/>
          <w:sz w:val="18"/>
          <w:szCs w:val="18"/>
          <w:color w:val="auto"/>
        </w:rPr>
        <w:t>Waddell. Waddell has sole voting and dispositive power as to 18,066,873 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poser as to 4,518,938 shares. Ivy Investment Management Company, a subsidiary of Waddell, has sole voting and dispositive power as to 13,547,935 shares.</w:t>
      </w:r>
    </w:p>
    <w:p>
      <w:pPr>
        <w:ind w:left="4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dated February 14, 2012, filed by Marsico.</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the Company’s 2002 Stock Plan and subject to a Restricted Stock Agreement which provides such grant will vest on July 31, 2012; (ii) 100,000 shares of restricted stock granted pursuant to the Company’s 2002 Stock Plan and subject to a Restricted Stock Agreement which provides such grant will vest on December 5, 2016; and (iii) 30,000 shares that may be acquired within 60 days pursuant to outstanding stock options.</w:t>
      </w:r>
    </w:p>
    <w:p>
      <w:pPr>
        <w:spacing w:after="0" w:line="1" w:lineRule="exact"/>
        <w:rPr>
          <w:rFonts w:ascii="Arial" w:cs="Arial" w:eastAsia="Arial" w:hAnsi="Arial"/>
          <w:sz w:val="18"/>
          <w:szCs w:val="18"/>
          <w:color w:val="auto"/>
        </w:rPr>
      </w:pPr>
    </w:p>
    <w:p>
      <w:pPr>
        <w:ind w:left="460" w:hanging="452"/>
        <w:spacing w:after="0" w:line="300"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(i) 12,000 shares subject to an immediately exercisable option to purchase Wynn Resorts’ common stock granted pursuant to Wynn Resorts’ 2002 Stock Incentive Plan; (ii) 2,500 unvested shares of restricted stock of the Company’s common stock granted pursuant to the Company’s 2002 Stock Plan; (iii) 1,300 shares owned as Trustee for which Mr. Goldsmith disclaims beneficial ownership; (iv) 1,500 shares through a company for which Mr. Goldsmith disclaims beneficial ownership of 1,470 shares; and (v) 2,720 shares that may be acquired within 60 days pursuant to outstanding stock options.</w:t>
      </w:r>
    </w:p>
    <w:p>
      <w:pPr>
        <w:spacing w:after="0" w:line="1" w:lineRule="exact"/>
        <w:rPr>
          <w:rFonts w:ascii="Arial" w:cs="Arial" w:eastAsia="Arial" w:hAnsi="Arial"/>
          <w:sz w:val="15"/>
          <w:szCs w:val="15"/>
          <w:color w:val="auto"/>
        </w:rPr>
      </w:pPr>
    </w:p>
    <w:p>
      <w:pPr>
        <w:ind w:left="4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13,000 shares subject to an immediately exercisable option to purchase Wynn Resorts’ common stock granted pursuant to Wynn Resorts’ 2002 Stock Incentive Plan; (ii) 5,000 unvested shares of restricted stock of the Company’s common stock granted pursuant to the Company’s 2002 Stock Plan; and (iii) 2,720 shares that may be acquired within 60 days pursuant to outstanding stock options.</w:t>
      </w:r>
    </w:p>
    <w:p>
      <w:pPr>
        <w:spacing w:after="0" w:line="2" w:lineRule="exact"/>
        <w:rPr>
          <w:rFonts w:ascii="Arial" w:cs="Arial" w:eastAsia="Arial" w:hAnsi="Arial"/>
          <w:sz w:val="16"/>
          <w:szCs w:val="16"/>
          <w:color w:val="auto"/>
        </w:rPr>
      </w:pPr>
    </w:p>
    <w:p>
      <w:pPr>
        <w:ind w:left="460" w:right="160" w:hanging="452"/>
        <w:spacing w:after="0" w:line="300"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February 18, 2012, the Company redeemed the 24,549,222 shares then held by Aruze USA (the “Aruze Shares”), pursuant to Article VII of the Company’s Articles of Incorporation based on the determination of the Company’s Board of Directors that Aruze USA, Universal Entertainment Corporation and Mr. Kazuo Okada are “Unsuitable Persons” under the provisions of the Company’s Articles of Incorporation. As a result of the share redemption described below, the shares previously held by Aruze are no longer issued and outstanding and neither Mr. Wynn nor Ms. Wynn has or shares the power to vote or dispose of the Aruze Shares formerly held by Aruze USA. Further, by virtue of that redemption, neither Mr. Wynn nor Ms. Wynn remains a member of any “group” with Aruze USA nor is either of Mr. Wynn or Ms. Wynn otherwise a beneficial owner of the former Aruze Shares.</w:t>
      </w:r>
    </w:p>
    <w:p>
      <w:pPr>
        <w:spacing w:after="0" w:line="2" w:lineRule="exact"/>
        <w:rPr>
          <w:rFonts w:ascii="Arial" w:cs="Arial" w:eastAsia="Arial" w:hAnsi="Arial"/>
          <w:sz w:val="15"/>
          <w:szCs w:val="15"/>
          <w:color w:val="auto"/>
        </w:rPr>
      </w:pPr>
    </w:p>
    <w:p>
      <w:pPr>
        <w:ind w:left="460" w:right="1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13,000 shares subject to immediately exercisable options to purchase Wynn Resorts’ common stock granted pursuant to Wynn Resorts’ 2002 Stock Incentive Plan; (ii) 5,000 unvested shares and 2,500 vested shares of restricted stock of the Company’s common stock granted pursuant to the Company’s 2002 Stock Plan; and (iii) 2,720 shares that may be acquired within 60 days pursuant to outstanding stock options.</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33,000 shares subject to immediately exercisable options to purchase Wynn Resorts’ common stock granted pursuant to Wynn Resorts’ 2002 Stock Incentive Plan; (ii) 5,000 unvested shares and 2,500 vested shares of restricted stock of the Company’s common stock granted pursuant to the Company’s 2002 Stock Plan; and (iii) 2,720 shares that may be acquired within 60 days pursuant to outstanding stock options.</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(i) 23,000 shares subject to immediately exercisable options to purchase Wynn Resorts’ common stock granted pursuant to Wynn Resorts’ 2002 Stock Incentive Plan; (ii) 5,000 unvested shares and 2,500 vested shares of restricted stock of the Company’s common stock granted pursuant to the Company’s 2002 Stock Plan; and (iii) 2,720 shares that may be acquired within 60 days pursuant to outstanding stock options.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150,000 shares of the Company’s common stock held by John A. Moran, as Trustee.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80" w:hanging="452"/>
        <w:spacing w:after="0" w:line="305"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(i) 250,000 shares of restricted stock granted pursuant to the Company’s 2002 Stock Plan and subject to a Restricted Stock Agreement which provides such grant will vest on December 5, 2016; and (ii) 50,0000 shares that may be acquired within 60 days pursuant to outstanding stock options.</w:t>
      </w:r>
    </w:p>
    <w:p>
      <w:pPr>
        <w:ind w:left="460" w:right="1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the Company’s 2002 Stock Purchase Plan and subject to a Restricted Stock Agreement which provides such grant will vest on December 5, 2016; (ii) 10,000 shares of restricted stock granted pursuant to the Company’s 2002 Stock Purchase Plan and subject to a Restricted Stock Agreement which provides such grant will vest on May 7, 2012; and (iii) 30,000 shares that may be acquired within 60 days pursuant to outstanding stock options.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500 shares of the Company’s common stock held by Mr. Strzemp’s mother, for which Mr. Strzemp disclaims beneficial ownership; (ii) 50,000 shares subject to immediately exercisable options to purchase Wynn Resorts Common Stock pursuant to Wynn Resorts’ 2002 Stock Incentive Plan; and (iii) 5,000 shares that may be acquired within 60 days pursuant to outstanding stock options.</w:t>
      </w:r>
    </w:p>
    <w:p>
      <w:pPr>
        <w:spacing w:after="0" w:line="1" w:lineRule="exact"/>
        <w:rPr>
          <w:rFonts w:ascii="Arial" w:cs="Arial" w:eastAsia="Arial" w:hAnsi="Arial"/>
          <w:sz w:val="18"/>
          <w:szCs w:val="18"/>
          <w:color w:val="auto"/>
        </w:rPr>
      </w:pPr>
    </w:p>
    <w:p>
      <w:pPr>
        <w:jc w:val="both"/>
        <w:ind w:left="460" w:right="460" w:hanging="452"/>
        <w:spacing w:after="0" w:line="30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(i) 25,000 shares of restricted stock granted pursuant to the Company’s 2002 Stock Plan and subject to a Restricted Stock Agreement which provides such grant will vest on December 5, 2016; and (ii) 25,000 shares that may be acquired within 60 days pursuant to outstanding stock options.</w:t>
      </w:r>
    </w:p>
    <w:p>
      <w:pPr>
        <w:ind w:left="460" w:right="66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210,000 shares subject to immediately exercisable stock options; and 159,040 shares that may be acquired in the next 60 days pursuant to outstanding stock options.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2011,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80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Weighted-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for Future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be Issued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Price of</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Plans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Options,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Warrants</w:t>
            </w:r>
          </w:p>
        </w:tc>
        <w:tc>
          <w:tcPr>
            <w:tcW w:w="800" w:type="dxa"/>
            <w:vAlign w:val="bottom"/>
          </w:tcPr>
          <w:p>
            <w:pPr>
              <w:spacing w:after="0"/>
              <w:rPr>
                <w:sz w:val="12"/>
                <w:szCs w:val="12"/>
                <w:color w:val="auto"/>
              </w:rPr>
            </w:pPr>
          </w:p>
        </w:tc>
        <w:tc>
          <w:tcPr>
            <w:tcW w:w="15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Warrants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58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Rights(1)</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Rights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column(a))</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9"/>
              </w:rPr>
              <w:t>(b)</w:t>
            </w: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4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7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2,729,124</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63.49</w:t>
            </w:r>
          </w:p>
        </w:tc>
        <w:tc>
          <w:tcPr>
            <w:tcW w:w="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4,098,336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2,729,124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8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794,500 shares of unvested restricted stock awards outstanding under the stockholder-approved plan.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Historically, the Audit Committee of the Board of Directors has reviewed for approval or ratification all transactions between the Company and any related person, regardless of amount. In February 2012, the Audit Committee updated its policy.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classifies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b w:val="1"/>
          <w:bCs w:val="1"/>
          <w:color w:val="auto"/>
        </w:rPr>
        <w:t xml:space="preserve">Stockholders Agreement. </w:t>
      </w:r>
      <w:r>
        <w:rPr>
          <w:rFonts w:ascii="Arial" w:cs="Arial" w:eastAsia="Arial" w:hAnsi="Arial"/>
          <w:sz w:val="15"/>
          <w:szCs w:val="15"/>
          <w:color w:val="auto"/>
        </w:rPr>
        <w:t>On January 6, 2010, Mr. Wynn, the Chairman of the Board and Chief Executive Officer of the Company, Elaine P. Wynn, a</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 of the Company, and Aruze USA, each greater than 5% stockholders of the Company, entered into an Amended and Restated Stockholders Agreement (the “Amended and Restated Stockholders Agreement”) whereby that certain Stockholders Agreement, entered into as of April 11, 2002, between Mr. Wynn and Aruze, as amended by that certain Amendment to Stockholders Agreement, entered into as of November 8, 2006, between Mr. Wynn and Aruze,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the Company’s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Aruze Shares formerly held by Aruze USA. Further, by virtue of that redemption, neither Mr. Wynn nor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Ms. Wynn remains a member of any “group” with Aruze USA nor is either of Mr. Wynn or Ms. Wynn otherwise a beneficial owner of the former Aruze Shares.</w:t>
      </w:r>
    </w:p>
    <w:p>
      <w:pPr>
        <w:spacing w:after="0" w:line="182"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Share Redemption. </w:t>
      </w:r>
      <w:r>
        <w:rPr>
          <w:rFonts w:ascii="Arial" w:cs="Arial" w:eastAsia="Arial" w:hAnsi="Arial"/>
          <w:sz w:val="16"/>
          <w:szCs w:val="16"/>
          <w:color w:val="auto"/>
        </w:rPr>
        <w:t>On February 18, 2012, the Company redeemed the 24,549,222 shares then held by Aruze USA (the “Aruze Shares”),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VII of the Company’s Articles of Incorporation based on the determination of the Company’s Board of Directors that Aruze USA, Universal Entertainment Corporation and Mr. Kazuo Okada are “Unsuitable Persons” under the provisions of the Company’s Articles of Incorporation. Following a finding of “unsuitability,” Wynn Resorts’ articles authorize redemption at “fair value” of the shares held by unsuitable persons. The Company engaged an independent financial advisor to assist in the fair value calculation and concluded that a discount to the current trading price was appropriate because of, among other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things, restrictions on most of the shares which are subject to the terms of an existing stockholder agreement. Pursuant to the articles of incorporation, Wynn Resorts issued the Redemption Price Promissory Note (the “Note”) to Aruze USA, Inc. in redemption of the shares.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Note has a principal amount of $1,936,442,631.36, matures on February 18, 2022 and bears interest at the rate of 2% per annum, payable annually in arrears on each anniversary of the date of the Note.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w:t>
      </w:r>
    </w:p>
    <w:p>
      <w:pPr>
        <w:spacing w:after="0" w:line="114"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Artwork. </w:t>
      </w:r>
      <w:r>
        <w:rPr>
          <w:rFonts w:ascii="Arial" w:cs="Arial" w:eastAsia="Arial" w:hAnsi="Arial"/>
          <w:sz w:val="18"/>
          <w:szCs w:val="18"/>
          <w:color w:val="auto"/>
        </w:rPr>
        <w:t>Since June 2006, Wynn Las Vegas has leased certain pieces of fine art from Mr. Wynn for an annual fee of one dollar ($1). Wynn Las Vegas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all expenses incurred in exhibiting and safeguarding those works that it exhibits under the lease, including the cost of insurance (including terrorism insurance) and taxes.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Mr. Wynn currently leases a villa suite at Wynn Las Vegas. Until March 31, 2011, Elaine P. Wynn also leased a villa suite at Wynn Las Vegas.</w:t>
      </w:r>
    </w:p>
    <w:p>
      <w:pPr>
        <w:spacing w:after="0" w:line="2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two fairway villas to serve as Mr. Wynn’s personal residence. The SW Lease amends and restates the prior lease. The SW Lease was approved by the Audit Committee of the Board of Directors of the Company. The term of the lease commenced as of March 1, 2010 and runs concurrent with Mr. Wynn’s employment agreement with the Company; provided that either party may terminate on 90 days notice. Pursuant to the SW Lease, the rental value of the fairway villas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for in the lease, the rental value for Mr. Wynn’s villa will be re-determined every two years during the term of the lease based upon an independent third-party appraisal. Certain services for, and maintenance of, the fairway villas are included in the rental.</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“New EW Lease”) for the lease of a villa suite as Elaine P. Wynn’s personal residence. The New EW Lease was approved by the Audit Committee of the Board of Directors of the Company. The term of the lease commenced as of March 1, 2010 and terminated December 31, 2010. In 2011, the lease continued on a month-to-month basis and was terminated effective March 31, 2011. Pursuant to the terms of the New EW Lease, Elaine P. Wynn paid annual rent equal to $350,000, which amount was determined based on a third-party appraisal. Certain services for, and maintenance of, the villa suite were included in the rental.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b w:val="1"/>
          <w:bCs w:val="1"/>
          <w:color w:val="auto"/>
        </w:rPr>
        <w:t xml:space="preserve">Home Purchase. </w:t>
      </w:r>
      <w:r>
        <w:rPr>
          <w:rFonts w:ascii="Arial" w:cs="Arial" w:eastAsia="Arial" w:hAnsi="Arial"/>
          <w:sz w:val="15"/>
          <w:szCs w:val="15"/>
          <w:color w:val="auto"/>
        </w:rPr>
        <w:t>In May 2010, the Company entered into a new employment agreement with Linda Chen, who is also a director. The term of the new</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agreement is through February 24, 2020. Under the terms of the new employment agreement, the Company purchased a home in Macau for use by Ms. Chen for approximately $5.4 million, and through December 31, 2011, had made improvements with costs totaling $2.1 million to renovate the home. The employment agreement also provides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0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Company’s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the Company, covering their personal use of Company-owned aircraft. These time-share agreements require the Company to include as taxable compensation of such executive, the direct costs that the Company incurs in operating the aircraft, up to an amount determined by using the Internal Revenue Service Standard Industry Fare Level (SIFL) tables for his personal use the aircraft. During 2011, the following amounts were included in the executives’ taxable compensation pursuant to these timesharing arrangements: Mr. Wynn $324,186 and Mr. Schorr $136,534. In the event that direct costs in operating the aircraft exceed the amounts determined by using the SIFL method, such additional costs are paid for by the Company.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provides services to certain of its executive officers and directors, including the personal use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employees, construction work and other personal services. These certain officers and directors have deposits with the Company to prepay any such items.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deposits are replenished on an ongoing basis as needed. At December 31, 2011, Mr. Wynn and Elaine P. Wynn had net deposit balances with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$156,989 and $209,396, respectively. In addition, the Company provides facilities, catering and related goods and services to all full-time employees at a discount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depending on the amount spent, and provides certain other goods and services to some of it executives at a discount. Mr. Wynn paid the Company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$1.9 million in 2011 for such services in connection with a special event.</w:t>
      </w:r>
    </w:p>
    <w:p>
      <w:pPr>
        <w:spacing w:after="0" w:line="15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1"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In addition to the above, the Company (or its subsidiaries) employs (a) Eddie Tseng, the spouse of Ms. Chen,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a director of the Company, as Senior Vice President of Customer Development of Worldwide Wynn, LLC; (b) Michael Pascal, the brother of Elaine P. Wynn, as a Senior Executive Host of Wynn Las Vegas, and (c) Mr. Michael Pascal’s wife, Mary Ann Pascal, as a Host at Wynn Las Vegas. The Audit Committee of the Company approved each such employment arrangement in advance and determined that compensation was at (or below) levels paid to non-family members. Total compensation paid to the above named individuals for 2011 included the following amounts calculated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same manner as the Summary Compensation Table values presented for named executive officers: (a) to Eddie Tseng, base salary and bonus of $572,000, and other compensation of $668, (b) to Michael Pascal, base salary and bonus of $147,500, and other compensation of $2,762, and (c) to Mary Ann Pascal, base salary and bonus of $240,000, and other compensation of $464. The Company anticipates that these individuals will continue to serve in their respective positions during 2012. In February 2012, the Company entered into a consulting agreement for internet marketing services with the daughter of Russell Goldsmith, a member of our board, for a fee of $10,000 per month.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Seven of the twelve members of the Company’s Board of Directors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or his or her immediate family member. None of the independent directors has any economic relationship with the Company other than receipt of his director’s compensation. None of the independent directors is engaged in any related party transaction with the Company. Mr. Wynn, Mr. Okada, Ms. Wynn, Mr. Schorr and Ms. Chen have been determined not to be independent.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shows the aggregate fees billed to the Company for audit and other services provided by Ernst &amp; Young LLP, the Company’s independent auditor during each of the fiscal years ended December 31, 2011 and December 31,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318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Aggregate Fees</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vMerge w:val="continue"/>
          </w:tcPr>
          <w:p>
            <w:pPr>
              <w:spacing w:after="0"/>
              <w:rPr>
                <w:sz w:val="12"/>
                <w:szCs w:val="12"/>
                <w:color w:val="auto"/>
              </w:rPr>
            </w:pPr>
          </w:p>
        </w:tc>
        <w:tc>
          <w:tcPr>
            <w:tcW w:w="318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84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$ 1,219,095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1,414,330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28,650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50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2011 and 2010, and the audit of our internal controls over financial reporting as of December 31, 2011 and 2010. “Audit fees” also includes amounts billed for services provided in connection with securities offerings during 2010. “Audit related fees” is the aggregate fees billed for audits of the Company’s defined contribution employee benefit plan. “Tax fees” for 2011 includes fees for tax preparation and compliance, international tax research, planning for the Company’s foreign subsidiaries, domestic tax planning and other research.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2011. The Audit Committee pre-approves services either by:</w:t>
      </w:r>
    </w:p>
    <w:p>
      <w:pPr>
        <w:spacing w:after="0" w:line="38" w:lineRule="exact"/>
        <w:rPr>
          <w:sz w:val="20"/>
          <w:szCs w:val="20"/>
          <w:color w:val="auto"/>
        </w:rPr>
      </w:pPr>
    </w:p>
    <w:p>
      <w:pPr>
        <w:ind w:right="48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gridSpan w:val="3"/>
          </w:tcPr>
          <w:p>
            <w:pPr>
              <w:ind w:left="460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58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291"/>
        </w:trPr>
        <w:tc>
          <w:tcPr>
            <w:tcW w:w="460" w:type="dxa"/>
            <w:vAlign w:val="bottom"/>
            <w:gridSpan w:val="2"/>
          </w:tcPr>
          <w:p>
            <w:pPr>
              <w:spacing w:after="0"/>
              <w:rPr>
                <w:sz w:val="20"/>
                <w:szCs w:val="20"/>
                <w:color w:val="auto"/>
              </w:rPr>
            </w:pPr>
            <w:r>
              <w:rPr>
                <w:rFonts w:ascii="Arial" w:cs="Arial" w:eastAsia="Arial" w:hAnsi="Arial"/>
                <w:sz w:val="18"/>
                <w:szCs w:val="18"/>
                <w:color w:val="auto"/>
              </w:rPr>
              <w:t>(a)1.</w:t>
            </w:r>
          </w:p>
        </w:tc>
        <w:tc>
          <w:tcPr>
            <w:tcW w:w="10940" w:type="dxa"/>
            <w:vAlign w:val="bottom"/>
            <w:gridSpan w:val="4"/>
          </w:tcPr>
          <w:p>
            <w:pPr>
              <w:ind w:left="120"/>
              <w:spacing w:after="0"/>
              <w:rPr>
                <w:sz w:val="20"/>
                <w:szCs w:val="20"/>
                <w:color w:val="auto"/>
              </w:rPr>
            </w:pPr>
            <w:r>
              <w:rPr>
                <w:rFonts w:ascii="Arial" w:cs="Arial" w:eastAsia="Arial" w:hAnsi="Arial"/>
                <w:sz w:val="18"/>
                <w:szCs w:val="18"/>
                <w:color w:val="auto"/>
                <w:w w:val="91"/>
              </w:rPr>
              <w:t>The consolidated financial statements and notes that are required to be filed in our Annual Report on Form 10-K are included in Part II, Item 8 of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4"/>
          </w:tcPr>
          <w:p>
            <w:pPr>
              <w:ind w:left="120"/>
              <w:spacing w:after="0"/>
              <w:rPr>
                <w:sz w:val="20"/>
                <w:szCs w:val="20"/>
                <w:color w:val="auto"/>
              </w:rPr>
            </w:pPr>
            <w:r>
              <w:rPr>
                <w:rFonts w:ascii="Arial" w:cs="Arial" w:eastAsia="Arial" w:hAnsi="Arial"/>
                <w:sz w:val="18"/>
                <w:szCs w:val="18"/>
                <w:color w:val="auto"/>
              </w:rPr>
              <w:t>Original Filing.</w:t>
            </w:r>
          </w:p>
        </w:tc>
      </w:tr>
      <w:tr>
        <w:trPr>
          <w:trHeight w:val="297"/>
        </w:trPr>
        <w:tc>
          <w:tcPr>
            <w:tcW w:w="460" w:type="dxa"/>
            <w:vAlign w:val="bottom"/>
            <w:gridSpan w:val="2"/>
          </w:tcPr>
          <w:p>
            <w:pPr>
              <w:spacing w:after="0"/>
              <w:rPr>
                <w:sz w:val="20"/>
                <w:szCs w:val="20"/>
                <w:color w:val="auto"/>
              </w:rPr>
            </w:pPr>
            <w:r>
              <w:rPr>
                <w:rFonts w:ascii="Arial" w:cs="Arial" w:eastAsia="Arial" w:hAnsi="Arial"/>
                <w:sz w:val="18"/>
                <w:szCs w:val="18"/>
                <w:color w:val="auto"/>
              </w:rPr>
              <w:t>(a)2.</w:t>
            </w:r>
          </w:p>
        </w:tc>
        <w:tc>
          <w:tcPr>
            <w:tcW w:w="10940" w:type="dxa"/>
            <w:vAlign w:val="bottom"/>
            <w:gridSpan w:val="4"/>
          </w:tcPr>
          <w:p>
            <w:pPr>
              <w:ind w:left="120"/>
              <w:spacing w:after="0"/>
              <w:rPr>
                <w:sz w:val="20"/>
                <w:szCs w:val="20"/>
                <w:color w:val="auto"/>
              </w:rPr>
            </w:pPr>
            <w:r>
              <w:rPr>
                <w:rFonts w:ascii="Arial" w:cs="Arial" w:eastAsia="Arial" w:hAnsi="Arial"/>
                <w:sz w:val="18"/>
                <w:szCs w:val="18"/>
                <w:color w:val="auto"/>
              </w:rPr>
              <w:t>The financial statements schedules required to be filed in our Annual Report on Form 10-K are included in Part IV of the Original Filing.</w:t>
            </w:r>
          </w:p>
        </w:tc>
      </w:tr>
      <w:tr>
        <w:trPr>
          <w:trHeight w:val="297"/>
        </w:trPr>
        <w:tc>
          <w:tcPr>
            <w:tcW w:w="460" w:type="dxa"/>
            <w:vAlign w:val="bottom"/>
            <w:gridSpan w:val="2"/>
          </w:tcPr>
          <w:p>
            <w:pPr>
              <w:spacing w:after="0"/>
              <w:rPr>
                <w:sz w:val="20"/>
                <w:szCs w:val="20"/>
                <w:color w:val="auto"/>
              </w:rPr>
            </w:pPr>
            <w:r>
              <w:rPr>
                <w:rFonts w:ascii="Arial" w:cs="Arial" w:eastAsia="Arial" w:hAnsi="Arial"/>
                <w:sz w:val="18"/>
                <w:szCs w:val="18"/>
                <w:color w:val="auto"/>
              </w:rPr>
              <w:t>(a)3.</w:t>
            </w:r>
          </w:p>
        </w:tc>
        <w:tc>
          <w:tcPr>
            <w:tcW w:w="10940" w:type="dxa"/>
            <w:vAlign w:val="bottom"/>
            <w:gridSpan w:val="4"/>
          </w:tcPr>
          <w:p>
            <w:pPr>
              <w:ind w:left="120"/>
              <w:spacing w:after="0"/>
              <w:rPr>
                <w:sz w:val="20"/>
                <w:szCs w:val="20"/>
                <w:color w:val="auto"/>
              </w:rPr>
            </w:pPr>
            <w:r>
              <w:rPr>
                <w:rFonts w:ascii="Arial" w:cs="Arial" w:eastAsia="Arial" w:hAnsi="Arial"/>
                <w:sz w:val="18"/>
                <w:szCs w:val="18"/>
                <w:color w:val="auto"/>
              </w:rPr>
              <w:t>Exhibits</w:t>
            </w:r>
          </w:p>
        </w:tc>
      </w:tr>
      <w:tr>
        <w:trPr>
          <w:trHeight w:val="37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40" w:type="dxa"/>
            <w:vAlign w:val="bottom"/>
            <w:gridSpan w:val="4"/>
          </w:tcPr>
          <w:p>
            <w:pPr>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tc>
      </w:tr>
      <w:tr>
        <w:trPr>
          <w:trHeight w:val="340"/>
        </w:trPr>
        <w:tc>
          <w:tcPr>
            <w:tcW w:w="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3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Fourth Amended and Restated Bylaws of the Registrant, as amended.(12)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Bank National Association, as trustee.(29)</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U.S. Bank National Association, as trustee.(33)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87"/>
              </w:rPr>
              <w:t>Indenture, dated as of August 4, 2010, among Wynn Las Vegas, LLC, Wynn Las Vegas Capital Corp., the Guarantors named therein and U.S.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National Association, as trustee.(35)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88"/>
              </w:rPr>
              <w:t>Third Supplemental Indenture, dated August 4, 2010, among Wynn Las Vegas, LLC, Wynn Las Vegas Capital Corp., the Guarantors name therein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and U.S. Bank National Association, as trustee.(35)</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*10.1</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*10.2</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3"/>
              </w:rPr>
              <w:t>First Amendment to Employment Agreement, dated as of August 6, 2004, by and between Stephen A. Wynn and Wynn Resorts, Limited.(4)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*10.3</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8"/>
              </w:rPr>
              <w:t>Second Amendment to employment agreement between Wynn Resorts, Limited and Stephen A. Wynn dated January 31, 2007.(16)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*10.4</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3"/>
              </w:rPr>
              <w:t>Third Amendment to Employment Agreement, dated as of September 11, 2008, between Wynn Resorts, Limited and Stephen A. Wynn.(18)</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*10.5</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3"/>
              </w:rPr>
              <w:t>Fourth Amendment to Employment Agreement dated as of December 31, 2008, between Wynn Resorts, Limited and Stephen A. Wynn.(22)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*10.6</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3"/>
              </w:rPr>
              <w:t>Amendment to Employment Agreement, dated as of February 16, 2009, by and between Wynn Resorts, Limited and Stephen A. Wynn.(24)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*10.7</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5"/>
              </w:rPr>
              <w:t>Sixth Amendment to Employment Agreement dated as of February 24, 2011, between Wynn Resorts, Limited and Stephen A. Wynn.(39)</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*10.8</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*10.9</w:t>
            </w:r>
          </w:p>
        </w:tc>
        <w:tc>
          <w:tcPr>
            <w:tcW w:w="360" w:type="dxa"/>
            <w:vAlign w:val="bottom"/>
          </w:tcPr>
          <w:p>
            <w:pPr>
              <w:spacing w:after="0"/>
              <w:rPr>
                <w:sz w:val="24"/>
                <w:szCs w:val="24"/>
                <w:color w:val="auto"/>
              </w:rPr>
            </w:pPr>
          </w:p>
        </w:tc>
        <w:tc>
          <w:tcPr>
            <w:tcW w:w="10580" w:type="dxa"/>
            <w:vAlign w:val="bottom"/>
            <w:gridSpan w:val="3"/>
          </w:tcPr>
          <w:p>
            <w:pPr>
              <w:ind w:left="220"/>
              <w:spacing w:after="0"/>
              <w:rPr>
                <w:sz w:val="20"/>
                <w:szCs w:val="20"/>
                <w:color w:val="auto"/>
              </w:rPr>
            </w:pPr>
            <w:r>
              <w:rPr>
                <w:rFonts w:ascii="Arial" w:cs="Arial" w:eastAsia="Arial" w:hAnsi="Arial"/>
                <w:sz w:val="18"/>
                <w:szCs w:val="18"/>
                <w:color w:val="auto"/>
                <w:w w:val="96"/>
              </w:rPr>
              <w:t>First Amendment to Employment Agreement dated as of December 31, 2008, between Wynn Resorts, Limited and Marc D. Schorr.(22)</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tcPr>
          <w:p>
            <w:pPr>
              <w:ind w:left="4800"/>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80" w:type="dxa"/>
            <w:vAlign w:val="bottom"/>
          </w:tcPr>
          <w:p>
            <w:pPr>
              <w:spacing w:after="0"/>
              <w:rPr>
                <w:sz w:val="14"/>
                <w:szCs w:val="14"/>
                <w:color w:val="auto"/>
              </w:rPr>
            </w:pPr>
          </w:p>
        </w:tc>
      </w:tr>
      <w:tr>
        <w:trPr>
          <w:trHeight w:val="3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*10.10</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2"/>
              </w:rPr>
              <w:t>Amendment to Employment Agreement, dated as of February 12, 2009, by and between Wynn Resorts, Limited and Marc D. Schorr.(24)</w:t>
            </w:r>
          </w:p>
        </w:tc>
      </w:tr>
      <w:tr>
        <w:trPr>
          <w:trHeight w:val="324"/>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*10.11</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Maddox.(22)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*10.12</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as of May 5, 2008, by and between Wynn Resorts, Limited and Matt Maddox.(21)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*10.13</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Employment Agreement dated as of December 31, 2008, between Wynn Resorts, Limited and Matt Maddox.(22)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*10.14</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13, 2009, by and between Wynn Resorts, Limited and Matt Maddox.(24)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*10.15</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1"/>
              </w:rPr>
              <w:t>Fourth Amendment to Employment Agreement, dated as of March 5, 2009, by and between Wynn Resorts, Limited and Matt Maddox.(25)</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*10.16</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Employment Agreement, dated as of February 2, 2010, by and between Wynn Resorts, Limited and Matt Maddox.(31)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*10.17</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Resorts, Limited and John Strzemp.(9)</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*10.18</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9"/>
              </w:rPr>
              <w:t>First Amendment to Employee Agreement, dated as of March 26, 2008, between Wynn Resorts, Limited and John Strzemp(20)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*10.19</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Employment Agreement dated as of December 31, 2008, between Wynn Resorts, Limited and John Strzemp.(22)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*10.20</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12, 2009, by and between Wynn Resorts, Limited and John Strzemp.(24)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*10.21</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0"/>
              </w:rPr>
              <w:t>Fourth Amendment to Employment Agreement, dated as of March 23, 2009, by and between Wynn Resorts, Limited and John Strzemp.(26)</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*10.22</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May 12, 2010, by and between Worldwide Wynn, LLC and Linda C. Chen.(34)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*10.23</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Retention agreement, dated July 27, 2011, by and between Worldwide Wynn, LLC and Linda Chen.(40)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*10.24</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April 24, 2007, by and between Wynn Resorts, Limited and Kim Sinatra.(38)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*10.25</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Employment Agreement, dated as of December 31, 2008 by and between Wynn Resorts, Limited and Kim Sinatra.(38)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*10.26</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4"/>
              </w:rPr>
              <w:t>Amendment to Employment Agreement, dated as of February 12, 2009, by and between Wynn Resorts, Limited and Kim Sinatra.(38)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*10.27</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Employment Agreement, dated as of November 30, 2009, by and between Wynn Resorts, Limited and Kim Sinatra.(38)</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10.28</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0"/>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Baron Asset Fund Series, Baron Asset Fund on behalf of the Baron Growth Fund Series, Kenneth R. Wynn Family Trust dated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February 20, 1985, Valvino Lamore, LLC and Wynn Resorts, Limited.(1)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*10.29</w:t>
            </w:r>
          </w:p>
        </w:tc>
        <w:tc>
          <w:tcPr>
            <w:tcW w:w="1064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 as Amended and Restated effective May 12, 2010.(41)</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3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 as Amended and Restated effective May 17, 2011.(44)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Agreement pursuant to 2002 Stock Incentive Plan.(44)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Grant Notice.(44)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Restricted Stock Agreement pursuant to 2002 Stock Incentive Plan.(44)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Indemnity Agreement.(5)</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Stockholder Agreement, dated January 6, 2010, by and among Stephen A. Wynn, Elaine P. Wynn and Aruze USA,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Waiver and Consent, dated November 24, 2010, by and among Aruze USA, Inc., Stephen A. Wynn and Elaine P. Wynn.(36)</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Waiver and Consent, dated December 15, 2010, by and among Aruze USA, Inc., Stephen A. Wynn and Elaine P. Wynn.(37)</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Shareholders Agreement, dated as of September 16, 2004 by and among Wynn Resorts (Macau), Ltd., Wong Chi Seng</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and Wynn Resorts (Macau), S.A.(4)</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 Special Administrative Region, dated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 of</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Concession Agreement).(2)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Concession Contract for Operating Casino Gaming or Other Forms of Gaming in the Macao Special Administrative Region, dated June 24, 2002,</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3"/>
              </w:rPr>
              <w:t>between the Macau Special Administrative Region and Wynn Resorts (Macau) S.A. (English translation of Chinese version of Concession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Agreement).(5)</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 S.A.</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Material terms of draft land concession contract.(43)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June 13, 2002, by and between Stephen A. Wynn and Wynn Resorts, Limited.(2)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9"/>
              </w:rPr>
              <w:t>Surname Rights Agreement, dated as of August 6, 2004, by and between Stephen A. Wynn and Wynn Resorts Holdings, LLC.(4)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Rights of Publicity License, dated as of August 6, 2004, by and between Stephen A. Wynn and Wynn Resorts Holdings, LLC.(4)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LLC.(4)</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the lenders named therein.(6)</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Common Terms Agreement, dated as of September 14, 2004, among Wynn Resorts (Macau), S.A., certain financial institutions as Hotel Facility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Limited as Global Coordinating Lead Arrangers and Societe Generale Asia Limited as Hotel Facility Agent, Project Facility Agent, Intercreditor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Agent and Security Agent.(4)</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Certain Financial Institutions as Hotel Facility Lenders, Project Facility Lenders, Revolving Credit Facility Lenders and Hedging Counterparties,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Bank of America Securities Asia Limited, Deutsche Bank AG, Hong Kong Branch and Societe Generale Asia Limited as Global Coordinating</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7"/>
              </w:rPr>
              <w:t>Lead Arrangers, Societe Generale Asia Limited as Hotel Facility Agent and Project Facility Agent, Societe Generale Asia Limited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Intercreditor Agent, and Societe Generale, Hong Kong Branch as Security Agent.(8)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institutions as Hotel Facility Lenders, Project Facility Lenders, and Revolving Credit Facility Lenders, Banc of America Securities Asia Limited,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Deutsche Bank A.G. Hong Kong Branch, and Societe Generale Asia Limited as Global Lead Arrangers and Societe Generale Asia Limited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Hotel Facility Agent and Project Facility Agent and Societe Generale Hong Kong Branch as Intercreditor Agent.(12)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Common Terms Agreement Third Amendment Agreement dated September 8, 2009 between, among others, Wynn Resorts (Macau) S.A. as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company and Société Générale, Hong King Branch as security agent.(38)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Hotel Facility Agreement, dated as of September 14, 2004, among Wynn Resorts (Macau), S.A., Societe Generale Asia Limited as Hotel Facility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Agent and the several Hotel Facility Lenders named therein.(4)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Hotel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Agreement to the Hotel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Limited as Hotel Facility Agent, and certain financial institutions as Hotel Facility Lenders.(12)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Project Facility Agreement, dated as of September 14, 2004, among Wynn Resorts (Macau), S.A., Societe Generale Asia Limited as Project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Facility Agent and the several Project Facility Lenders named therein.(4)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7"/>
              </w:rPr>
              <w:t>Project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Agreement to the Project Facility Agreement dated June 27, 2007 among Wynn Resorts (Macau), S.A., Societe Generale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Asia Limited as Project Facility Agent, and certain financial institutions as Project Facility Lenders.(12)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Revolving Credit Facility Agreement, dated as of September 14, 2004, among Wynn Resorts (Macau), S.A. and the several Revolving Credit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Facility Lenders named therein.(4)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4"/>
              </w:rPr>
              <w:t>Revolving Credit Facility Agreement Amendment Agreement, dated as of September 14, 2005, between Wynn Resorts (Macau), S.A.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Company and Certain Financial Institutions as Revolving Credit Facility Lenders.(8)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Revolving Credit Facility Second Amendment Agreement dated June 27, 2007 among Wynn Resorts (Macau), S.A.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lenders.(12)</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Deed of Appointment and Priority, dated as of September 14, 2004, among Wynn Resorts (Macau), S.A., certain financial institutions as Original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First Ranking Lenders, Banco Nacional Ultramarino, S.A. as Second Ranking Finance Party, Wynn Group Asia, Inc. as Third Ranking Finance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Party, Societe Generale -Hong Kong Branch as Security Agent, Societe Generale Asia Limited as Intercreditor Agent and Hotel Facility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and Project Facility Agent and others.(4)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Floating Charge (unofficial English Translation), dated September 14, 2004 between Wynn Resorts (Macau), S.A.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Kong Branch as the Security Agent.(4)</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Debenture, dated September 14, 2004 between Wynn Resorts (Macau), S.A. and Societe Generale, Hong Kong Branch as the Security Agent.(4)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Wynn Resorts Support Agreement, dated September 14, 2004 between Wynn Resorts, Limited, Wynn Resorts (Macau), S.A. and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Generale, Hong Kong Branch as the Security Agent.(4)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Wynn Pledgors’ Guarantee, dated September 14, 2004 between Wynn Group Asia, Inc., Wynn Resorts International, Ltd., Wynn Resorts (Macau)</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8"/>
              </w:rPr>
              <w:t>Holdings, Ltd. and Wynn Resorts (Macau), Ltd. as Guarantors; and Societe Generale, Hong Kong Branch as the Security Agent.(4)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10.67</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International, Ltd., Wynn Resorts (Macau) Holdings, Ltd. and Wynn Resorts (Macau), Ltd. as the Wynn Companies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Kong Branch as the Security Agent.(4)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10.68</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Bank Guarantee Reimbursement Agreement, dated September 14, 2004, between Wynn Resorts (Macau), S.A. and Banco Nacional Ultramarino.</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10.69</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Wynn Resorts Support Agreement Deed of Amendment, dated as of September 14, 2005, between Wynn Resorts (Macau), S.A. and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Generale, Hong Kong Branch as Security Agent.(8)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10.70</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2"/>
              </w:rPr>
              <w:t>Limited as Security Agent, Societe Generale Asia Limited as Intercreditor Agent , Societe Generale Asia Limited as Hotel Facility Agent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Project Facility Agent, and Others.(8)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10.71</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Trust Company Americas, as the initial Bank Agent, and Deutsche Bank Trust Company America, as the initial Disbursement Agent.(15)</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Disbursement Agent.(13)</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Agent.(29)</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Fourth Amendment to Amended and Restated Master Disbursement Agreement, dated April 28,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Agent.(33)</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gridSpan w:val="3"/>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10.76</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4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93"/>
              </w:rPr>
              <w:t>Vegas Capital Corp., and those subsidiaries of Wynn Las Vegas, LLC listed on Exhibit A hereto in favor of Deutsche Bank Trust Company</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Americas, as administrative agent, and U.S. Bank National Association, as trustee.(7)</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10.77</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Limited.(7)</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10.78</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Wynn Las Vegas, LLC.(7)</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10.79</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Wynn.(32)</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10.80</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6"/>
              </w:rPr>
              <w:t>Amended and Restated Agreement of Lease made as of March 18, 2010, by and between Wynn Las Vegas an Stephen A. Wynn.(32)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10.81</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8"/>
              </w:rPr>
              <w:t>Fifth Amended and Restated Art Rental and Licensing Agreement, dated as of July 1, 2007, between Stephen A. Wynn, as lessor, Wynn Gallery,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LLC, as lessee.(42)</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10.82</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8"/>
              </w:rPr>
              <w:t>Aircraft Time Sharing Agreement dated as of November 25, 2002, by and between Las Vegas Jet, LLC and Stephen A. Wynn.(38)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10.83</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9"/>
              </w:rPr>
              <w:t>Amendment No. 1 to Aircraft Time Sharing Agreement, entered into as of January 1, 2004, by and between Las Vegas Jet, LLC and Stephen 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Wynn.(38)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10.84</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8"/>
              </w:rPr>
              <w:t>Amendment No. 2 to Aircraft Time Sharing Agreement, entered into as of October 31, 2009, by and between Las Vegas Jet, LLC and Stephen 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Wynn.(38)</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10.85</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Aircraft Time Sharing Agreement dated as of November 26, 2002, by and between Las Vegas Jet, LLC and Marc Schorr.(38)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10.86</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8"/>
              </w:rPr>
              <w:t>Amendment No. 1 to Aircraft Time Sharing Agreement, entered into as of January 1, 2004, by and between Las Vegas Jet, LLC and Marc Schorr.</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10.87</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2"/>
              </w:rPr>
              <w:t>Amendment No. 2 to Aircraft Time Sharing Agreement, entered into as of October 31, 2009, by and between Las Vegas Jet, LLC and Marc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Schorr.(38)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10.88</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agents, and Deutsche Bank Trust Company Americas, as Administrative Agent.(11)</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10.89</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7"/>
              </w:rPr>
              <w:t>Corp., Wynn Show Performers, LLC, Wynn Golf, LLC, Wynn Sunrise, LLC, World Travel, LLC, Kevyn, LLC, Las Vegas Jet, LLC, and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 from</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rPr>
              <w:t>time to time party to Wynn Las Vegas LLC’s Amended and Restated Credit Agreement, dated as of August 15, 2006.(12)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10.90</w:t>
            </w: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Wynn</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5"/>
          </w:tcPr>
          <w:p>
            <w:pPr>
              <w:ind w:left="580"/>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 of</w:t>
            </w:r>
          </w:p>
        </w:tc>
      </w:tr>
    </w:tbl>
    <w:p>
      <w:pPr>
        <w:ind w:left="1160" w:right="400"/>
        <w:spacing w:after="0" w:line="261" w:lineRule="auto"/>
        <w:rPr>
          <w:sz w:val="20"/>
          <w:szCs w:val="20"/>
          <w:color w:val="auto"/>
        </w:rPr>
      </w:pPr>
      <w:r>
        <w:rPr>
          <w:rFonts w:ascii="Arial" w:cs="Arial" w:eastAsia="Arial" w:hAnsi="Arial"/>
          <w:sz w:val="18"/>
          <w:szCs w:val="18"/>
          <w:color w:val="auto"/>
        </w:rPr>
        <w:t>the several banks and other financial institutions or entities from time to time party to Wynn Las Vegas LLC’s Amended and Restated Credit Agreement, dated as of August 15, 2006.(13)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480" w:type="dxa"/>
            <w:vAlign w:val="bottom"/>
            <w:gridSpan w:val="2"/>
          </w:tcPr>
          <w:p>
            <w:pPr>
              <w:spacing w:after="0"/>
              <w:rPr>
                <w:sz w:val="20"/>
                <w:szCs w:val="20"/>
                <w:color w:val="auto"/>
              </w:rPr>
            </w:pPr>
            <w:r>
              <w:rPr>
                <w:rFonts w:ascii="Arial" w:cs="Arial" w:eastAsia="Arial" w:hAnsi="Arial"/>
                <w:sz w:val="18"/>
                <w:szCs w:val="18"/>
                <w:color w:val="auto"/>
              </w:rPr>
              <w:t>10.91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2006.(19)</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2006.(27)</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3"/>
              </w:rPr>
              <w:t>Vegas Capital Corp., Wynn Show Performers, LLC, Wynn Golf, LLC, Wynn Sunrise, LLC, World Travel, LLC, Kevyn, LLC, Las Vegas Jet,</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LLC, Wynn Resorts Holdings, LLC, Wynn Completion Guarantors, LLC and Deutsche Bank Trust Company Americas, as Administrative Agent</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on behalf of the several banks and other financial institutions or entities from time to time party to Wynn Las Vegas LLC’s Amended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Restated Credit Agreement, dated as of August 15, 2006.(28)</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Sixth Amendment to Amended and Restated Credit Agreement dated as of April 28, 2010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Agent.(33)</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Seventh Amendment to Amended and Restated Credit Agreement dated as of August 4, 2010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2006.(35)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Credit Agreement dated June 21, 2007 among Wynn Resorts, Limited and Deutsche Bank Securities, Inc and Bank of America Securities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First Amendment to Credit Agreement, dated as of August 1, 2008, among Wynn Resorts, Limited and Deutsche Bank Trust Company Americas,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Administrative Agent on behalf of the several banks and other financial institutions or entities from time to time party to the Credit Agreement.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to Credit Agreement, dated as of November 13, 2008, among Wynn Resorts, Limited and Deutsche Bank Trust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Americas, as Administrative Agent on behalf of the several banks and other financial institutions or entities from time to time party to the Credit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Agreement.(23)</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Registrant.(44)</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LLP.(44)</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31.1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Certification of Chief Executive Officer pursuant to Section 302 of the Sarbanes-Oxley Act of 2002 with respect to the Original Form 10-K.(44)</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4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Certification of Chief Financial Officer pursuant to Section 302 of the Sarbanes-Oxley Act of 2002 with respect to the Original Form 10-K.(44)</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5"/>
              </w:rPr>
              <w:t>31.3</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5"/>
              </w:rPr>
              <w:t>Certification of Chief Executive Officer pursuant to Section 302 of the Sarbanes-Oxley Act of 2002 with respect to this Amendment.(45)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5"/>
              </w:rPr>
              <w:t>31.4</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6"/>
              </w:rPr>
              <w:t>Certification of Chief Financial Officer pursuant to Section 302 of the Sarbanes-Oxley Act of 2002 with respect to this Amendment.(45)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rPr>
              <w:t>Certification of CEO and CFO pursuant to 18 U.S.C. Section 1350.(44)</w:t>
            </w: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89"/>
              </w:rPr>
              <w:t>The following financial information from the Company’s Annual Report on Form 10-K for the year ended December 31, 2011, filed with the SEC</w:t>
            </w:r>
          </w:p>
        </w:tc>
      </w:tr>
      <w:tr>
        <w:trPr>
          <w:trHeight w:val="222"/>
        </w:trPr>
        <w:tc>
          <w:tcPr>
            <w:tcW w:w="460" w:type="dxa"/>
            <w:vAlign w:val="bottom"/>
          </w:tcPr>
          <w:p>
            <w:pPr>
              <w:spacing w:after="0"/>
              <w:rPr>
                <w:sz w:val="19"/>
                <w:szCs w:val="19"/>
                <w:color w:val="auto"/>
              </w:rPr>
            </w:pPr>
          </w:p>
        </w:tc>
        <w:tc>
          <w:tcPr>
            <w:tcW w:w="10920" w:type="dxa"/>
            <w:vAlign w:val="bottom"/>
            <w:gridSpan w:val="3"/>
          </w:tcPr>
          <w:p>
            <w:pPr>
              <w:ind w:left="660"/>
              <w:spacing w:after="0"/>
              <w:rPr>
                <w:sz w:val="20"/>
                <w:szCs w:val="20"/>
                <w:color w:val="auto"/>
              </w:rPr>
            </w:pPr>
            <w:r>
              <w:rPr>
                <w:rFonts w:ascii="Arial" w:cs="Arial" w:eastAsia="Arial" w:hAnsi="Arial"/>
                <w:sz w:val="18"/>
                <w:szCs w:val="18"/>
                <w:color w:val="auto"/>
                <w:w w:val="91"/>
              </w:rPr>
              <w:t>on February 29, 2012 formatted in Extensible Business Reporting Language (XBRL): (i) the Consolidated Statements of Income for the years</w:t>
            </w:r>
          </w:p>
        </w:tc>
      </w:tr>
    </w:tbl>
    <w:p>
      <w:pPr>
        <w:ind w:left="1120" w:right="800"/>
        <w:spacing w:after="0" w:line="302" w:lineRule="auto"/>
        <w:rPr>
          <w:sz w:val="20"/>
          <w:szCs w:val="20"/>
          <w:color w:val="auto"/>
        </w:rPr>
      </w:pPr>
      <w:r>
        <w:rPr>
          <w:rFonts w:ascii="Arial" w:cs="Arial" w:eastAsia="Arial" w:hAnsi="Arial"/>
          <w:sz w:val="16"/>
          <w:szCs w:val="16"/>
          <w:color w:val="auto"/>
        </w:rPr>
        <w:t>ended December 31, 2011, 2010 and 2009, (ii) the Consolidated Balance Sheets at December 31, 2011 and December 31 2010, (iii) the Consolidated Statements of Cash Flows for the years ended December 31, 2011, 2010 and 2009, (iv) the Consolidated Statements of Stockholders’ Equity at December 31, 2011, 2010 and 2000, and (v) Notes to Consolidated Financial Statements.**(44)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Annual Report on Form 10-K shall be deemed to be not filed</w:t>
      </w:r>
    </w:p>
    <w:p>
      <w:pPr>
        <w:spacing w:after="0" w:line="32" w:lineRule="exact"/>
        <w:rPr>
          <w:sz w:val="20"/>
          <w:szCs w:val="20"/>
          <w:color w:val="auto"/>
        </w:rPr>
      </w:pPr>
    </w:p>
    <w:p>
      <w:pPr>
        <w:jc w:val="both"/>
        <w:ind w:left="460" w:right="20"/>
        <w:spacing w:after="0" w:line="300" w:lineRule="auto"/>
        <w:rPr>
          <w:sz w:val="20"/>
          <w:szCs w:val="20"/>
          <w:color w:val="auto"/>
        </w:rPr>
      </w:pPr>
      <w:r>
        <w:rPr>
          <w:rFonts w:ascii="Arial" w:cs="Arial" w:eastAsia="Arial" w:hAnsi="Arial"/>
          <w:sz w:val="15"/>
          <w:szCs w:val="15"/>
          <w:color w:val="auto"/>
        </w:rPr>
        <w:t>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4,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2007.</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15, 2008.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19, 2008.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28,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7,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2,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9,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23,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14, 2009.</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January 6,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19,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26,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December 15,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18,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Form S-8 Registration Statement filed by the Registrant on July 27,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12, 2011.</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29,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Form 10-K to be signed on its behalf by the undersigned, thereunto duly authorized.</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140" w:val="left"/>
          <w:tab w:leader="none" w:pos="7920" w:val="left"/>
          <w:tab w:leader="none" w:pos="8260" w:val="left"/>
        </w:tabs>
        <w:rPr>
          <w:sz w:val="20"/>
          <w:szCs w:val="20"/>
          <w:color w:val="auto"/>
        </w:rPr>
      </w:pPr>
      <w:r>
        <w:rPr>
          <w:rFonts w:ascii="Arial" w:cs="Arial" w:eastAsia="Arial" w:hAnsi="Arial"/>
          <w:sz w:val="18"/>
          <w:szCs w:val="18"/>
          <w:color w:val="auto"/>
        </w:rPr>
        <w:t>Dated: April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10795</wp:posOffset>
            </wp:positionV>
            <wp:extent cx="3207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4"/>
          <w:szCs w:val="14"/>
          <w:b w:val="1"/>
          <w:bCs w:val="1"/>
          <w:color w:val="auto"/>
        </w:rPr>
        <w:t>Stephen A. Wynn</w:t>
      </w:r>
    </w:p>
    <w:p>
      <w:pPr>
        <w:ind w:left="674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ind w:left="674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Wynn Resorts, Limited;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Wynn Resorts, Limited;</w:t>
      </w:r>
    </w:p>
    <w:p>
      <w:pPr>
        <w:spacing w:after="0" w:line="90"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Roman"/>
      <w:start w:val="1"/>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decimal"/>
      <w:start w:val="1"/>
    </w:lvl>
    <w:lvl w:ilvl="1">
      <w:lvlJc w:val="left"/>
      <w:lvlText w:val="%2."/>
      <w:numFmt w:val="lowerLetter"/>
      <w:start w:val="1"/>
    </w:lvl>
  </w:abstractNum>
  <w:abstractNum w:abstractNumId="18">
    <w:nsid w:val="2CA88611"/>
    <w:multiLevelType w:val="hybridMultilevel"/>
    <w:lvl w:ilvl="0">
      <w:lvlJc w:val="left"/>
      <w:lvlText w:val="(%1)"/>
      <w:numFmt w:val="decimal"/>
      <w:start w:val="2"/>
    </w:lvl>
    <w:lvl w:ilvl="1">
      <w:lvlJc w:val="left"/>
      <w:lvlText w:val="%2."/>
      <w:numFmt w:val="lowerLetter"/>
      <w:start w:val="1"/>
    </w:lvl>
  </w:abstractNum>
  <w:abstractNum w:abstractNumId="19">
    <w:nsid w:val="836C40E"/>
    <w:multiLevelType w:val="hybridMultilevel"/>
    <w:lvl w:ilvl="0">
      <w:lvlJc w:val="left"/>
      <w:lvlText w:val="(%1)"/>
      <w:numFmt w:val="lowerRoman"/>
      <w:start w:val="3"/>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1)"/>
      <w:numFmt w:val="decimal"/>
      <w:start w:val="14"/>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6"/>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2019-12-09T14:44:09Z</dcterms:created>
  <dcterms:modified xsi:type="dcterms:W3CDTF">2019-12-09T14:44:09Z</dcterms:modified>
</cp:coreProperties>
</file>