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____________________</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3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_____________________</w:t>
      </w:r>
    </w:p>
    <w:p>
      <w:pPr>
        <w:spacing w:after="0" w:line="169"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spacing w:after="0" w:line="3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 reported): June 2, 2005</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ind w:left="1280"/>
              <w:spacing w:after="0"/>
              <w:rPr>
                <w:sz w:val="20"/>
                <w:szCs w:val="20"/>
                <w:color w:val="auto"/>
              </w:rPr>
            </w:pPr>
            <w:r>
              <w:rPr>
                <w:rFonts w:ascii="Courier New" w:cs="Courier New" w:eastAsia="Courier New" w:hAnsi="Courier New"/>
                <w:sz w:val="18"/>
                <w:szCs w:val="18"/>
                <w:color w:val="auto"/>
              </w:rPr>
              <w:t>Nevada</w:t>
            </w:r>
          </w:p>
        </w:tc>
        <w:tc>
          <w:tcPr>
            <w:tcW w:w="294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000-50028</w:t>
            </w:r>
          </w:p>
        </w:tc>
        <w:tc>
          <w:tcPr>
            <w:tcW w:w="2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46-0484987</w:t>
            </w:r>
          </w:p>
        </w:tc>
        <w:tc>
          <w:tcPr>
            <w:tcW w:w="0" w:type="dxa"/>
            <w:vAlign w:val="bottom"/>
          </w:tcPr>
          <w:p>
            <w:pPr>
              <w:spacing w:after="0"/>
              <w:rPr>
                <w:sz w:val="1"/>
                <w:szCs w:val="1"/>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w:t>
            </w:r>
          </w:p>
        </w:tc>
        <w:tc>
          <w:tcPr>
            <w:tcW w:w="2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(Commission File Number)</w:t>
            </w:r>
          </w:p>
        </w:tc>
        <w:tc>
          <w:tcPr>
            <w:tcW w:w="222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8"/>
              </w:rPr>
              <w:t>(I.R.S. Employer</w:t>
            </w:r>
          </w:p>
        </w:tc>
        <w:tc>
          <w:tcPr>
            <w:tcW w:w="0" w:type="dxa"/>
            <w:vAlign w:val="bottom"/>
          </w:tcPr>
          <w:p>
            <w:pPr>
              <w:spacing w:after="0"/>
              <w:rPr>
                <w:sz w:val="1"/>
                <w:szCs w:val="1"/>
                <w:color w:val="auto"/>
              </w:rPr>
            </w:pPr>
          </w:p>
        </w:tc>
      </w:tr>
      <w:tr>
        <w:trPr>
          <w:trHeight w:val="296"/>
        </w:trPr>
        <w:tc>
          <w:tcPr>
            <w:tcW w:w="3280" w:type="dxa"/>
            <w:vAlign w:val="bottom"/>
          </w:tcPr>
          <w:p>
            <w:pPr>
              <w:ind w:left="640"/>
              <w:spacing w:after="0"/>
              <w:rPr>
                <w:sz w:val="20"/>
                <w:szCs w:val="20"/>
                <w:color w:val="auto"/>
              </w:rPr>
            </w:pPr>
            <w:r>
              <w:rPr>
                <w:rFonts w:ascii="Courier New" w:cs="Courier New" w:eastAsia="Courier New" w:hAnsi="Courier New"/>
                <w:sz w:val="18"/>
                <w:szCs w:val="18"/>
                <w:color w:val="auto"/>
              </w:rPr>
              <w:t>of Incorporation)</w:t>
            </w:r>
          </w:p>
        </w:tc>
        <w:tc>
          <w:tcPr>
            <w:tcW w:w="294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rPr>
              <w:t>Identification No.)</w:t>
            </w:r>
          </w:p>
        </w:tc>
        <w:tc>
          <w:tcPr>
            <w:tcW w:w="0" w:type="dxa"/>
            <w:vAlign w:val="bottom"/>
          </w:tcPr>
          <w:p>
            <w:pPr>
              <w:spacing w:after="0"/>
              <w:rPr>
                <w:sz w:val="1"/>
                <w:szCs w:val="1"/>
                <w:color w:val="auto"/>
              </w:rPr>
            </w:pPr>
          </w:p>
        </w:tc>
      </w:tr>
      <w:tr>
        <w:trPr>
          <w:trHeight w:val="311"/>
        </w:trPr>
        <w:tc>
          <w:tcPr>
            <w:tcW w:w="62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3131 Las Vegas Boulevard South</w:t>
            </w:r>
          </w:p>
        </w:tc>
        <w:tc>
          <w:tcPr>
            <w:tcW w:w="2220" w:type="dxa"/>
            <w:vAlign w:val="bottom"/>
            <w:vMerge w:val="restart"/>
          </w:tcPr>
          <w:p>
            <w:pPr>
              <w:jc w:val="right"/>
              <w:ind w:right="752"/>
              <w:spacing w:after="0"/>
              <w:rPr>
                <w:sz w:val="20"/>
                <w:szCs w:val="20"/>
                <w:color w:val="auto"/>
              </w:rPr>
            </w:pPr>
            <w:r>
              <w:rPr>
                <w:rFonts w:ascii="Courier New" w:cs="Courier New" w:eastAsia="Courier New" w:hAnsi="Courier New"/>
                <w:sz w:val="18"/>
                <w:szCs w:val="18"/>
                <w:color w:val="auto"/>
              </w:rPr>
              <w:t>89109</w:t>
            </w:r>
          </w:p>
        </w:tc>
        <w:tc>
          <w:tcPr>
            <w:tcW w:w="0" w:type="dxa"/>
            <w:vAlign w:val="bottom"/>
          </w:tcPr>
          <w:p>
            <w:pPr>
              <w:spacing w:after="0"/>
              <w:rPr>
                <w:sz w:val="1"/>
                <w:szCs w:val="1"/>
                <w:color w:val="auto"/>
              </w:rPr>
            </w:pPr>
          </w:p>
        </w:tc>
      </w:tr>
      <w:tr>
        <w:trPr>
          <w:trHeight w:val="203"/>
        </w:trPr>
        <w:tc>
          <w:tcPr>
            <w:tcW w:w="328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Las Vegas, Nevada</w:t>
            </w:r>
          </w:p>
        </w:tc>
        <w:tc>
          <w:tcPr>
            <w:tcW w:w="2940" w:type="dxa"/>
            <w:vAlign w:val="bottom"/>
          </w:tcPr>
          <w:p>
            <w:pPr>
              <w:spacing w:after="0"/>
              <w:rPr>
                <w:sz w:val="17"/>
                <w:szCs w:val="17"/>
                <w:color w:val="auto"/>
              </w:rPr>
            </w:pPr>
          </w:p>
        </w:tc>
        <w:tc>
          <w:tcPr>
            <w:tcW w:w="2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220" w:type="dxa"/>
            <w:vAlign w:val="bottom"/>
            <w:gridSpan w:val="2"/>
          </w:tcPr>
          <w:p>
            <w:pPr>
              <w:spacing w:after="0"/>
              <w:rPr>
                <w:sz w:val="20"/>
                <w:szCs w:val="20"/>
                <w:color w:val="auto"/>
              </w:rPr>
            </w:pPr>
            <w:r>
              <w:rPr>
                <w:rFonts w:ascii="Courier New" w:cs="Courier New" w:eastAsia="Courier New" w:hAnsi="Courier New"/>
                <w:sz w:val="18"/>
                <w:szCs w:val="18"/>
                <w:color w:val="auto"/>
              </w:rPr>
              <w:t>(Address of Principal Executive Offices)</w:t>
            </w:r>
          </w:p>
        </w:tc>
        <w:tc>
          <w:tcPr>
            <w:tcW w:w="2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(Zip Code)</w:t>
            </w:r>
          </w:p>
        </w:tc>
        <w:tc>
          <w:tcPr>
            <w:tcW w:w="0" w:type="dxa"/>
            <w:vAlign w:val="bottom"/>
          </w:tcPr>
          <w:p>
            <w:pPr>
              <w:spacing w:after="0"/>
              <w:rPr>
                <w:sz w:val="1"/>
                <w:szCs w:val="1"/>
                <w:color w:val="auto"/>
              </w:rPr>
            </w:pPr>
          </w:p>
        </w:tc>
      </w:tr>
    </w:tbl>
    <w:p>
      <w:pPr>
        <w:spacing w:after="0" w:line="31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(702) 770-7555</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169" w:lineRule="exact"/>
        <w:rPr>
          <w:sz w:val="24"/>
          <w:szCs w:val="24"/>
          <w:color w:val="auto"/>
        </w:rPr>
      </w:pPr>
    </w:p>
    <w:p>
      <w:pPr>
        <w:ind w:right="2099"/>
        <w:spacing w:after="0" w:line="292"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66" w:lineRule="exact"/>
        <w:rPr>
          <w:sz w:val="24"/>
          <w:szCs w:val="24"/>
          <w:color w:val="auto"/>
        </w:rPr>
      </w:pPr>
    </w:p>
    <w:p>
      <w:pPr>
        <w:ind w:left="740" w:right="2419" w:hanging="732"/>
        <w:spacing w:after="0" w:line="347" w:lineRule="auto"/>
        <w:tabs>
          <w:tab w:leader="none" w:pos="21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]Written communication pursuant to Rule 425 under the Securities Act (17 CFR 230.425)</w:t>
      </w:r>
    </w:p>
    <w:p>
      <w:pPr>
        <w:spacing w:after="0" w:line="18" w:lineRule="exact"/>
        <w:rPr>
          <w:sz w:val="24"/>
          <w:szCs w:val="24"/>
          <w:color w:val="auto"/>
        </w:rPr>
      </w:pPr>
    </w:p>
    <w:p>
      <w:pPr>
        <w:ind w:left="740" w:right="2519" w:hanging="732"/>
        <w:spacing w:after="0" w:line="347" w:lineRule="auto"/>
        <w:tabs>
          <w:tab w:leader="none" w:pos="21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]Soliciting material pursuant to Rule 14a-12 under the Exchange Act (17 CFR 240.14a-12)</w:t>
      </w:r>
    </w:p>
    <w:p>
      <w:pPr>
        <w:spacing w:after="0" w:line="18" w:lineRule="exact"/>
        <w:rPr>
          <w:sz w:val="24"/>
          <w:szCs w:val="24"/>
          <w:color w:val="auto"/>
        </w:rPr>
      </w:pPr>
    </w:p>
    <w:p>
      <w:pPr>
        <w:ind w:left="740" w:right="2419" w:hanging="732"/>
        <w:spacing w:after="0" w:line="347" w:lineRule="auto"/>
        <w:tabs>
          <w:tab w:leader="none" w:pos="21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]Pre-commencement communications pursuant to Rule 14d-2(b) under the Exchange Act (17 CFR 240.14d-2(b))</w:t>
      </w:r>
    </w:p>
    <w:p>
      <w:pPr>
        <w:spacing w:after="0" w:line="18" w:lineRule="exact"/>
        <w:rPr>
          <w:sz w:val="24"/>
          <w:szCs w:val="24"/>
          <w:color w:val="auto"/>
        </w:rPr>
      </w:pPr>
    </w:p>
    <w:p>
      <w:pPr>
        <w:ind w:left="740" w:right="2319" w:hanging="732"/>
        <w:spacing w:after="0" w:line="347" w:lineRule="auto"/>
        <w:tabs>
          <w:tab w:leader="none" w:pos="21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8.01.</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4"/>
          <w:szCs w:val="24"/>
          <w:color w:val="auto"/>
        </w:rPr>
      </w:pPr>
    </w:p>
    <w:p>
      <w:pPr>
        <w:ind w:right="2199"/>
        <w:spacing w:after="0" w:line="274" w:lineRule="auto"/>
        <w:rPr>
          <w:sz w:val="20"/>
          <w:szCs w:val="20"/>
          <w:color w:val="auto"/>
        </w:rPr>
      </w:pPr>
      <w:r>
        <w:rPr>
          <w:rFonts w:ascii="Courier New" w:cs="Courier New" w:eastAsia="Courier New" w:hAnsi="Courier New"/>
          <w:sz w:val="18"/>
          <w:szCs w:val="18"/>
          <w:color w:val="auto"/>
        </w:rPr>
        <w:t>On June 2, 2005, the Registrant issued a press release announcing operating data for the Wynn Las Vegas casino resort for the period from its opening on April 28, 2005 through May 31, 2005. The press release is filed herewith as Exhibit 99.1 and incorporated herein by reference.</w:t>
      </w:r>
    </w:p>
    <w:p>
      <w:pPr>
        <w:spacing w:after="0" w:line="284"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060" w:hanging="736"/>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Exhibit</w:t>
      </w:r>
    </w:p>
    <w:p>
      <w:pPr>
        <w:spacing w:after="0" w:line="30"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r>
        <w:rPr>
          <w:rFonts w:ascii="Courier New" w:cs="Courier New" w:eastAsia="Courier New" w:hAnsi="Courier New"/>
          <w:sz w:val="16"/>
          <w:szCs w:val="16"/>
          <w:color w:val="auto"/>
        </w:rPr>
        <w:t>Description</w:t>
      </w: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p>
      <w:pPr>
        <w:spacing w:after="0" w:line="169" w:lineRule="exact"/>
        <w:rPr>
          <w:sz w:val="24"/>
          <w:szCs w:val="24"/>
          <w:color w:val="auto"/>
        </w:rPr>
      </w:pPr>
    </w:p>
    <w:p>
      <w:pPr>
        <w:ind w:left="2540" w:right="3259" w:hanging="1368"/>
        <w:spacing w:after="0" w:line="347" w:lineRule="auto"/>
        <w:tabs>
          <w:tab w:leader="none" w:pos="25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Press release, dated June 2, 2005, of Wynn Resorts, Limited.</w:t>
      </w:r>
    </w:p>
    <w:p>
      <w:pPr>
        <w:sectPr>
          <w:pgSz w:w="11900" w:h="16838" w:orient="portrait"/>
          <w:cols w:equalWidth="0" w:num="1">
            <w:col w:w="10219"/>
          </w:cols>
          <w:pgMar w:left="240" w:top="420" w:right="1440" w:bottom="1440" w:gutter="0" w:footer="0" w:header="0"/>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099" w:firstLine="948"/>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June 2, 2005</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John Strzemp</w:t>
      </w:r>
    </w:p>
    <w:p>
      <w:pPr>
        <w:spacing w:after="0" w:line="31"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John Strzemp</w:t>
      </w:r>
    </w:p>
    <w:p>
      <w:pPr>
        <w:ind w:left="506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893" w:right="1440" w:bottom="1440" w:gutter="0" w:footer="0" w:header="0"/>
        </w:sectPr>
      </w:pPr>
    </w:p>
    <w:bookmarkStart w:id="2" w:name="page3"/>
    <w:bookmarkEnd w:id="2"/>
    <w:p>
      <w:pPr>
        <w:jc w:val="right"/>
        <w:ind w:right="18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Wynn Resorts Announces Operating Data through May 31, 2005</w:t>
      </w:r>
    </w:p>
    <w:p>
      <w:pPr>
        <w:spacing w:after="0" w:line="200" w:lineRule="exact"/>
        <w:rPr>
          <w:sz w:val="20"/>
          <w:szCs w:val="20"/>
          <w:color w:val="auto"/>
        </w:rPr>
      </w:pPr>
    </w:p>
    <w:p>
      <w:pPr>
        <w:spacing w:after="0" w:line="204" w:lineRule="exact"/>
        <w:rPr>
          <w:sz w:val="20"/>
          <w:szCs w:val="20"/>
          <w:color w:val="auto"/>
        </w:rPr>
      </w:pPr>
    </w:p>
    <w:p>
      <w:pPr>
        <w:ind w:right="2099"/>
        <w:spacing w:after="0" w:line="265" w:lineRule="auto"/>
        <w:rPr>
          <w:sz w:val="20"/>
          <w:szCs w:val="20"/>
          <w:color w:val="auto"/>
        </w:rPr>
      </w:pPr>
      <w:r>
        <w:rPr>
          <w:rFonts w:ascii="Courier New" w:cs="Courier New" w:eastAsia="Courier New" w:hAnsi="Courier New"/>
          <w:sz w:val="18"/>
          <w:szCs w:val="18"/>
          <w:color w:val="auto"/>
        </w:rPr>
        <w:t>LAS VEGAS, June 2nd , 2005 (BUSINESS WIRE) -- Wynn Resorts, Limited (Nasdaq: WYNN) today released operating data for Wynn Las Vegas through May 31, 2005, representing the property's first 34 days of operations. The initial reaction from customers has been overwhelmingly positive and revenue levels have exceeded our expectations.</w:t>
      </w:r>
    </w:p>
    <w:p>
      <w:pPr>
        <w:spacing w:after="0" w:line="90" w:lineRule="exact"/>
        <w:rPr>
          <w:sz w:val="20"/>
          <w:szCs w:val="20"/>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Wynn Las Vegas net gaming revenues for the first 34 days of operations were $64.3 million. The slot segment produced total net revenues of $20.2 million, with a win per unit per day of $304. The table games segment generated net revenues of $42.7 million, representing win per table per day of $9,244 in the period.</w:t>
      </w:r>
    </w:p>
    <w:p>
      <w:pPr>
        <w:spacing w:after="0" w:line="90" w:lineRule="exact"/>
        <w:rPr>
          <w:sz w:val="20"/>
          <w:szCs w:val="20"/>
          <w:color w:val="auto"/>
        </w:rPr>
      </w:pPr>
    </w:p>
    <w:p>
      <w:pPr>
        <w:ind w:right="1879"/>
        <w:spacing w:after="0" w:line="306" w:lineRule="auto"/>
        <w:rPr>
          <w:sz w:val="20"/>
          <w:szCs w:val="20"/>
          <w:color w:val="auto"/>
        </w:rPr>
      </w:pPr>
      <w:r>
        <w:rPr>
          <w:rFonts w:ascii="Courier New" w:cs="Courier New" w:eastAsia="Courier New" w:hAnsi="Courier New"/>
          <w:sz w:val="16"/>
          <w:szCs w:val="16"/>
          <w:color w:val="auto"/>
        </w:rPr>
        <w:t>Since our opening on April 28th, 2005, Wynn Las Vegas average daily room rate was $308 with occupancy averaging 91% as we strategically increased room availability to 100%. Gross non-gaming revenues for the 34 days, which include $15.4 million of complimentary revenues, were in excess of $76.6 million, as hotel, retail, food and beverage and other departments surpassed our estimates.</w:t>
      </w:r>
    </w:p>
    <w:p>
      <w:pPr>
        <w:spacing w:after="0" w:line="60" w:lineRule="exact"/>
        <w:rPr>
          <w:sz w:val="20"/>
          <w:szCs w:val="20"/>
          <w:color w:val="auto"/>
        </w:rPr>
      </w:pPr>
    </w:p>
    <w:p>
      <w:pPr>
        <w:ind w:right="1879" w:firstLine="105"/>
        <w:spacing w:after="0" w:line="256" w:lineRule="auto"/>
        <w:rPr>
          <w:sz w:val="20"/>
          <w:szCs w:val="20"/>
          <w:color w:val="auto"/>
        </w:rPr>
      </w:pPr>
      <w:r>
        <w:rPr>
          <w:rFonts w:ascii="Courier New" w:cs="Courier New" w:eastAsia="Courier New" w:hAnsi="Courier New"/>
          <w:sz w:val="18"/>
          <w:szCs w:val="18"/>
          <w:color w:val="auto"/>
        </w:rPr>
        <w:t>"We are delighted with our first full month of operations, but we are reminded that opening a resort of this caliber and this scope is a daunting challenge. As the weeks progress and our opening and startup challenges are met one at a time, operating efficiencies will emerge. This process is far from over and will take several months. The early results should be measured accordingly," commented Steve Wynn, Chairman and Chief Executive Officer of Wynn Resorts, Limited.</w:t>
      </w:r>
    </w:p>
    <w:p>
      <w:pPr>
        <w:spacing w:after="0" w:line="98" w:lineRule="exact"/>
        <w:rPr>
          <w:sz w:val="20"/>
          <w:szCs w:val="20"/>
          <w:color w:val="auto"/>
        </w:rPr>
      </w:pPr>
    </w:p>
    <w:p>
      <w:pPr>
        <w:ind w:right="1879"/>
        <w:spacing w:after="0" w:line="281" w:lineRule="auto"/>
        <w:rPr>
          <w:sz w:val="20"/>
          <w:szCs w:val="20"/>
          <w:color w:val="auto"/>
        </w:rPr>
      </w:pPr>
      <w:r>
        <w:rPr>
          <w:rFonts w:ascii="Courier New" w:cs="Courier New" w:eastAsia="Courier New" w:hAnsi="Courier New"/>
          <w:sz w:val="16"/>
          <w:szCs w:val="16"/>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the Company's lack of operating history and the Company's dependence on existing management. Additional information concerning potential factors that could affect the Company's financial results are included in the Company's Form 10-K for the year ended December 31, 2004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200" w:lineRule="exact"/>
        <w:rPr>
          <w:sz w:val="20"/>
          <w:szCs w:val="20"/>
          <w:color w:val="auto"/>
        </w:rPr>
      </w:pPr>
    </w:p>
    <w:p>
      <w:pPr>
        <w:spacing w:after="0" w:line="292" w:lineRule="exact"/>
        <w:rPr>
          <w:sz w:val="20"/>
          <w:szCs w:val="20"/>
          <w:color w:val="auto"/>
        </w:rPr>
      </w:pPr>
    </w:p>
    <w:p>
      <w:pPr>
        <w:ind w:right="1879"/>
        <w:spacing w:after="0" w:line="252" w:lineRule="auto"/>
        <w:rPr>
          <w:sz w:val="20"/>
          <w:szCs w:val="20"/>
          <w:color w:val="auto"/>
        </w:rPr>
      </w:pPr>
      <w:r>
        <w:rPr>
          <w:rFonts w:ascii="Courier New" w:cs="Courier New" w:eastAsia="Courier New" w:hAnsi="Courier New"/>
          <w:sz w:val="18"/>
          <w:szCs w:val="18"/>
          <w:color w:val="auto"/>
        </w:rPr>
        <w:t>Wynn Resorts is traded on the Nasdaq stock exchange under the ticker symbol "WYNN" and, since December 2004, it has been part of the NASDAQ-100 Index. Wynn Las Vegas, a luxury hotel and destination casino resort located on the Las Vegas Strip, opened to the public on April 28, 2005. Wynn Las Vegas features 2,716 luxurious guest rooms and suites; an 111,000 square foot casino; 22 food and beverage outlets; an on-site 18-hole golf course; approximately 223,000 square feet of meeting space; an on-site Ferrari and Maserati dealership; and approximately 76,000 square feet of retail space. For more information, visit www.wynnlasvegas.com.</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Wynn Resorts,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Wynn Resorts, Limited, Las Vegas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Samanta Hegedus Stewart, 702-770-7555</w:t>
      </w:r>
    </w:p>
    <w:p>
      <w:pPr>
        <w:spacing w:after="0"/>
        <w:rPr>
          <w:sz w:val="20"/>
          <w:szCs w:val="20"/>
          <w:color w:val="auto"/>
        </w:rPr>
      </w:pPr>
      <w:r>
        <w:rPr>
          <w:rFonts w:ascii="Courier New" w:cs="Courier New" w:eastAsia="Courier New" w:hAnsi="Courier New"/>
          <w:sz w:val="18"/>
          <w:szCs w:val="18"/>
          <w:color w:val="auto"/>
        </w:rPr>
        <w:t>investorrelations@wynnresorts.com</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2019-12-15T07:41:00Z</dcterms:created>
  <dcterms:modified xsi:type="dcterms:W3CDTF">2019-12-15T07:41:00Z</dcterms:modified>
</cp:coreProperties>
</file>