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Wynn Resorts Limited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#983134107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149,688</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3,959,660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3,959,660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3.899%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#983134107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3,959,660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3,959,660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3.899%</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Wynn Resorts Limited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3131 Las Vegas Boulevard South</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Las Vegas, NV</w:t>
      </w:r>
      <w:r>
        <w:rPr>
          <w:sz w:val="20"/>
          <w:szCs w:val="20"/>
          <w:color w:val="auto"/>
        </w:rPr>
        <w:tab/>
      </w:r>
      <w:r>
        <w:rPr>
          <w:rFonts w:ascii="Courier New" w:cs="Courier New" w:eastAsia="Courier New" w:hAnsi="Courier New"/>
          <w:sz w:val="16"/>
          <w:szCs w:val="16"/>
          <w:color w:val="auto"/>
        </w:rPr>
        <w:t>89109</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983134107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3,959,660</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3.899%</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149,688</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3,959,660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dated December 30, 1997 by and on behalf of FMR Corp.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68" w:lineRule="auto"/>
        <w:rPr>
          <w:sz w:val="20"/>
          <w:szCs w:val="20"/>
          <w:color w:val="auto"/>
        </w:rPr>
      </w:pPr>
      <w:r>
        <w:rPr>
          <w:rFonts w:ascii="Courier New" w:cs="Courier New" w:eastAsia="Courier New" w:hAnsi="Courier New"/>
          <w:sz w:val="16"/>
          <w:szCs w:val="16"/>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3,787,872 shares or 3.730%</w:t>
      </w:r>
    </w:p>
    <w:p>
      <w:pPr>
        <w:spacing w:after="0" w:line="234" w:lineRule="auto"/>
        <w:rPr>
          <w:sz w:val="20"/>
          <w:szCs w:val="20"/>
          <w:color w:val="auto"/>
        </w:rPr>
      </w:pPr>
      <w:r>
        <w:rPr>
          <w:rFonts w:ascii="Courier New" w:cs="Courier New" w:eastAsia="Courier New" w:hAnsi="Courier New"/>
          <w:sz w:val="18"/>
          <w:szCs w:val="18"/>
          <w:color w:val="auto"/>
        </w:rPr>
        <w:t>of the Common Stock outstanding of Wynn Resorts Limited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as a result of acting as investment adviser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investment companies registered under Section 8 of</w:t>
      </w:r>
    </w:p>
    <w:p>
      <w:pPr>
        <w:spacing w:after="0" w:line="238" w:lineRule="auto"/>
        <w:rPr>
          <w:sz w:val="20"/>
          <w:szCs w:val="20"/>
          <w:color w:val="auto"/>
        </w:rPr>
      </w:pPr>
      <w:r>
        <w:rPr>
          <w:rFonts w:ascii="Courier New" w:cs="Courier New" w:eastAsia="Courier New" w:hAnsi="Courier New"/>
          <w:sz w:val="18"/>
          <w:szCs w:val="18"/>
          <w:color w:val="auto"/>
        </w:rPr>
        <w:t>the Investment Company Act of 1940.</w:t>
      </w:r>
    </w:p>
    <w:p>
      <w:pPr>
        <w:spacing w:after="0" w:line="207"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Corp., through its control of Fidelity, and the funds each has sole power to dispose of the 3,787,872 shares owned by the Funds.</w:t>
      </w:r>
    </w:p>
    <w:p>
      <w:pPr>
        <w:spacing w:after="0" w:line="209" w:lineRule="exact"/>
        <w:rPr>
          <w:sz w:val="20"/>
          <w:szCs w:val="20"/>
          <w:color w:val="auto"/>
        </w:rPr>
      </w:pPr>
    </w:p>
    <w:p>
      <w:pPr>
        <w:ind w:right="3679" w:firstLine="843"/>
        <w:spacing w:after="0" w:line="238" w:lineRule="auto"/>
        <w:rPr>
          <w:sz w:val="20"/>
          <w:szCs w:val="20"/>
          <w:color w:val="auto"/>
        </w:rPr>
      </w:pPr>
      <w:r>
        <w:rPr>
          <w:rFonts w:ascii="Courier New" w:cs="Courier New" w:eastAsia="Courier New" w:hAnsi="Courier New"/>
          <w:sz w:val="18"/>
          <w:szCs w:val="18"/>
          <w:color w:val="auto"/>
        </w:rPr>
        <w:t>Members of the family of Edward C. Johnson 3d, Chairman of FMR Corp., are the predominant owners, directly or through trusts, of Series B shares of common stock of FMR Corp., representing 49% of the voting power of FMR Corp. The Johnson family group and all other Series B shareholders have entered into a shareholders' voting agreement under which all Series B shares will be voted in accordance with the majority vote of Series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Corp. and an investment adviser registered under Section 203 of the Investment Advisers Act of 1940, provides investment advisory services to individuals. As such, FMR Corp.'s beneficial ownership includes 88 shares, or 0.000%, of the Common Stock stock outstanding of Wynn Resorts Limited, beneficially owned through Strategic Advisers, Inc.</w:t>
      </w:r>
    </w:p>
    <w:p>
      <w:pPr>
        <w:spacing w:after="0" w:line="21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Corp. and an investment adviser registered under Section 203 of the Investment Advisers Act of 1940, is the beneficial owner of 9,100 shares or 0.009% of the outstanding Common Stock of Wynn Resorts Limited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4419" w:firstLine="843"/>
        <w:spacing w:after="0" w:line="268" w:lineRule="auto"/>
        <w:rPr>
          <w:sz w:val="20"/>
          <w:szCs w:val="20"/>
          <w:color w:val="auto"/>
        </w:rPr>
      </w:pPr>
      <w:r>
        <w:rPr>
          <w:rFonts w:ascii="Courier New" w:cs="Courier New" w:eastAsia="Courier New" w:hAnsi="Courier New"/>
          <w:sz w:val="16"/>
          <w:szCs w:val="16"/>
          <w:color w:val="auto"/>
        </w:rPr>
        <w:t>Edward C. Johnson 3d and FMR Corp., through its control of PGALLC, each has sole dispositive power over</w:t>
      </w:r>
    </w:p>
    <w:p>
      <w:pPr>
        <w:ind w:right="3679"/>
        <w:spacing w:after="0" w:line="236" w:lineRule="auto"/>
        <w:rPr>
          <w:sz w:val="20"/>
          <w:szCs w:val="20"/>
          <w:color w:val="auto"/>
        </w:rPr>
      </w:pPr>
      <w:r>
        <w:rPr>
          <w:rFonts w:ascii="Courier New" w:cs="Courier New" w:eastAsia="Courier New" w:hAnsi="Courier New"/>
          <w:sz w:val="18"/>
          <w:szCs w:val="18"/>
          <w:color w:val="auto"/>
        </w:rPr>
        <w:t>9,100 shares and sole power to vote or to direct the voting of 9,100 shares of Common Stock owned by the institutional accounts or funds advised by PGALLC as reported above.</w:t>
      </w:r>
    </w:p>
    <w:p>
      <w:pPr>
        <w:spacing w:after="0" w:line="209"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Pyramis Global Advisors Trust Company ("PGATC"), 53 State Street, Boston, Massachusetts, 02109, an indirect wholly-owned subsidiary of FMR Corp. and a bank as defined in Section 3(a)(6) of the Securities Exchange Act of 1934, is the beneficial owner of 15,500 shares or 0.015% of the outstanding Common Stock of the Wynn Resorts Limited as a result of its serving as investment manager of institutional accounts owning such shares.</w:t>
      </w:r>
    </w:p>
    <w:p>
      <w:pPr>
        <w:spacing w:after="0" w:line="21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Pyramis Global Advisors Trust Company, each has sole dispositive power over 15,500 shares and sole power to vote or to direct the voting of 15,500 shares of Common Stock owned by the institutional accounts managed by PGATC as reported above.</w:t>
      </w:r>
    </w:p>
    <w:p>
      <w:pPr>
        <w:spacing w:after="0" w:line="210" w:lineRule="exact"/>
        <w:rPr>
          <w:sz w:val="20"/>
          <w:szCs w:val="20"/>
          <w:color w:val="auto"/>
        </w:rPr>
      </w:pPr>
    </w:p>
    <w:p>
      <w:pPr>
        <w:ind w:right="3679" w:firstLine="843"/>
        <w:spacing w:after="0" w:line="275" w:lineRule="auto"/>
        <w:rPr>
          <w:sz w:val="20"/>
          <w:szCs w:val="20"/>
          <w:color w:val="auto"/>
        </w:rPr>
      </w:pPr>
      <w:r>
        <w:rPr>
          <w:rFonts w:ascii="Courier New" w:cs="Courier New" w:eastAsia="Courier New" w:hAnsi="Courier New"/>
          <w:sz w:val="16"/>
          <w:szCs w:val="16"/>
          <w:color w:val="auto"/>
        </w:rPr>
        <w:t>Fidelity International Limited ("FIL"), Pembroke Hall, 42 Crow Lane, Hamilton, Bermuda, and various foreign-based subsidiaries provide investment advisory and management services to a number of non-U.S. investment companies and</w:t>
      </w:r>
    </w:p>
    <w:p>
      <w:pPr>
        <w:sectPr>
          <w:pgSz w:w="11900" w:h="16838" w:orient="portrait"/>
          <w:cols w:equalWidth="0" w:num="1">
            <w:col w:w="10219"/>
          </w:cols>
          <w:pgMar w:left="240" w:top="142" w:right="1440" w:bottom="0" w:gutter="0" w:footer="0" w:header="0"/>
        </w:sectPr>
      </w:pPr>
    </w:p>
    <w:bookmarkStart w:id="3" w:name="page4"/>
    <w:bookmarkEnd w:id="3"/>
    <w:p>
      <w:pPr>
        <w:ind w:right="3899"/>
        <w:spacing w:after="0" w:line="237" w:lineRule="auto"/>
        <w:rPr>
          <w:sz w:val="20"/>
          <w:szCs w:val="20"/>
          <w:color w:val="auto"/>
        </w:rPr>
      </w:pPr>
      <w:r>
        <w:rPr>
          <w:rFonts w:ascii="Courier New" w:cs="Courier New" w:eastAsia="Courier New" w:hAnsi="Courier New"/>
          <w:sz w:val="18"/>
          <w:szCs w:val="18"/>
          <w:color w:val="auto"/>
        </w:rPr>
        <w:t>certain institutional investors. FIL, which is a qualified institution under section 240.13d-1(b)(1) pursuant to an SEC No-Action letter dated October 5, 2000, is the beneficial owner of 147,100 shares or 0.145% of the Common Stock outstanding of the Company.</w:t>
      </w:r>
    </w:p>
    <w:p>
      <w:pPr>
        <w:spacing w:after="0" w:line="209"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Corp.</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47% of the total votes which may be cast by all holders of FIL voting stock. FMR Corp.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Corp. is making this filing on a voluntary basis as if all of the shares are beneficially owned by FMR Corp. and FIL on a joint basis.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FIL has sole dispositive power over 147,100 shares owned by the International Funds. FIL has sole power to vote or direct the voting of 119,300 shares and no power to vote or direct the voting of 27,800 shares of Common Stock held by the International Funds as reported above.</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rPr>
          <w:sz w:val="20"/>
          <w:szCs w:val="20"/>
          <w:color w:val="auto"/>
        </w:rPr>
      </w:pPr>
      <w:r>
        <w:rPr>
          <w:rFonts w:ascii="Courier New" w:cs="Courier New" w:eastAsia="Courier New" w:hAnsi="Courier New"/>
          <w:sz w:val="18"/>
          <w:szCs w:val="18"/>
          <w:color w:val="auto"/>
        </w:rPr>
        <w:t>The undersigned persons, on February 14, 2007, agree and consent to the joint filing on their behalf of this Schedule 13G in connection with their beneficial ownership of the Common Stock of Wynn Resorts Limited at December 31, 2006.</w:t>
      </w:r>
    </w:p>
    <w:p>
      <w:pPr>
        <w:spacing w:after="0" w:line="39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FMR Corp.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2019-12-12T02:57:18Z</dcterms:created>
  <dcterms:modified xsi:type="dcterms:W3CDTF">2019-12-12T02:57:18Z</dcterms:modified>
</cp:coreProperties>
</file>