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13, 2005</w:t>
      </w:r>
    </w:p>
    <w:p>
      <w:pPr>
        <w:spacing w:after="0" w:line="1" w:lineRule="exact"/>
        <w:rPr>
          <w:sz w:val="24"/>
          <w:szCs w:val="24"/>
          <w:color w:val="auto"/>
        </w:rPr>
      </w:pPr>
    </w:p>
    <w:p>
      <w:pPr>
        <w:ind w:left="9240"/>
        <w:spacing w:after="0"/>
        <w:rPr>
          <w:sz w:val="20"/>
          <w:szCs w:val="20"/>
          <w:color w:val="auto"/>
        </w:rPr>
      </w:pPr>
      <w:r>
        <w:rPr>
          <w:rFonts w:ascii="Arial" w:cs="Arial" w:eastAsia="Arial" w:hAnsi="Arial"/>
          <w:sz w:val="14"/>
          <w:szCs w:val="14"/>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71755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75565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13"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4"/>
                <w:szCs w:val="14"/>
                <w:color w:val="auto"/>
              </w:rPr>
            </w:pP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85"/>
              </w:rPr>
              <w:t>88-0494878</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34"/>
        </w:trPr>
        <w:tc>
          <w:tcPr>
            <w:tcW w:w="2120" w:type="dxa"/>
            <w:vAlign w:val="bottom"/>
          </w:tcPr>
          <w:p>
            <w:pPr>
              <w:jc w:val="center"/>
              <w:ind w:right="292"/>
              <w:spacing w:after="0" w:line="135"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Classification Code Number)</w:t>
            </w:r>
          </w:p>
        </w:tc>
        <w:tc>
          <w:tcPr>
            <w:tcW w:w="1660" w:type="dxa"/>
            <w:vAlign w:val="bottom"/>
          </w:tcPr>
          <w:p>
            <w:pPr>
              <w:jc w:val="center"/>
              <w:ind w:left="532"/>
              <w:spacing w:after="0" w:line="135" w:lineRule="exact"/>
              <w:rPr>
                <w:sz w:val="20"/>
                <w:szCs w:val="20"/>
                <w:color w:val="auto"/>
              </w:rPr>
            </w:pPr>
            <w:r>
              <w:rPr>
                <w:rFonts w:ascii="Arial" w:cs="Arial" w:eastAsia="Arial" w:hAnsi="Arial"/>
                <w:sz w:val="14"/>
                <w:szCs w:val="14"/>
                <w:b w:val="1"/>
                <w:bCs w:val="1"/>
                <w:color w:val="auto"/>
                <w:w w:val="89"/>
              </w:rPr>
              <w:t>Identification No.)</w:t>
            </w:r>
          </w:p>
        </w:tc>
      </w:tr>
      <w:tr>
        <w:trPr>
          <w:trHeight w:val="392"/>
        </w:trPr>
        <w:tc>
          <w:tcPr>
            <w:tcW w:w="2120" w:type="dxa"/>
            <w:vAlign w:val="bottom"/>
          </w:tcPr>
          <w:p>
            <w:pPr>
              <w:spacing w:after="0"/>
              <w:rPr>
                <w:sz w:val="24"/>
                <w:szCs w:val="24"/>
                <w:color w:val="auto"/>
              </w:rPr>
            </w:pPr>
          </w:p>
        </w:tc>
        <w:tc>
          <w:tcPr>
            <w:tcW w:w="5260" w:type="dxa"/>
            <w:vAlign w:val="bottom"/>
          </w:tcPr>
          <w:p>
            <w:pPr>
              <w:jc w:val="center"/>
              <w:ind w:right="163"/>
              <w:spacing w:after="0"/>
              <w:rPr>
                <w:sz w:val="20"/>
                <w:szCs w:val="20"/>
                <w:color w:val="auto"/>
              </w:rPr>
            </w:pPr>
            <w:r>
              <w:rPr>
                <w:rFonts w:ascii="Arial" w:cs="Arial" w:eastAsia="Arial" w:hAnsi="Arial"/>
                <w:sz w:val="32"/>
                <w:szCs w:val="32"/>
                <w:b w:val="1"/>
                <w:bCs w:val="1"/>
                <w:color w:val="auto"/>
                <w:w w:val="92"/>
              </w:rPr>
              <w:t>Wynn Las Vegas Capital Corp.</w:t>
            </w:r>
          </w:p>
        </w:tc>
        <w:tc>
          <w:tcPr>
            <w:tcW w:w="1660" w:type="dxa"/>
            <w:vAlign w:val="bottom"/>
          </w:tcPr>
          <w:p>
            <w:pPr>
              <w:spacing w:after="0"/>
              <w:rPr>
                <w:sz w:val="24"/>
                <w:szCs w:val="24"/>
                <w:color w:val="auto"/>
              </w:rPr>
            </w:pPr>
          </w:p>
        </w:tc>
      </w:tr>
      <w:tr>
        <w:trPr>
          <w:trHeight w:val="149"/>
        </w:trPr>
        <w:tc>
          <w:tcPr>
            <w:tcW w:w="2120" w:type="dxa"/>
            <w:vAlign w:val="bottom"/>
          </w:tcPr>
          <w:p>
            <w:pPr>
              <w:spacing w:after="0"/>
              <w:rPr>
                <w:sz w:val="12"/>
                <w:szCs w:val="12"/>
                <w:color w:val="auto"/>
              </w:rPr>
            </w:pPr>
          </w:p>
        </w:tc>
        <w:tc>
          <w:tcPr>
            <w:tcW w:w="526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2"/>
                <w:szCs w:val="12"/>
                <w:color w:val="auto"/>
              </w:rPr>
            </w:pP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85"/>
              </w:rPr>
              <w:t>46-0484992</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62"/>
        </w:trPr>
        <w:tc>
          <w:tcPr>
            <w:tcW w:w="2120" w:type="dxa"/>
            <w:vAlign w:val="bottom"/>
          </w:tcPr>
          <w:p>
            <w:pPr>
              <w:jc w:val="center"/>
              <w:ind w:right="292"/>
              <w:spacing w:after="0"/>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1660" w:type="dxa"/>
            <w:vAlign w:val="bottom"/>
          </w:tcPr>
          <w:p>
            <w:pPr>
              <w:jc w:val="center"/>
              <w:ind w:left="532"/>
              <w:spacing w:after="0"/>
              <w:rPr>
                <w:sz w:val="20"/>
                <w:szCs w:val="20"/>
                <w:color w:val="auto"/>
              </w:rPr>
            </w:pPr>
            <w:r>
              <w:rPr>
                <w:rFonts w:ascii="Arial" w:cs="Arial" w:eastAsia="Arial" w:hAnsi="Arial"/>
                <w:sz w:val="14"/>
                <w:szCs w:val="14"/>
                <w:b w:val="1"/>
                <w:bCs w:val="1"/>
                <w:color w:val="auto"/>
                <w:w w:val="89"/>
              </w:rPr>
              <w:t>Identification No.)</w:t>
            </w:r>
          </w:p>
        </w:tc>
      </w:tr>
      <w:tr>
        <w:trPr>
          <w:trHeight w:val="174"/>
        </w:trPr>
        <w:tc>
          <w:tcPr>
            <w:tcW w:w="2120" w:type="dxa"/>
            <w:vAlign w:val="bottom"/>
          </w:tcPr>
          <w:p>
            <w:pPr>
              <w:spacing w:after="0"/>
              <w:rPr>
                <w:sz w:val="15"/>
                <w:szCs w:val="15"/>
                <w:color w:val="auto"/>
              </w:rPr>
            </w:pPr>
          </w:p>
        </w:tc>
        <w:tc>
          <w:tcPr>
            <w:tcW w:w="5260" w:type="dxa"/>
            <w:vAlign w:val="bottom"/>
          </w:tcPr>
          <w:p>
            <w:pPr>
              <w:jc w:val="center"/>
              <w:ind w:right="143"/>
              <w:spacing w:after="0"/>
              <w:rPr>
                <w:sz w:val="20"/>
                <w:szCs w:val="20"/>
                <w:color w:val="auto"/>
              </w:rPr>
            </w:pPr>
            <w:r>
              <w:rPr>
                <w:rFonts w:ascii="Arial" w:cs="Arial" w:eastAsia="Arial" w:hAnsi="Arial"/>
                <w:sz w:val="14"/>
                <w:szCs w:val="14"/>
                <w:b w:val="1"/>
                <w:bCs w:val="1"/>
                <w:color w:val="auto"/>
                <w:w w:val="87"/>
              </w:rPr>
              <w:t>*See Table of Additional Registrants below</w:t>
            </w:r>
          </w:p>
        </w:tc>
        <w:tc>
          <w:tcPr>
            <w:tcW w:w="16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60325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770-1100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60325</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President</w:t>
      </w:r>
    </w:p>
    <w:p>
      <w:pPr>
        <w:jc w:val="center"/>
        <w:spacing w:after="0" w:line="222" w:lineRule="auto"/>
        <w:rPr>
          <w:sz w:val="20"/>
          <w:szCs w:val="20"/>
          <w:color w:val="auto"/>
        </w:rPr>
      </w:pPr>
      <w:r>
        <w:rPr>
          <w:rFonts w:ascii="Arial" w:cs="Arial" w:eastAsia="Arial" w:hAnsi="Arial"/>
          <w:sz w:val="14"/>
          <w:szCs w:val="14"/>
          <w:b w:val="1"/>
          <w:bCs w:val="1"/>
          <w:color w:val="auto"/>
        </w:rPr>
        <w:t>c/o Wynn Resorts, Limited</w:t>
      </w:r>
    </w:p>
    <w:p>
      <w:pPr>
        <w:jc w:val="center"/>
        <w:spacing w:after="0" w:line="221" w:lineRule="auto"/>
        <w:rPr>
          <w:sz w:val="20"/>
          <w:szCs w:val="20"/>
          <w:color w:val="auto"/>
        </w:rPr>
      </w:pPr>
      <w:r>
        <w:rPr>
          <w:rFonts w:ascii="Arial" w:cs="Arial" w:eastAsia="Arial" w:hAnsi="Arial"/>
          <w:sz w:val="14"/>
          <w:szCs w:val="14"/>
          <w:b w:val="1"/>
          <w:bCs w:val="1"/>
          <w:color w:val="auto"/>
        </w:rPr>
        <w:t>3131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60325</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of all communications to:</w:t>
      </w:r>
    </w:p>
    <w:p>
      <w:pPr>
        <w:jc w:val="center"/>
        <w:spacing w:after="0" w:line="221" w:lineRule="auto"/>
        <w:rPr>
          <w:sz w:val="20"/>
          <w:szCs w:val="20"/>
          <w:color w:val="auto"/>
        </w:rPr>
      </w:pPr>
      <w:r>
        <w:rPr>
          <w:rFonts w:ascii="Arial" w:cs="Arial" w:eastAsia="Arial" w:hAnsi="Arial"/>
          <w:sz w:val="14"/>
          <w:szCs w:val="14"/>
          <w:b w:val="1"/>
          <w:bCs w:val="1"/>
          <w:color w:val="auto"/>
        </w:rPr>
        <w:t>Jerome L. Coben, Esq.</w:t>
      </w:r>
    </w:p>
    <w:p>
      <w:pPr>
        <w:jc w:val="center"/>
        <w:spacing w:after="0" w:line="221" w:lineRule="auto"/>
        <w:rPr>
          <w:sz w:val="20"/>
          <w:szCs w:val="20"/>
          <w:color w:val="auto"/>
        </w:rPr>
      </w:pPr>
      <w:r>
        <w:rPr>
          <w:rFonts w:ascii="Arial" w:cs="Arial" w:eastAsia="Arial" w:hAnsi="Arial"/>
          <w:sz w:val="14"/>
          <w:szCs w:val="14"/>
          <w:b w:val="1"/>
          <w:bCs w:val="1"/>
          <w:color w:val="auto"/>
        </w:rPr>
        <w:t>Jonathan L. Friedman, Esq.</w:t>
      </w:r>
    </w:p>
    <w:p>
      <w:pPr>
        <w:jc w:val="center"/>
        <w:spacing w:after="0" w:line="222" w:lineRule="auto"/>
        <w:rPr>
          <w:sz w:val="20"/>
          <w:szCs w:val="20"/>
          <w:color w:val="auto"/>
        </w:rPr>
      </w:pPr>
      <w:r>
        <w:rPr>
          <w:rFonts w:ascii="Arial" w:cs="Arial" w:eastAsia="Arial" w:hAnsi="Arial"/>
          <w:sz w:val="14"/>
          <w:szCs w:val="14"/>
          <w:b w:val="1"/>
          <w:bCs w:val="1"/>
          <w:color w:val="auto"/>
        </w:rPr>
        <w:t>Skadden, Arps, Slate, Meagher &amp; Flom LLP</w:t>
      </w:r>
    </w:p>
    <w:p>
      <w:pPr>
        <w:jc w:val="center"/>
        <w:spacing w:after="0" w:line="221" w:lineRule="auto"/>
        <w:rPr>
          <w:sz w:val="20"/>
          <w:szCs w:val="20"/>
          <w:color w:val="auto"/>
        </w:rPr>
      </w:pPr>
      <w:r>
        <w:rPr>
          <w:rFonts w:ascii="Arial" w:cs="Arial" w:eastAsia="Arial" w:hAnsi="Arial"/>
          <w:sz w:val="14"/>
          <w:szCs w:val="14"/>
          <w:b w:val="1"/>
          <w:bCs w:val="1"/>
          <w:color w:val="auto"/>
        </w:rPr>
        <w:t>300 South Grand Avenue, Suite 3400</w:t>
      </w:r>
    </w:p>
    <w:p>
      <w:pPr>
        <w:jc w:val="center"/>
        <w:spacing w:after="0" w:line="222" w:lineRule="auto"/>
        <w:rPr>
          <w:sz w:val="20"/>
          <w:szCs w:val="20"/>
          <w:color w:val="auto"/>
        </w:rPr>
      </w:pPr>
      <w:r>
        <w:rPr>
          <w:rFonts w:ascii="Arial" w:cs="Arial" w:eastAsia="Arial" w:hAnsi="Arial"/>
          <w:sz w:val="14"/>
          <w:szCs w:val="14"/>
          <w:b w:val="1"/>
          <w:bCs w:val="1"/>
          <w:color w:val="auto"/>
        </w:rPr>
        <w:t>Los Angeles, California 90071</w:t>
      </w:r>
    </w:p>
    <w:p>
      <w:pPr>
        <w:ind w:left="5300"/>
        <w:spacing w:after="0" w:line="221" w:lineRule="auto"/>
        <w:rPr>
          <w:sz w:val="24"/>
          <w:szCs w:val="24"/>
          <w:color w:val="auto"/>
        </w:rPr>
      </w:pPr>
      <w:r>
        <w:rPr>
          <w:rFonts w:ascii="Arial" w:cs="Arial" w:eastAsia="Arial" w:hAnsi="Arial"/>
          <w:sz w:val="14"/>
          <w:szCs w:val="14"/>
          <w:b w:val="1"/>
          <w:bCs w:val="1"/>
          <w:color w:val="auto"/>
        </w:rPr>
        <w:t>(213) 687-5000</w:t>
      </w:r>
    </w:p>
    <w:p>
      <w:pPr>
        <w:ind w:left="5300" w:hanging="325"/>
        <w:spacing w:after="0"/>
        <w:tabs>
          <w:tab w:leader="none" w:pos="530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687-5600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74295</wp:posOffset>
            </wp:positionV>
            <wp:extent cx="1329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3" w:lineRule="exact"/>
        <w:rPr>
          <w:sz w:val="24"/>
          <w:szCs w:val="24"/>
          <w:color w:val="auto"/>
        </w:rPr>
      </w:pPr>
    </w:p>
    <w:p>
      <w:pPr>
        <w:ind w:left="360"/>
        <w:spacing w:after="0"/>
        <w:tabs>
          <w:tab w:leader="none" w:pos="4340" w:val="left"/>
        </w:tabs>
        <w:rPr>
          <w:sz w:val="20"/>
          <w:szCs w:val="20"/>
          <w:color w:val="auto"/>
        </w:rPr>
      </w:pPr>
      <w:r>
        <w:rPr>
          <w:rFonts w:ascii="Arial" w:cs="Arial" w:eastAsia="Arial" w:hAnsi="Arial"/>
          <w:sz w:val="14"/>
          <w:szCs w:val="14"/>
          <w:b w:val="1"/>
          <w:bCs w:val="1"/>
          <w:color w:val="auto"/>
        </w:rPr>
        <w:t>Approximate date of commencement of proposed sale to the public:</w:t>
      </w:r>
      <w:r>
        <w:rPr>
          <w:sz w:val="20"/>
          <w:szCs w:val="20"/>
          <w:color w:val="auto"/>
        </w:rPr>
        <w:tab/>
      </w:r>
      <w:r>
        <w:rPr>
          <w:rFonts w:ascii="Arial" w:cs="Arial" w:eastAsia="Arial" w:hAnsi="Arial"/>
          <w:sz w:val="12"/>
          <w:szCs w:val="12"/>
          <w:color w:val="auto"/>
        </w:rPr>
        <w:t>As soon as practicable after this registration statement becomes effective.</w:t>
      </w:r>
    </w:p>
    <w:p>
      <w:pPr>
        <w:ind w:left="36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16" w:lineRule="exact"/>
        <w:rPr>
          <w:sz w:val="24"/>
          <w:szCs w:val="24"/>
          <w:color w:val="auto"/>
        </w:rPr>
      </w:pPr>
    </w:p>
    <w:p>
      <w:pPr>
        <w:ind w:right="60" w:firstLine="342"/>
        <w:spacing w:after="0" w:line="14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60" w:firstLine="342"/>
        <w:spacing w:after="0" w:line="149" w:lineRule="exact"/>
        <w:rPr>
          <w:sz w:val="20"/>
          <w:szCs w:val="20"/>
          <w:color w:val="auto"/>
        </w:rPr>
      </w:pPr>
      <w:r>
        <w:rPr>
          <w:rFonts w:ascii="Arial" w:cs="Arial" w:eastAsia="Arial" w:hAnsi="Arial"/>
          <w:sz w:val="14"/>
          <w:szCs w:val="14"/>
          <w:color w:val="auto"/>
        </w:rPr>
        <w:t xml:space="preserve">If this Form is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jc w:val="center"/>
              <w:ind w:left="672"/>
              <w:spacing w:after="0"/>
              <w:rPr>
                <w:sz w:val="20"/>
                <w:szCs w:val="20"/>
                <w:color w:val="auto"/>
              </w:rPr>
            </w:pPr>
            <w:r>
              <w:rPr>
                <w:rFonts w:ascii="Arial" w:cs="Arial" w:eastAsia="Arial" w:hAnsi="Arial"/>
                <w:sz w:val="14"/>
                <w:szCs w:val="14"/>
                <w:b w:val="1"/>
                <w:bCs w:val="1"/>
                <w:color w:val="auto"/>
                <w:w w:val="90"/>
              </w:rPr>
              <w:t>Amount</w:t>
            </w:r>
          </w:p>
        </w:tc>
        <w:tc>
          <w:tcPr>
            <w:tcW w:w="1940" w:type="dxa"/>
            <w:vAlign w:val="bottom"/>
            <w:tcBorders>
              <w:right w:val="single" w:sz="8" w:color="auto"/>
            </w:tcBorders>
          </w:tcPr>
          <w:p>
            <w:pPr>
              <w:jc w:val="center"/>
              <w:ind w:left="672"/>
              <w:spacing w:after="0"/>
              <w:rPr>
                <w:sz w:val="20"/>
                <w:szCs w:val="20"/>
                <w:color w:val="auto"/>
              </w:rPr>
            </w:pPr>
            <w:r>
              <w:rPr>
                <w:rFonts w:ascii="Arial" w:cs="Arial" w:eastAsia="Arial" w:hAnsi="Arial"/>
                <w:sz w:val="14"/>
                <w:szCs w:val="14"/>
                <w:b w:val="1"/>
                <w:bCs w:val="1"/>
                <w:color w:val="auto"/>
                <w:w w:val="86"/>
              </w:rPr>
              <w:t>Proposed maximum</w:t>
            </w:r>
          </w:p>
        </w:tc>
        <w:tc>
          <w:tcPr>
            <w:tcW w:w="1940" w:type="dxa"/>
            <w:vAlign w:val="bottom"/>
            <w:tcBorders>
              <w:right w:val="single" w:sz="8" w:color="auto"/>
            </w:tcBorders>
          </w:tcPr>
          <w:p>
            <w:pPr>
              <w:jc w:val="center"/>
              <w:ind w:left="672"/>
              <w:spacing w:after="0"/>
              <w:rPr>
                <w:sz w:val="20"/>
                <w:szCs w:val="20"/>
                <w:color w:val="auto"/>
              </w:rPr>
            </w:pPr>
            <w:r>
              <w:rPr>
                <w:rFonts w:ascii="Arial" w:cs="Arial" w:eastAsia="Arial" w:hAnsi="Arial"/>
                <w:sz w:val="14"/>
                <w:szCs w:val="14"/>
                <w:b w:val="1"/>
                <w:bCs w:val="1"/>
                <w:color w:val="auto"/>
                <w:w w:val="86"/>
              </w:rPr>
              <w:t>Proposed maximum</w:t>
            </w:r>
          </w:p>
        </w:tc>
        <w:tc>
          <w:tcPr>
            <w:tcW w:w="1440" w:type="dxa"/>
            <w:vAlign w:val="bottom"/>
          </w:tcPr>
          <w:p>
            <w:pPr>
              <w:jc w:val="center"/>
              <w:ind w:left="712"/>
              <w:spacing w:after="0"/>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44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Title of each class of</w:t>
            </w:r>
          </w:p>
        </w:tc>
        <w:tc>
          <w:tcPr>
            <w:tcW w:w="1620" w:type="dxa"/>
            <w:vAlign w:val="bottom"/>
            <w:tcBorders>
              <w:right w:val="single" w:sz="8" w:color="auto"/>
            </w:tcBorders>
          </w:tcPr>
          <w:p>
            <w:pPr>
              <w:jc w:val="center"/>
              <w:ind w:left="672"/>
              <w:spacing w:after="0" w:line="149" w:lineRule="exact"/>
              <w:rPr>
                <w:sz w:val="20"/>
                <w:szCs w:val="20"/>
                <w:color w:val="auto"/>
              </w:rPr>
            </w:pPr>
            <w:r>
              <w:rPr>
                <w:rFonts w:ascii="Arial" w:cs="Arial" w:eastAsia="Arial" w:hAnsi="Arial"/>
                <w:sz w:val="14"/>
                <w:szCs w:val="14"/>
                <w:b w:val="1"/>
                <w:bCs w:val="1"/>
                <w:color w:val="auto"/>
                <w:w w:val="83"/>
              </w:rPr>
              <w:t>to be</w:t>
            </w:r>
          </w:p>
        </w:tc>
        <w:tc>
          <w:tcPr>
            <w:tcW w:w="1940" w:type="dxa"/>
            <w:vAlign w:val="bottom"/>
            <w:tcBorders>
              <w:right w:val="single" w:sz="8" w:color="auto"/>
            </w:tcBorders>
          </w:tcPr>
          <w:p>
            <w:pPr>
              <w:jc w:val="center"/>
              <w:ind w:left="652"/>
              <w:spacing w:after="0" w:line="149" w:lineRule="exact"/>
              <w:rPr>
                <w:sz w:val="20"/>
                <w:szCs w:val="20"/>
                <w:color w:val="auto"/>
              </w:rPr>
            </w:pPr>
            <w:r>
              <w:rPr>
                <w:rFonts w:ascii="Arial" w:cs="Arial" w:eastAsia="Arial" w:hAnsi="Arial"/>
                <w:sz w:val="14"/>
                <w:szCs w:val="14"/>
                <w:b w:val="1"/>
                <w:bCs w:val="1"/>
                <w:color w:val="auto"/>
                <w:w w:val="88"/>
              </w:rPr>
              <w:t>offering price per</w:t>
            </w:r>
          </w:p>
        </w:tc>
        <w:tc>
          <w:tcPr>
            <w:tcW w:w="1940" w:type="dxa"/>
            <w:vAlign w:val="bottom"/>
            <w:tcBorders>
              <w:right w:val="single" w:sz="8" w:color="auto"/>
            </w:tcBorders>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aggregate offering</w:t>
            </w:r>
          </w:p>
        </w:tc>
        <w:tc>
          <w:tcPr>
            <w:tcW w:w="1440" w:type="dxa"/>
            <w:vAlign w:val="bottom"/>
          </w:tcPr>
          <w:p>
            <w:pPr>
              <w:jc w:val="center"/>
              <w:ind w:left="692"/>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4"/>
        </w:trPr>
        <w:tc>
          <w:tcPr>
            <w:tcW w:w="20" w:type="dxa"/>
            <w:vAlign w:val="bottom"/>
          </w:tcPr>
          <w:p>
            <w:pPr>
              <w:spacing w:after="0"/>
              <w:rPr>
                <w:sz w:val="15"/>
                <w:szCs w:val="15"/>
                <w:color w:val="auto"/>
              </w:rPr>
            </w:pPr>
          </w:p>
        </w:tc>
        <w:tc>
          <w:tcPr>
            <w:tcW w:w="4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 to be registered</w:t>
            </w:r>
          </w:p>
        </w:tc>
        <w:tc>
          <w:tcPr>
            <w:tcW w:w="1620" w:type="dxa"/>
            <w:vAlign w:val="bottom"/>
            <w:tcBorders>
              <w:bottom w:val="single" w:sz="8" w:color="auto"/>
              <w:right w:val="single" w:sz="8" w:color="auto"/>
            </w:tcBorders>
          </w:tcPr>
          <w:p>
            <w:pPr>
              <w:jc w:val="center"/>
              <w:ind w:left="672"/>
              <w:spacing w:after="0"/>
              <w:rPr>
                <w:sz w:val="20"/>
                <w:szCs w:val="20"/>
                <w:color w:val="auto"/>
              </w:rPr>
            </w:pPr>
            <w:r>
              <w:rPr>
                <w:rFonts w:ascii="Arial" w:cs="Arial" w:eastAsia="Arial" w:hAnsi="Arial"/>
                <w:sz w:val="14"/>
                <w:szCs w:val="14"/>
                <w:b w:val="1"/>
                <w:bCs w:val="1"/>
                <w:color w:val="auto"/>
                <w:w w:val="82"/>
              </w:rPr>
              <w:t>registered</w:t>
            </w:r>
          </w:p>
        </w:tc>
        <w:tc>
          <w:tcPr>
            <w:tcW w:w="1940" w:type="dxa"/>
            <w:vAlign w:val="bottom"/>
            <w:tcBorders>
              <w:bottom w:val="single" w:sz="8" w:color="auto"/>
              <w:right w:val="single" w:sz="8" w:color="auto"/>
            </w:tcBorders>
          </w:tcPr>
          <w:p>
            <w:pPr>
              <w:jc w:val="center"/>
              <w:ind w:left="652"/>
              <w:spacing w:after="0"/>
              <w:rPr>
                <w:sz w:val="20"/>
                <w:szCs w:val="20"/>
                <w:color w:val="auto"/>
              </w:rPr>
            </w:pPr>
            <w:r>
              <w:rPr>
                <w:rFonts w:ascii="Arial" w:cs="Arial" w:eastAsia="Arial" w:hAnsi="Arial"/>
                <w:sz w:val="14"/>
                <w:szCs w:val="14"/>
                <w:b w:val="1"/>
                <w:bCs w:val="1"/>
                <w:color w:val="auto"/>
                <w:w w:val="85"/>
              </w:rPr>
              <w:t>security</w:t>
            </w:r>
          </w:p>
        </w:tc>
        <w:tc>
          <w:tcPr>
            <w:tcW w:w="1940" w:type="dxa"/>
            <w:vAlign w:val="bottom"/>
            <w:tcBorders>
              <w:bottom w:val="single" w:sz="8" w:color="auto"/>
              <w:right w:val="single" w:sz="8" w:color="auto"/>
            </w:tcBorders>
          </w:tcPr>
          <w:p>
            <w:pPr>
              <w:jc w:val="center"/>
              <w:ind w:left="672"/>
              <w:spacing w:after="0"/>
              <w:rPr>
                <w:sz w:val="20"/>
                <w:szCs w:val="20"/>
                <w:color w:val="auto"/>
              </w:rPr>
            </w:pPr>
            <w:r>
              <w:rPr>
                <w:rFonts w:ascii="Arial" w:cs="Arial" w:eastAsia="Arial" w:hAnsi="Arial"/>
                <w:sz w:val="14"/>
                <w:szCs w:val="14"/>
                <w:b w:val="1"/>
                <w:bCs w:val="1"/>
                <w:color w:val="auto"/>
                <w:w w:val="83"/>
              </w:rPr>
              <w:t>price</w:t>
            </w:r>
          </w:p>
        </w:tc>
        <w:tc>
          <w:tcPr>
            <w:tcW w:w="1440" w:type="dxa"/>
            <w:vAlign w:val="bottom"/>
            <w:tcBorders>
              <w:bottom w:val="single" w:sz="8" w:color="auto"/>
            </w:tcBorders>
          </w:tcPr>
          <w:p>
            <w:pPr>
              <w:jc w:val="center"/>
              <w:ind w:left="692"/>
              <w:spacing w:after="0"/>
              <w:rPr>
                <w:sz w:val="20"/>
                <w:szCs w:val="20"/>
                <w:color w:val="auto"/>
              </w:rPr>
            </w:pPr>
            <w:r>
              <w:rPr>
                <w:rFonts w:ascii="Arial" w:cs="Arial" w:eastAsia="Arial" w:hAnsi="Arial"/>
                <w:sz w:val="14"/>
                <w:szCs w:val="14"/>
                <w:b w:val="1"/>
                <w:bCs w:val="1"/>
                <w:color w:val="auto"/>
                <w:w w:val="78"/>
              </w:rPr>
              <w:t>fee</w:t>
            </w:r>
          </w:p>
        </w:tc>
      </w:tr>
      <w:tr>
        <w:trPr>
          <w:trHeight w:val="170"/>
        </w:trPr>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right w:val="single" w:sz="8" w:color="auto"/>
            </w:tcBorders>
          </w:tcPr>
          <w:p>
            <w:pPr>
              <w:spacing w:after="0" w:line="170" w:lineRule="exact"/>
              <w:rPr>
                <w:sz w:val="20"/>
                <w:szCs w:val="20"/>
                <w:color w:val="auto"/>
              </w:rPr>
            </w:pPr>
            <w:r>
              <w:rPr>
                <w:rFonts w:ascii="Arial" w:cs="Arial" w:eastAsia="Arial" w:hAnsi="Arial"/>
                <w:sz w:val="12"/>
                <w:szCs w:val="12"/>
                <w:color w:val="auto"/>
              </w:rPr>
              <w:t xml:space="preserve">6 </w:t>
            </w:r>
            <w:r>
              <w:rPr>
                <w:rFonts w:ascii="Arial" w:cs="Arial" w:eastAsia="Arial" w:hAnsi="Arial"/>
                <w:sz w:val="19"/>
                <w:szCs w:val="19"/>
                <w:color w:val="auto"/>
                <w:vertAlign w:val="superscript"/>
              </w:rPr>
              <w:t>5</w:t>
            </w:r>
            <w:r>
              <w:rPr>
                <w:rFonts w:ascii="Arial" w:cs="Arial" w:eastAsia="Arial" w:hAnsi="Arial"/>
                <w:sz w:val="12"/>
                <w:szCs w:val="12"/>
                <w:color w:val="auto"/>
              </w:rPr>
              <w:t>/8% First Mortgage Notes due 2014</w:t>
            </w:r>
          </w:p>
        </w:tc>
        <w:tc>
          <w:tcPr>
            <w:tcW w:w="1620" w:type="dxa"/>
            <w:vAlign w:val="bottom"/>
            <w:tcBorders>
              <w:bottom w:val="single" w:sz="8" w:color="auto"/>
              <w:right w:val="single" w:sz="8" w:color="auto"/>
            </w:tcBorders>
          </w:tcPr>
          <w:p>
            <w:pPr>
              <w:jc w:val="center"/>
              <w:ind w:left="672"/>
              <w:spacing w:after="0"/>
              <w:rPr>
                <w:sz w:val="20"/>
                <w:szCs w:val="20"/>
                <w:color w:val="auto"/>
              </w:rPr>
            </w:pPr>
            <w:r>
              <w:rPr>
                <w:rFonts w:ascii="Arial" w:cs="Arial" w:eastAsia="Arial" w:hAnsi="Arial"/>
                <w:sz w:val="14"/>
                <w:szCs w:val="14"/>
                <w:color w:val="auto"/>
                <w:w w:val="86"/>
              </w:rPr>
              <w:t>$1,300,000,000</w:t>
            </w:r>
          </w:p>
        </w:tc>
        <w:tc>
          <w:tcPr>
            <w:tcW w:w="1940" w:type="dxa"/>
            <w:vAlign w:val="bottom"/>
            <w:tcBorders>
              <w:bottom w:val="single" w:sz="8" w:color="auto"/>
              <w:right w:val="single" w:sz="8" w:color="auto"/>
            </w:tcBorders>
          </w:tcPr>
          <w:p>
            <w:pPr>
              <w:jc w:val="center"/>
              <w:ind w:left="672"/>
              <w:spacing w:after="0"/>
              <w:rPr>
                <w:sz w:val="20"/>
                <w:szCs w:val="20"/>
                <w:color w:val="auto"/>
              </w:rPr>
            </w:pPr>
            <w:r>
              <w:rPr>
                <w:rFonts w:ascii="Arial" w:cs="Arial" w:eastAsia="Arial" w:hAnsi="Arial"/>
                <w:sz w:val="14"/>
                <w:szCs w:val="14"/>
                <w:color w:val="auto"/>
                <w:w w:val="89"/>
              </w:rPr>
              <w:t>100%</w:t>
            </w:r>
          </w:p>
        </w:tc>
        <w:tc>
          <w:tcPr>
            <w:tcW w:w="1940" w:type="dxa"/>
            <w:vAlign w:val="bottom"/>
            <w:tcBorders>
              <w:bottom w:val="single" w:sz="8" w:color="auto"/>
              <w:right w:val="single" w:sz="8" w:color="auto"/>
            </w:tcBorders>
          </w:tcPr>
          <w:p>
            <w:pPr>
              <w:jc w:val="center"/>
              <w:ind w:left="672"/>
              <w:spacing w:after="0"/>
              <w:rPr>
                <w:sz w:val="20"/>
                <w:szCs w:val="20"/>
                <w:color w:val="auto"/>
              </w:rPr>
            </w:pPr>
            <w:r>
              <w:rPr>
                <w:rFonts w:ascii="Arial" w:cs="Arial" w:eastAsia="Arial" w:hAnsi="Arial"/>
                <w:sz w:val="14"/>
                <w:szCs w:val="14"/>
                <w:color w:val="auto"/>
                <w:w w:val="87"/>
              </w:rPr>
              <w:t>$1,300,000,000 (1)</w:t>
            </w:r>
          </w:p>
        </w:tc>
        <w:tc>
          <w:tcPr>
            <w:tcW w:w="1440" w:type="dxa"/>
            <w:vAlign w:val="bottom"/>
            <w:tcBorders>
              <w:bottom w:val="single" w:sz="8" w:color="auto"/>
            </w:tcBorders>
          </w:tcPr>
          <w:p>
            <w:pPr>
              <w:jc w:val="center"/>
              <w:ind w:left="692"/>
              <w:spacing w:after="0"/>
              <w:rPr>
                <w:sz w:val="20"/>
                <w:szCs w:val="20"/>
                <w:color w:val="auto"/>
              </w:rPr>
            </w:pPr>
            <w:r>
              <w:rPr>
                <w:rFonts w:ascii="Arial" w:cs="Arial" w:eastAsia="Arial" w:hAnsi="Arial"/>
                <w:sz w:val="14"/>
                <w:szCs w:val="14"/>
                <w:color w:val="auto"/>
                <w:w w:val="87"/>
              </w:rPr>
              <w:t>$153,010.00</w:t>
            </w:r>
          </w:p>
        </w:tc>
      </w:tr>
      <w:tr>
        <w:trPr>
          <w:trHeight w:val="169"/>
        </w:trPr>
        <w:tc>
          <w:tcPr>
            <w:tcW w:w="448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 xml:space="preserve">Guarantees related to the 6 </w:t>
            </w:r>
            <w:r>
              <w:rPr>
                <w:rFonts w:ascii="Arial" w:cs="Arial" w:eastAsia="Arial" w:hAnsi="Arial"/>
                <w:sz w:val="19"/>
                <w:szCs w:val="19"/>
                <w:color w:val="auto"/>
                <w:vertAlign w:val="superscript"/>
              </w:rPr>
              <w:t>5</w:t>
            </w:r>
            <w:r>
              <w:rPr>
                <w:rFonts w:ascii="Arial" w:cs="Arial" w:eastAsia="Arial" w:hAnsi="Arial"/>
                <w:sz w:val="12"/>
                <w:szCs w:val="12"/>
                <w:color w:val="auto"/>
              </w:rPr>
              <w:t>/8% First Mortgage Notes due 2014</w:t>
            </w:r>
          </w:p>
        </w:tc>
        <w:tc>
          <w:tcPr>
            <w:tcW w:w="1620" w:type="dxa"/>
            <w:vAlign w:val="bottom"/>
            <w:tcBorders>
              <w:right w:val="single" w:sz="8" w:color="auto"/>
            </w:tcBorders>
          </w:tcPr>
          <w:p>
            <w:pPr>
              <w:jc w:val="center"/>
              <w:ind w:left="672"/>
              <w:spacing w:after="0"/>
              <w:rPr>
                <w:sz w:val="20"/>
                <w:szCs w:val="20"/>
                <w:color w:val="auto"/>
              </w:rPr>
            </w:pPr>
            <w:r>
              <w:rPr>
                <w:rFonts w:ascii="Arial" w:cs="Arial" w:eastAsia="Arial" w:hAnsi="Arial"/>
                <w:sz w:val="14"/>
                <w:szCs w:val="14"/>
                <w:color w:val="auto"/>
              </w:rPr>
              <w:t>N/A</w:t>
            </w:r>
          </w:p>
        </w:tc>
        <w:tc>
          <w:tcPr>
            <w:tcW w:w="1940" w:type="dxa"/>
            <w:vAlign w:val="bottom"/>
            <w:tcBorders>
              <w:right w:val="single" w:sz="8" w:color="auto"/>
            </w:tcBorders>
          </w:tcPr>
          <w:p>
            <w:pPr>
              <w:jc w:val="center"/>
              <w:ind w:left="672"/>
              <w:spacing w:after="0"/>
              <w:rPr>
                <w:sz w:val="20"/>
                <w:szCs w:val="20"/>
                <w:color w:val="auto"/>
              </w:rPr>
            </w:pPr>
            <w:r>
              <w:rPr>
                <w:rFonts w:ascii="Arial" w:cs="Arial" w:eastAsia="Arial" w:hAnsi="Arial"/>
                <w:sz w:val="14"/>
                <w:szCs w:val="14"/>
                <w:color w:val="auto"/>
              </w:rPr>
              <w:t>N/A</w:t>
            </w:r>
          </w:p>
        </w:tc>
        <w:tc>
          <w:tcPr>
            <w:tcW w:w="1940" w:type="dxa"/>
            <w:vAlign w:val="bottom"/>
            <w:tcBorders>
              <w:right w:val="single" w:sz="8" w:color="auto"/>
            </w:tcBorders>
          </w:tcPr>
          <w:p>
            <w:pPr>
              <w:jc w:val="center"/>
              <w:ind w:left="672"/>
              <w:spacing w:after="0"/>
              <w:rPr>
                <w:sz w:val="20"/>
                <w:szCs w:val="20"/>
                <w:color w:val="auto"/>
              </w:rPr>
            </w:pPr>
            <w:r>
              <w:rPr>
                <w:rFonts w:ascii="Arial" w:cs="Arial" w:eastAsia="Arial" w:hAnsi="Arial"/>
                <w:sz w:val="14"/>
                <w:szCs w:val="14"/>
                <w:color w:val="auto"/>
              </w:rPr>
              <w:t>N/A</w:t>
            </w:r>
          </w:p>
        </w:tc>
        <w:tc>
          <w:tcPr>
            <w:tcW w:w="1440" w:type="dxa"/>
            <w:vAlign w:val="bottom"/>
          </w:tcPr>
          <w:p>
            <w:pPr>
              <w:jc w:val="center"/>
              <w:ind w:left="712"/>
              <w:spacing w:after="0"/>
              <w:rPr>
                <w:sz w:val="20"/>
                <w:szCs w:val="20"/>
                <w:color w:val="auto"/>
              </w:rPr>
            </w:pPr>
            <w:r>
              <w:rPr>
                <w:rFonts w:ascii="Arial" w:cs="Arial" w:eastAsia="Arial" w:hAnsi="Arial"/>
                <w:sz w:val="14"/>
                <w:szCs w:val="14"/>
                <w:color w:val="auto"/>
                <w:w w:val="94"/>
              </w:rPr>
              <w:t>N/A (2)</w:t>
            </w:r>
          </w:p>
        </w:tc>
      </w:tr>
      <w:tr>
        <w:trPr>
          <w:trHeight w:val="132"/>
        </w:trPr>
        <w:tc>
          <w:tcPr>
            <w:tcW w:w="20" w:type="dxa"/>
            <w:vAlign w:val="bottom"/>
            <w:tcBorders>
              <w:bottom w:val="single" w:sz="8" w:color="auto"/>
            </w:tcBorders>
          </w:tcPr>
          <w:p>
            <w:pPr>
              <w:spacing w:after="0"/>
              <w:rPr>
                <w:sz w:val="11"/>
                <w:szCs w:val="11"/>
                <w:color w:val="auto"/>
              </w:rPr>
            </w:pPr>
          </w:p>
        </w:tc>
        <w:tc>
          <w:tcPr>
            <w:tcW w:w="44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4"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457(f) promulgated under the Securities Act of 1933, as amended.</w:t>
      </w: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Pursuant to Rule 457(n), no additional fee is being paid in respect of the Guarantees. The Guarantees are not traded separately.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59690</wp:posOffset>
            </wp:positionV>
            <wp:extent cx="1329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3" w:lineRule="exact"/>
        <w:rPr>
          <w:sz w:val="24"/>
          <w:szCs w:val="24"/>
          <w:color w:val="auto"/>
        </w:rPr>
      </w:pPr>
    </w:p>
    <w:p>
      <w:pPr>
        <w:ind w:right="20" w:firstLine="342"/>
        <w:spacing w:after="0" w:line="231"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80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TABLE OF ADDITIONAL REGISTRANTS</w:t>
            </w:r>
          </w:p>
        </w:tc>
        <w:tc>
          <w:tcPr>
            <w:tcW w:w="1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6"/>
              </w:rPr>
              <w:t>State or Other Jurisdiction of</w:t>
            </w:r>
          </w:p>
        </w:tc>
        <w:tc>
          <w:tcPr>
            <w:tcW w:w="20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Primary Standard Industrial</w:t>
            </w:r>
          </w:p>
        </w:tc>
        <w:tc>
          <w:tcPr>
            <w:tcW w:w="3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I.R.S. Employer</w:t>
            </w:r>
          </w:p>
        </w:tc>
      </w:tr>
      <w:tr>
        <w:trPr>
          <w:trHeight w:val="174"/>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Name of Additional Registrant*</w:t>
            </w:r>
          </w:p>
        </w:tc>
        <w:tc>
          <w:tcPr>
            <w:tcW w:w="2320" w:type="dxa"/>
            <w:vAlign w:val="bottom"/>
          </w:tcPr>
          <w:p>
            <w:pPr>
              <w:spacing w:after="0"/>
              <w:rPr>
                <w:sz w:val="15"/>
                <w:szCs w:val="15"/>
                <w:color w:val="auto"/>
              </w:rPr>
            </w:pPr>
          </w:p>
        </w:tc>
        <w:tc>
          <w:tcPr>
            <w:tcW w:w="24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0"/>
              </w:rPr>
              <w:t>Incorporation or Formation</w:t>
            </w:r>
          </w:p>
        </w:tc>
        <w:tc>
          <w:tcPr>
            <w:tcW w:w="2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Classification Code Number</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Identification No.</w:t>
            </w:r>
          </w:p>
        </w:tc>
      </w:tr>
      <w:tr>
        <w:trPr>
          <w:trHeight w:val="95"/>
        </w:trPr>
        <w:tc>
          <w:tcPr>
            <w:tcW w:w="126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239"/>
        </w:trPr>
        <w:tc>
          <w:tcPr>
            <w:tcW w:w="3140" w:type="dxa"/>
            <w:vAlign w:val="bottom"/>
            <w:gridSpan w:val="2"/>
          </w:tcPr>
          <w:p>
            <w:pPr>
              <w:spacing w:after="0"/>
              <w:rPr>
                <w:sz w:val="20"/>
                <w:szCs w:val="20"/>
                <w:color w:val="auto"/>
              </w:rPr>
            </w:pPr>
            <w:r>
              <w:rPr>
                <w:rFonts w:ascii="Arial" w:cs="Arial" w:eastAsia="Arial" w:hAnsi="Arial"/>
                <w:sz w:val="14"/>
                <w:szCs w:val="14"/>
                <w:color w:val="auto"/>
              </w:rPr>
              <w:t>Las Vegas Jet, LLC</w:t>
            </w:r>
          </w:p>
        </w:tc>
        <w:tc>
          <w:tcPr>
            <w:tcW w:w="2320" w:type="dxa"/>
            <w:vAlign w:val="bottom"/>
          </w:tcPr>
          <w:p>
            <w:pPr>
              <w:spacing w:after="0"/>
              <w:rPr>
                <w:sz w:val="20"/>
                <w:szCs w:val="20"/>
                <w:color w:val="auto"/>
              </w:rPr>
            </w:pPr>
          </w:p>
        </w:tc>
        <w:tc>
          <w:tcPr>
            <w:tcW w:w="2480" w:type="dxa"/>
            <w:vAlign w:val="bottom"/>
            <w:gridSpan w:val="2"/>
          </w:tcPr>
          <w:p>
            <w:pPr>
              <w:jc w:val="right"/>
              <w:ind w:right="780"/>
              <w:spacing w:after="0"/>
              <w:rPr>
                <w:sz w:val="20"/>
                <w:szCs w:val="20"/>
                <w:color w:val="auto"/>
              </w:rPr>
            </w:pPr>
            <w:r>
              <w:rPr>
                <w:rFonts w:ascii="Arial" w:cs="Arial" w:eastAsia="Arial" w:hAnsi="Arial"/>
                <w:sz w:val="14"/>
                <w:szCs w:val="14"/>
                <w:color w:val="auto"/>
              </w:rPr>
              <w:t>Nevada</w:t>
            </w:r>
          </w:p>
        </w:tc>
        <w:tc>
          <w:tcPr>
            <w:tcW w:w="2080" w:type="dxa"/>
            <w:vAlign w:val="bottom"/>
            <w:gridSpan w:val="2"/>
          </w:tcPr>
          <w:p>
            <w:pPr>
              <w:jc w:val="right"/>
              <w:ind w:right="400"/>
              <w:spacing w:after="0"/>
              <w:rPr>
                <w:sz w:val="20"/>
                <w:szCs w:val="20"/>
                <w:color w:val="auto"/>
              </w:rPr>
            </w:pPr>
            <w:r>
              <w:rPr>
                <w:rFonts w:ascii="Arial" w:cs="Arial" w:eastAsia="Arial" w:hAnsi="Arial"/>
                <w:sz w:val="14"/>
                <w:szCs w:val="14"/>
                <w:color w:val="auto"/>
              </w:rPr>
              <w:t>7990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88-0460935</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World Travel, LLC</w:t>
            </w:r>
          </w:p>
        </w:tc>
        <w:tc>
          <w:tcPr>
            <w:tcW w:w="2320" w:type="dxa"/>
            <w:vAlign w:val="bottom"/>
          </w:tcPr>
          <w:p>
            <w:pPr>
              <w:spacing w:after="0"/>
              <w:rPr>
                <w:sz w:val="12"/>
                <w:szCs w:val="12"/>
                <w:color w:val="auto"/>
              </w:rPr>
            </w:pPr>
          </w:p>
        </w:tc>
        <w:tc>
          <w:tcPr>
            <w:tcW w:w="24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47-0846667</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Golf, LLC</w:t>
            </w:r>
          </w:p>
        </w:tc>
        <w:tc>
          <w:tcPr>
            <w:tcW w:w="2320" w:type="dxa"/>
            <w:vAlign w:val="bottom"/>
          </w:tcPr>
          <w:p>
            <w:pPr>
              <w:spacing w:after="0"/>
              <w:rPr>
                <w:sz w:val="12"/>
                <w:szCs w:val="12"/>
                <w:color w:val="auto"/>
              </w:rPr>
            </w:pPr>
          </w:p>
        </w:tc>
        <w:tc>
          <w:tcPr>
            <w:tcW w:w="24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20-1267401</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Show Performers, LLC</w:t>
            </w:r>
          </w:p>
        </w:tc>
        <w:tc>
          <w:tcPr>
            <w:tcW w:w="2320" w:type="dxa"/>
            <w:vAlign w:val="bottom"/>
          </w:tcPr>
          <w:p>
            <w:pPr>
              <w:spacing w:after="0"/>
              <w:rPr>
                <w:sz w:val="12"/>
                <w:szCs w:val="12"/>
                <w:color w:val="auto"/>
              </w:rPr>
            </w:pPr>
          </w:p>
        </w:tc>
        <w:tc>
          <w:tcPr>
            <w:tcW w:w="24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20-0475541</w:t>
            </w:r>
          </w:p>
        </w:tc>
      </w:tr>
      <w:tr>
        <w:trPr>
          <w:trHeight w:val="172"/>
        </w:trPr>
        <w:tc>
          <w:tcPr>
            <w:tcW w:w="3140" w:type="dxa"/>
            <w:vAlign w:val="bottom"/>
            <w:gridSpan w:val="2"/>
          </w:tcPr>
          <w:p>
            <w:pPr>
              <w:spacing w:after="0"/>
              <w:rPr>
                <w:sz w:val="20"/>
                <w:szCs w:val="20"/>
                <w:color w:val="auto"/>
              </w:rPr>
            </w:pPr>
            <w:r>
              <w:rPr>
                <w:rFonts w:ascii="Arial" w:cs="Arial" w:eastAsia="Arial" w:hAnsi="Arial"/>
                <w:sz w:val="14"/>
                <w:szCs w:val="14"/>
                <w:color w:val="auto"/>
              </w:rPr>
              <w:t>Wynn Sunrise, LLC</w:t>
            </w:r>
          </w:p>
        </w:tc>
        <w:tc>
          <w:tcPr>
            <w:tcW w:w="2320" w:type="dxa"/>
            <w:vAlign w:val="bottom"/>
          </w:tcPr>
          <w:p>
            <w:pPr>
              <w:spacing w:after="0"/>
              <w:rPr>
                <w:sz w:val="14"/>
                <w:szCs w:val="14"/>
                <w:color w:val="auto"/>
              </w:rPr>
            </w:pPr>
          </w:p>
        </w:tc>
        <w:tc>
          <w:tcPr>
            <w:tcW w:w="2480" w:type="dxa"/>
            <w:vAlign w:val="bottom"/>
            <w:gridSpan w:val="2"/>
          </w:tcPr>
          <w:p>
            <w:pPr>
              <w:jc w:val="right"/>
              <w:ind w:right="780"/>
              <w:spacing w:after="0"/>
              <w:rPr>
                <w:sz w:val="20"/>
                <w:szCs w:val="20"/>
                <w:color w:val="auto"/>
              </w:rPr>
            </w:pPr>
            <w:r>
              <w:rPr>
                <w:rFonts w:ascii="Arial" w:cs="Arial" w:eastAsia="Arial" w:hAnsi="Arial"/>
                <w:sz w:val="14"/>
                <w:szCs w:val="14"/>
                <w:color w:val="auto"/>
              </w:rPr>
              <w:t>Nevada</w:t>
            </w:r>
          </w:p>
        </w:tc>
        <w:tc>
          <w:tcPr>
            <w:tcW w:w="2080" w:type="dxa"/>
            <w:vAlign w:val="bottom"/>
            <w:gridSpan w:val="2"/>
          </w:tcPr>
          <w:p>
            <w:pPr>
              <w:jc w:val="right"/>
              <w:ind w:right="400"/>
              <w:spacing w:after="0"/>
              <w:rPr>
                <w:sz w:val="20"/>
                <w:szCs w:val="20"/>
                <w:color w:val="auto"/>
              </w:rPr>
            </w:pPr>
            <w:r>
              <w:rPr>
                <w:rFonts w:ascii="Arial" w:cs="Arial" w:eastAsia="Arial" w:hAnsi="Arial"/>
                <w:sz w:val="14"/>
                <w:szCs w:val="14"/>
                <w:color w:val="auto"/>
              </w:rPr>
              <w:t>7990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20-1366675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68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81" w:lineRule="exact"/>
        <w:rPr>
          <w:sz w:val="24"/>
          <w:szCs w:val="24"/>
          <w:color w:val="auto"/>
        </w:rPr>
      </w:pPr>
    </w:p>
    <w:p>
      <w:pPr>
        <w:ind w:left="120" w:right="220" w:hanging="112"/>
        <w:spacing w:after="0" w:line="188" w:lineRule="auto"/>
        <w:tabs>
          <w:tab w:leader="none" w:pos="120" w:val="left"/>
        </w:tabs>
        <w:numPr>
          <w:ilvl w:val="0"/>
          <w:numId w:val="3"/>
        </w:numPr>
        <w:rPr>
          <w:rFonts w:ascii="Arial" w:cs="Arial" w:eastAsia="Arial" w:hAnsi="Arial"/>
          <w:sz w:val="26"/>
          <w:szCs w:val="26"/>
          <w:color w:val="auto"/>
          <w:vertAlign w:val="superscript"/>
        </w:rPr>
      </w:pPr>
      <w:r>
        <w:rPr>
          <w:rFonts w:ascii="Arial" w:cs="Arial" w:eastAsia="Arial" w:hAnsi="Arial"/>
          <w:sz w:val="13"/>
          <w:szCs w:val="13"/>
          <w:color w:val="auto"/>
        </w:rPr>
        <w:t xml:space="preserve">Address and telephone number of principal executive offices are the same as Wynn Las Vegas, LLC. The 6 </w:t>
      </w:r>
      <w:r>
        <w:rPr>
          <w:rFonts w:ascii="Arial" w:cs="Arial" w:eastAsia="Arial" w:hAnsi="Arial"/>
          <w:sz w:val="21"/>
          <w:szCs w:val="21"/>
          <w:color w:val="auto"/>
          <w:vertAlign w:val="superscript"/>
        </w:rPr>
        <w:t>5</w:t>
      </w:r>
      <w:r>
        <w:rPr>
          <w:rFonts w:ascii="Arial" w:cs="Arial" w:eastAsia="Arial" w:hAnsi="Arial"/>
          <w:sz w:val="13"/>
          <w:szCs w:val="13"/>
          <w:color w:val="auto"/>
        </w:rPr>
        <w:t>/8% First Mortgage Notes due 2014 were issued by Wynn Las Vegas, LLC and Wynn Las Vegas Capital Corp. The additional registrants are guarantors.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DE1A1E"/>
        </w:rPr>
        <w:t>Subject to completion, dated April 13,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Wynn Las Vegas Capital Corp.</w:t>
      </w: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Offer to exchange $1,300,000,000 of its outstanding</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3"/>
          <w:szCs w:val="13"/>
          <w:b w:val="1"/>
          <w:bCs w:val="1"/>
          <w:color w:val="auto"/>
        </w:rPr>
        <w:t>8</w:t>
      </w:r>
      <w:r>
        <w:rPr>
          <w:rFonts w:ascii="Arial" w:cs="Arial" w:eastAsia="Arial" w:hAnsi="Arial"/>
          <w:sz w:val="22"/>
          <w:szCs w:val="22"/>
          <w:b w:val="1"/>
          <w:bCs w:val="1"/>
          <w:color w:val="auto"/>
        </w:rPr>
        <w:t>% First Mortgage Notes due 2014</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for</w:t>
      </w:r>
    </w:p>
    <w:p>
      <w:pPr>
        <w:spacing w:after="0" w:line="4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3"/>
          <w:szCs w:val="13"/>
          <w:b w:val="1"/>
          <w:bCs w:val="1"/>
          <w:color w:val="auto"/>
        </w:rPr>
        <w:t>8</w:t>
      </w:r>
      <w:r>
        <w:rPr>
          <w:rFonts w:ascii="Arial" w:cs="Arial" w:eastAsia="Arial" w:hAnsi="Arial"/>
          <w:sz w:val="22"/>
          <w:szCs w:val="22"/>
          <w:b w:val="1"/>
          <w:bCs w:val="1"/>
          <w:color w:val="auto"/>
        </w:rPr>
        <w:t>% First Mortgage Notes due 2014</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128"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b w:val="1"/>
          <w:bCs w:val="1"/>
          <w:color w:val="auto"/>
        </w:rPr>
        <w:t>The exchange offer will expire at 5:00 p.m., New York City time, on , 2005, unless we extend the exchange offer in our sole and absolute discretion.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of the exchange offer:</w:t>
      </w:r>
    </w:p>
    <w:p>
      <w:pPr>
        <w:spacing w:after="0" w:line="7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exchange the new notes for all outstanding old notes that are validly tendered and not withdrawn pursuant to the exchange offer.</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may withdraw tenders of old notes at any time prior to the expiration of the exchange offer.</w:t>
      </w:r>
    </w:p>
    <w:p>
      <w:pPr>
        <w:spacing w:after="0" w:line="103"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the new notes are substantially identical to those of the outstanding old notes, except that the transfer restrictions and registration rights relating to the old notes will not apply to the new notes.</w:t>
      </w:r>
    </w:p>
    <w:p>
      <w:pPr>
        <w:spacing w:after="0" w:line="37" w:lineRule="exact"/>
        <w:rPr>
          <w:rFonts w:ascii="Arial" w:cs="Arial" w:eastAsia="Arial" w:hAnsi="Arial"/>
          <w:sz w:val="18"/>
          <w:szCs w:val="18"/>
          <w:color w:val="auto"/>
        </w:rPr>
      </w:pPr>
    </w:p>
    <w:p>
      <w:pPr>
        <w:ind w:left="900" w:right="640" w:hanging="446"/>
        <w:spacing w:after="0" w:line="325"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exchange of old notes for new notes will not be a taxable transaction for United States federal income tax purposes. You should see the discussion under the heading “Material United States Federal Income Tax Considerations” for more information.</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not receive any cash proceeds from the exchange offer.</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issued the old notes in a transaction not requiring registration under the Securities Act, and as a result, transfer of the old notes is restricted. We are making the exchange offer to satisfy your registration rights, as a holder of the old notes.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established trading market for the new notes or the old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173990</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64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See “ </w:t>
      </w:r>
      <w:hyperlink w:anchor="page2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20 for a discussion of risks you should consider prior to tendering your outstanding old notes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146685</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8"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i w:val="1"/>
          <w:iCs w:val="1"/>
          <w:color w:val="auto"/>
        </w:rPr>
        <w:t>Neither the Nevada Gaming Commission, the Nevada State Gaming Control Board nor any other gaming authority has passed upon the accuracy or adequacy of this prospectus or the investment merits of the notes being offered by this prospectus. Any representation to the contrary is unlawful.</w:t>
      </w:r>
    </w:p>
    <w:p>
      <w:pPr>
        <w:spacing w:after="0" w:line="72" w:lineRule="exact"/>
        <w:rPr>
          <w:sz w:val="20"/>
          <w:szCs w:val="20"/>
          <w:color w:val="auto"/>
        </w:rPr>
      </w:pPr>
    </w:p>
    <w:p>
      <w:pPr>
        <w:ind w:left="4200"/>
        <w:spacing w:after="0"/>
        <w:tabs>
          <w:tab w:leader="none" w:pos="716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4"/>
          <w:szCs w:val="14"/>
          <w:color w:val="auto"/>
        </w:rPr>
        <w:t>.</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Foreign Currency Translations</w:t>
              </w:r>
            </w:hyperlink>
          </w:p>
        </w:tc>
        <w:tc>
          <w:tcPr>
            <w:tcW w:w="89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8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2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10360" w:type="dxa"/>
            <w:vAlign w:val="bottom"/>
            <w:gridSpan w:val="2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10160" w:type="dxa"/>
            <w:vAlign w:val="bottom"/>
            <w:gridSpan w:val="2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Ratio of Earnings to Fixed Charges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8"/>
          </w:tcPr>
          <w:p>
            <w:pPr>
              <w:spacing w:after="0"/>
              <w:rPr>
                <w:sz w:val="17"/>
                <w:szCs w:val="17"/>
                <w:color w:val="auto"/>
              </w:rPr>
            </w:pPr>
          </w:p>
        </w:tc>
        <w:tc>
          <w:tcPr>
            <w:tcW w:w="858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Selected Consolidated Historical Financial Data</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59">
              <w:r>
                <w:rPr>
                  <w:rFonts w:ascii="Arial" w:cs="Arial" w:eastAsia="Arial" w:hAnsi="Arial"/>
                  <w:sz w:val="18"/>
                  <w:szCs w:val="18"/>
                  <w:color w:val="0000EE"/>
                  <w:w w:val="84"/>
                </w:rPr>
                <w:t>Business</w:t>
              </w:r>
            </w:hyperlink>
          </w:p>
        </w:tc>
        <w:tc>
          <w:tcPr>
            <w:tcW w:w="5660" w:type="dxa"/>
            <w:vAlign w:val="bottom"/>
            <w:tcBorders>
              <w:top w:val="single" w:sz="8" w:color="0000EE"/>
            </w:tcBorders>
            <w:gridSpan w:val="22"/>
          </w:tcPr>
          <w:p>
            <w:pPr>
              <w:spacing w:after="0"/>
              <w:rPr>
                <w:sz w:val="17"/>
                <w:szCs w:val="17"/>
                <w:color w:val="auto"/>
              </w:rPr>
            </w:pPr>
          </w:p>
        </w:tc>
        <w:tc>
          <w:tcPr>
            <w:tcW w:w="47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26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Our Affiliate’s Opportunity in Macau</w:t>
              </w:r>
            </w:hyperlink>
          </w:p>
        </w:tc>
        <w:tc>
          <w:tcPr>
            <w:tcW w:w="842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Management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Security Ownership of Certain Beneficial Owners and Management</w:t>
              </w:r>
            </w:hyperlink>
          </w:p>
        </w:tc>
        <w:tc>
          <w:tcPr>
            <w:tcW w:w="62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338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Certain Relationships and Related Transactions</w:t>
              </w:r>
            </w:hyperlink>
          </w:p>
        </w:tc>
        <w:tc>
          <w:tcPr>
            <w:tcW w:w="768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The Exchange Offer</w:t>
              </w:r>
            </w:hyperlink>
          </w:p>
        </w:tc>
        <w:tc>
          <w:tcPr>
            <w:tcW w:w="962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the New Notes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75">
              <w:r>
                <w:rPr>
                  <w:rFonts w:ascii="Arial" w:cs="Arial" w:eastAsia="Arial" w:hAnsi="Arial"/>
                  <w:sz w:val="18"/>
                  <w:szCs w:val="18"/>
                  <w:color w:val="0000EE"/>
                  <w:w w:val="88"/>
                </w:rPr>
                <w:t>Description of Certain Indebtedness</w:t>
              </w:r>
            </w:hyperlink>
          </w:p>
        </w:tc>
        <w:tc>
          <w:tcPr>
            <w:tcW w:w="85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Disbursement Agreement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180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w:anchor="page187">
              <w:r>
                <w:rPr>
                  <w:rFonts w:ascii="Arial" w:cs="Arial" w:eastAsia="Arial" w:hAnsi="Arial"/>
                  <w:sz w:val="18"/>
                  <w:szCs w:val="18"/>
                  <w:color w:val="0000EE"/>
                  <w:w w:val="94"/>
                </w:rPr>
                <w:t>Intercreditor Agreement</w:t>
              </w:r>
            </w:hyperlink>
          </w:p>
        </w:tc>
        <w:tc>
          <w:tcPr>
            <w:tcW w:w="926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185</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93">
              <w:r>
                <w:rPr>
                  <w:rFonts w:ascii="Arial" w:cs="Arial" w:eastAsia="Arial" w:hAnsi="Arial"/>
                  <w:sz w:val="18"/>
                  <w:szCs w:val="18"/>
                  <w:color w:val="0000EE"/>
                  <w:w w:val="88"/>
                </w:rPr>
                <w:t>Material United States Federal Income Tax Considerations</w:t>
              </w:r>
            </w:hyperlink>
          </w:p>
        </w:tc>
        <w:tc>
          <w:tcPr>
            <w:tcW w:w="69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191</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Plan of Distribution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192</w:t>
            </w: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Legal Matters</w:t>
              </w:r>
            </w:hyperlink>
          </w:p>
        </w:tc>
        <w:tc>
          <w:tcPr>
            <w:tcW w:w="966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193</w:t>
            </w: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Experts</w:t>
              </w:r>
            </w:hyperlink>
          </w:p>
        </w:tc>
        <w:tc>
          <w:tcPr>
            <w:tcW w:w="1008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193</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Where You Can Find More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193</w:t>
            </w:r>
          </w:p>
        </w:tc>
      </w:tr>
      <w:tr>
        <w:trPr>
          <w:trHeight w:val="20"/>
        </w:trPr>
        <w:tc>
          <w:tcPr>
            <w:tcW w:w="2800" w:type="dxa"/>
            <w:vAlign w:val="bottom"/>
            <w:gridSpan w:val="18"/>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96">
              <w:r>
                <w:rPr>
                  <w:rFonts w:ascii="Arial" w:cs="Arial" w:eastAsia="Arial" w:hAnsi="Arial"/>
                  <w:sz w:val="18"/>
                  <w:szCs w:val="18"/>
                  <w:color w:val="0000EE"/>
                  <w:w w:val="88"/>
                </w:rPr>
                <w:t>Index to Consolidated Financial Statements</w:t>
              </w:r>
            </w:hyperlink>
          </w:p>
        </w:tc>
        <w:tc>
          <w:tcPr>
            <w:tcW w:w="798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6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DATA</w:t>
      </w:r>
    </w:p>
    <w:p>
      <w:pPr>
        <w:spacing w:after="0" w:line="16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CURRENCY TRANSLATIONS</w:t>
      </w:r>
    </w:p>
    <w:p>
      <w:pPr>
        <w:spacing w:after="0" w:line="164" w:lineRule="exact"/>
        <w:rPr>
          <w:sz w:val="20"/>
          <w:szCs w:val="20"/>
          <w:color w:val="auto"/>
        </w:rPr>
      </w:pPr>
    </w:p>
    <w:p>
      <w:pPr>
        <w:jc w:val="both"/>
        <w:ind w:right="60" w:firstLine="456"/>
        <w:spacing w:after="0" w:line="318" w:lineRule="auto"/>
        <w:rPr>
          <w:sz w:val="20"/>
          <w:szCs w:val="20"/>
          <w:color w:val="auto"/>
        </w:rPr>
      </w:pPr>
      <w:r>
        <w:rPr>
          <w:rFonts w:ascii="Arial" w:cs="Arial" w:eastAsia="Arial" w:hAnsi="Arial"/>
          <w:sz w:val="15"/>
          <w:szCs w:val="15"/>
          <w:color w:val="auto"/>
        </w:rPr>
        <w:t>Solely for the convenience of the reader, this prospectus contains a translation of a certain Macau pataca amount into U.S. dollars. This translation should not be construed as a representation that the Macau pataca amount actually represents such U.S. dollar amount or could be converted into U.S. dollars at the rate indicated or at all. The translation of Macau patacas into U.S. dollars has been made at the rate of 8.317 Macau patacas to one U.S. dollar, the rate as reported on OANDA.com (http://www.oanda.com) as of March 31, 2005. OANDA.com is an on-line currency converter operated by OANDA Corporation, a technology and financial services provider of foreign currency tools, data and transaction services. All references to “$” in this offering memorandum denote U.S. dollars.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Section 27A of the Securities Act and Section 21E of the Exchange Act,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900" w:right="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 governing the disbursement of funds from the accounts holding certain proceeds of the issuance of the old notes and borrowings under our new credit facilities;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our Wynn Las Vegas casino resort on time and within budget;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development and construction costs of Encore at Wynn Las Vegas;</w:t>
      </w:r>
    </w:p>
    <w:p>
      <w:pPr>
        <w:spacing w:after="0" w:line="103"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Las Vegas with anticipated cash flows generated at Wynn Las Vegas;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lack of operating history;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one property for all of our cash flow;</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application for licenses and approvals under applicable jurisdictional laws and regulations (including gaming laws and regulations);</w:t>
      </w:r>
    </w:p>
    <w:p>
      <w:pPr>
        <w:spacing w:after="0" w:line="103" w:lineRule="exact"/>
        <w:rPr>
          <w:rFonts w:ascii="Arial" w:cs="Arial" w:eastAsia="Arial" w:hAnsi="Arial"/>
          <w:sz w:val="18"/>
          <w:szCs w:val="18"/>
          <w:color w:val="auto"/>
        </w:rPr>
      </w:pPr>
    </w:p>
    <w:p>
      <w:pPr>
        <w:ind w:left="900" w:right="80" w:hanging="446"/>
        <w:spacing w:after="0" w:line="325"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such as severe acute respiratory syndrome (“SARS”), or the impact of a natural disaster, such as the tsunami that struck southeast Asia in December 2004, may have on the travel and leisure industry; and</w:t>
      </w:r>
    </w:p>
    <w:p>
      <w:pPr>
        <w:spacing w:after="0" w:line="1"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consequences of the war in Iraq and other military conflicts in the Middle East and any future security alerts and/or terrorist attacks such as the attacks that occurred on September 11, 2001.</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20 before making an investment decision. You should read this summary together with the more detailed information contained elsewhere in this prospectus and in our financial statements and accompanying notes.</w:t>
      </w:r>
    </w:p>
    <w:p>
      <w:pPr>
        <w:spacing w:after="0" w:line="130" w:lineRule="exact"/>
        <w:rPr>
          <w:sz w:val="20"/>
          <w:szCs w:val="20"/>
          <w:color w:val="auto"/>
        </w:rPr>
      </w:pPr>
    </w:p>
    <w:p>
      <w:pPr>
        <w:ind w:right="140" w:firstLine="456"/>
        <w:spacing w:after="0" w:line="234" w:lineRule="auto"/>
        <w:rPr>
          <w:sz w:val="20"/>
          <w:szCs w:val="20"/>
          <w:color w:val="auto"/>
        </w:rPr>
      </w:pPr>
      <w:r>
        <w:rPr>
          <w:rFonts w:ascii="Arial" w:cs="Arial" w:eastAsia="Arial" w:hAnsi="Arial"/>
          <w:sz w:val="18"/>
          <w:szCs w:val="18"/>
          <w:i w:val="1"/>
          <w:iCs w:val="1"/>
          <w:color w:val="auto"/>
        </w:rPr>
        <w:t xml:space="preserve">The new notes will be jointly issued by Wynn Las Vegas, LLC, a Nevada limited liability company, and its wholly owned subsidiary, Wynn Las Vegas Capital Corp., a Nevada corporation (“Wynn Capital”). The new notes will be guaranteed by all of our subsidiaries other than Wynn Completion Guarantor, LLC. Unless the context otherwise requires, all references in this prospectus to “we,” “us” or “our,” or similar terms, refer to Wynn Las Vegas, LLC and its consolidated subsidiaries. The “old notes” consisting of the 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xml:space="preserve">% First Mortgage Notes due 2014 that were issued on December 14, 2004 and the “new notes” consisting of the 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 due 2014 offered pursuant to this prospectus are sometimes collectively referred to in this prospectus as the “notes.”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own and will operate Wynn Las Vegas. This new destination casino resort, which will open to the public on April 28, 2005, is the concept of Stephen A. Wynn, Chairman of the Board, Chief Executive Officer and one of the principal stockholders of our ultimate parent, Wynn Resorts, Limited (“Wynn Resorts”). From 1973 to 2000, Mr. Wynn was Chairman of the Board, President and Chief Executive Officer of Mirage Resorts, Incorporated and its predecessors. In that role, he was responsible for overseeing the development and operation of the Bellagio, The Mirage, Treasure Island at The Mirage and the Golden Nugget—Las Vegas in Las Vegas, Nevada, as well as the Atlantic City Golden Nugget in New Jersey and the Beau Rivage in Biloxi, Mississippi. Our management believes that Wynn Las Vegas will set a new standard of luxury and elegance for destination casino resorts in Las Vegas.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Wynn Las Vegas is located on Las Vegas Boulevard (the “Las Vegas Strip” or the “Strip) on the site of the former Desert Inn Resort &amp; Casino (the “Desert Inn”), at the northeast corner of the intersection of the Strip and Sands Avenue, one-half block north of The Venetian and Treasure Island at The Mirage and across the Strip from the recently expanded Fashion Show Mall. Wynn Las Vegas also is adjacent to both the Sands Expo Center and Las Vegas Convention Center, which together contain more than 3.2 million square feet of convention space. Wynn Las Vegas occupies approximately 215 acres of land, consisting of a hotel casino on 55 acres of land, a new golf course occupying approximately 142 acres of land and approximately 18 acres of land for employee parking across Sands Avenue from the hotel casino. A second casino resort to be developed on land adjacent to Wynn Las Vegas, known as Encore at Wynn Las Vegas (“Encore”), will occupy an additional 20 acres of land on the Las Vegas Strip.</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Las Vegas will feature 2,716 luxurious guest rooms and suites, an approximately 111,000 square foot casino, 18 dining outlets, an on-site 18-hole golf course, approximately 223,000 square feet of meeting space, an on-site Ferrari and Maserati dealership and approximately 76,290 square feet of retail space. The resort will also have two showrooms featuring live entertainment productions. The Wynn Theater will open concurrently with Wynn Las Vegas and will feature “Le Rêve, A Small Collection of Imperfect Dreams,” a water-based show produced by Franco Dragone, who created “O,” “Mystère” and the Celine Dion show. Our second showroom is expected to open during the third quarter of 2005, and will feature the 2004 Tony Award winning Broadway musical, “Avenue Q.”</w:t>
      </w:r>
    </w:p>
    <w:p>
      <w:pPr>
        <w:spacing w:after="0" w:line="102" w:lineRule="exact"/>
        <w:rPr>
          <w:sz w:val="20"/>
          <w:szCs w:val="20"/>
          <w:color w:val="auto"/>
        </w:rPr>
      </w:pPr>
    </w:p>
    <w:p>
      <w:pPr>
        <w:jc w:val="center"/>
        <w:ind w:left="520" w:right="180"/>
        <w:spacing w:after="0" w:line="440" w:lineRule="auto"/>
        <w:rPr>
          <w:sz w:val="20"/>
          <w:szCs w:val="20"/>
          <w:color w:val="auto"/>
        </w:rPr>
      </w:pPr>
      <w:r>
        <w:rPr>
          <w:rFonts w:ascii="Arial" w:cs="Arial" w:eastAsia="Arial" w:hAnsi="Arial"/>
          <w:sz w:val="18"/>
          <w:szCs w:val="18"/>
          <w:color w:val="auto"/>
        </w:rPr>
        <w:t>Our principal executive officers are located at 3131 Las Vegas Boulevard South, Las Vegas, Nevada 89109, and our telephone number is (702) 770-7000. 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Wynn Las Vegas’ project budget was, as of December 31, 2004, approximately $2.7 billion, including land acquisition costs, construction of Wynn Las Vegas and the golf course, capitalized interest, pre-opening expenses, financing fees and construction contingencies. Ground-breaking for Wynn Las Vegas occurred on October 31, 2002, with an opening to the general public scheduled for April 28, 2005. Wynn Las Vegas will be the first destination casino resort to open on the Strip in almost five years.</w:t>
      </w:r>
    </w:p>
    <w:p>
      <w:pPr>
        <w:spacing w:after="0" w:line="13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Through December 31, 2004, we had funded approximately $2.0 billion of project costs primarily from a combination of cash contributions from Wynn Resorts, proceeds from the issuance of the old notes and borrowings under our previous credit facilities.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Encore at Wynn Las Vegas</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continue to refine the scope and design of Encore. Previously, Encore was to include a hotel tower with approximately 1,500 mini-suites, a small amount of ancillary gaming space, restaurants, a spa, swimming pools, additional retail and approximately 30,000 square feet of meeting rooms. It was expected to cost no more than $900 million and to open in the second half of 2007. As initially planned, Encore was an addition to Wynn Las Vegas.</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Due to anticipated demand for Wynn Las Vegas, continued strength in the Las Vegas market, and our desire to maximize the potential of our substantial real estate assets, we anticipate a significant increase in the scope of Encore, elevating it to the status of a free standing casino resort, one which is integrated with Wynn Las Vegas through its public space. Although the scope and design of the project have not been finalized, and remain subject to the approval of the Board of Directors of Wynn Resorts (the “Board of Directors”), we now expect that Encore will include approximately 2,000 full suites in its hotel tower—meaning separate living rooms and bedrooms in each unit—as well as significant additional casino, convention and meeting space, additional entertainment venues, restaurants, a spa and salon, swimming pools and retail space. We currently anticipate that Encore will open in the first half of 2008.</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expect that the portion of the proceeds from the sale of the old notes remaining after completion of Wynn Las Vegas, together with remaining availability under the new credit facilities and cash flow from the operations of Wynn Las Vegas, will be sufficient to fund Encore project costs of up to $1.4 billion without incurring additional debt or receiving additional capital contributions from Wynn Resorts. We are permitted to spend up to $100.0 million from the proceeds of the old notes and our new credit facilities to fund costs related to Encore prior to the time the construction budget, construction schedule and certain plans, specifications, schematic drawings and other specified deliverables for Encore (collectively, the “Encore Budget, Plans and Specifications”) are approved by a majority of the arrangers or a majority of the lenders under our new credit facilities. Availability of funds in excess of this amount and commencement of construction of Encore are subject to approval of the Encore Budget, Plans and Specifications by a majority of the arrangers or a majority of lenders under our new credit facilities by June 30, 2005. If this approval is not obtained prior to June 30, 2005, availability under the credit agreement is reduced by $550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w:t>
      </w:r>
    </w:p>
    <w:p>
      <w:pPr>
        <w:spacing w:after="0" w:line="16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indirect wholly owned subsidiaries of Wynn Resorts, a Nevada corporation formed in June 2002, which consummated an initial public offering of its common stock in October 2002. Wynn Resorts’ predecessor, Valvino Lamore, LLC (“Valvino”), was formed in April 2000 as a Nevada limited liability company to acquire land and design, develop and finance Wynn Las Vegas (then known as “Le Rêve”). In June 2000, Valvino completed the purchase of the Desert Inn for approximately $270.0 million plus an adjustment for working capital, and later purchased additional lots located in and around the Desert Inn golf course for an additional $47.8 million. Valvino ceased the operations of the hotel and casino in August 2000 to focus on the design and development of Wynn Las Vegas. Valvino continued to operate the Desert Inn golf course until summer 2002. During 2004, Wynn Resorts purchased the ten remaining residences of the former Desert Inn County Club Estates for approximately $23.0 million as part of a settlement to litigation involving those residences.</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Wynn Resorts’ efforts to date have been devoted principally to the design, development, financing and construction of Wynn Las Vegas and the concession negotiation, design, development, financing, land acquisition and construction of a casino development (referred to herein as “Wynn Macau”) in the Macau Special Administrative Region of the People’s Republic of China (“Macau”).</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Strategy</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Showcase the “Wynn Brand.” </w:t>
      </w:r>
      <w:r>
        <w:rPr>
          <w:rFonts w:ascii="Arial" w:cs="Arial" w:eastAsia="Arial" w:hAnsi="Arial"/>
          <w:sz w:val="16"/>
          <w:szCs w:val="16"/>
          <w:color w:val="auto"/>
        </w:rPr>
        <w:t>Mr. Wynn’s involvement with Wynn Las Vegas provides a distinct advantage over other gaming enterprises.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Wynn Las Vegas is Mr. Wynn’s most innovative work to date and will set a new standard of luxury and elegance for destination casino resorts in Las Vegas, much as the Bellagio and The Mirage did when they were built by Mirage Resorts, Incorporated under the guidance of Mr. Wynn.</w:t>
      </w:r>
    </w:p>
    <w:p>
      <w:pPr>
        <w:spacing w:after="0" w:line="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Create the Preeminent Destination Casino Resort on the Las Vegas Strip. </w:t>
      </w:r>
      <w:r>
        <w:rPr>
          <w:rFonts w:ascii="Arial" w:cs="Arial" w:eastAsia="Arial" w:hAnsi="Arial"/>
          <w:sz w:val="16"/>
          <w:szCs w:val="16"/>
          <w:color w:val="auto"/>
        </w:rPr>
        <w:t>We plan to attract a range of customers, including middle-market and high-end</w:t>
      </w:r>
      <w:r>
        <w:rPr>
          <w:rFonts w:ascii="Arial" w:cs="Arial" w:eastAsia="Arial" w:hAnsi="Arial"/>
          <w:sz w:val="16"/>
          <w:szCs w:val="16"/>
          <w:i w:val="1"/>
          <w:iCs w:val="1"/>
          <w:color w:val="auto"/>
        </w:rPr>
        <w:t xml:space="preserve"> </w:t>
      </w:r>
      <w:r>
        <w:rPr>
          <w:rFonts w:ascii="Arial" w:cs="Arial" w:eastAsia="Arial" w:hAnsi="Arial"/>
          <w:sz w:val="16"/>
          <w:szCs w:val="16"/>
          <w:color w:val="auto"/>
        </w:rPr>
        <w:t>gaming patrons, to Wynn Las Vegas by offering a premium level of luxury and high-quality guest rooms and suites, as well as non-gaming amenities such as a world-class golf course, fine dining, premier retail shopping and distinctive entertainment in intimate, luxurious surroundings. We believe that the level of luxury, sophistication and service we will offer at Wynn Las Vegas, together with Mr. Wynn’s experience and reputation in building and operating premier Las Vegas destination casino resorts, will appeal to international and domestic high-roller gaming patrons. Wynn Las Vegas will have a sophisticated, casually elegant ambience rather than a highly themed experience like many other hotel casino resorts on the Las Vegas Strip. We believe that, over time, Wynn Las Vegas’ more generally themed casually elegant environment, together with its high-quality amenities, superior level of service and distinctive attractions, will have greater lasting appeal to customers than a resort with a particular theme and attractions based on that theme.</w:t>
      </w:r>
    </w:p>
    <w:p>
      <w:pPr>
        <w:spacing w:after="0" w:line="10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Capitalize on the Attractive Location of Wynn Las Vegas and Encore. </w:t>
      </w:r>
      <w:r>
        <w:rPr>
          <w:rFonts w:ascii="Arial" w:cs="Arial" w:eastAsia="Arial" w:hAnsi="Arial"/>
          <w:sz w:val="16"/>
          <w:szCs w:val="16"/>
          <w:color w:val="auto"/>
        </w:rPr>
        <w:t>Wynn Las Vegas has approximately 1,350 feet of frontage on the Las Vegas Strip at</w:t>
      </w:r>
      <w:r>
        <w:rPr>
          <w:rFonts w:ascii="Arial" w:cs="Arial" w:eastAsia="Arial" w:hAnsi="Arial"/>
          <w:sz w:val="16"/>
          <w:szCs w:val="16"/>
          <w:i w:val="1"/>
          <w:iCs w:val="1"/>
          <w:color w:val="auto"/>
        </w:rPr>
        <w:t xml:space="preserve"> </w:t>
      </w:r>
      <w:r>
        <w:rPr>
          <w:rFonts w:ascii="Arial" w:cs="Arial" w:eastAsia="Arial" w:hAnsi="Arial"/>
          <w:sz w:val="16"/>
          <w:szCs w:val="16"/>
          <w:color w:val="auto"/>
        </w:rPr>
        <w:t>the site of the former Desert Inn on the northeast corner of the intersection of the Las Vegas Strip and Sands Avenue. Wynn Las Vegas is located close to a number of premium retail stores and two of the nation’s largest convention centers: the Las Vegas Convention Center and the Sands Expo and Convention Center. Encore will be immediately adjacent and connected to Wynn Las Vegas and will have approximately 900 feet of Strip frontage.</w:t>
      </w:r>
    </w:p>
    <w:p>
      <w:pPr>
        <w:spacing w:after="0" w:line="99"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i w:val="1"/>
          <w:iCs w:val="1"/>
          <w:color w:val="auto"/>
        </w:rPr>
        <w:t xml:space="preserve">Capitalize on Our Experienced Management Team. </w:t>
      </w:r>
      <w:r>
        <w:rPr>
          <w:rFonts w:ascii="Arial" w:cs="Arial" w:eastAsia="Arial" w:hAnsi="Arial"/>
          <w:sz w:val="15"/>
          <w:szCs w:val="15"/>
          <w:color w:val="auto"/>
        </w:rPr>
        <w:t>Mr. Wynn and his team bring significant experience in the design, development and operation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destination casino resorts. Mr. Wynn and members of his team were responsible for the design, development and operation of the Bellagio, The Mirage and Treasure Island at The Mirage. Other senior executives joined Mr. Wynn from renowned hospitality companies, including Caesars Entertainment and Starwood.</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Marketing. </w:t>
      </w:r>
      <w:r>
        <w:rPr>
          <w:rFonts w:ascii="Arial" w:cs="Arial" w:eastAsia="Arial" w:hAnsi="Arial"/>
          <w:sz w:val="16"/>
          <w:szCs w:val="16"/>
          <w:color w:val="auto"/>
        </w:rPr>
        <w:t>Our marketing strategy consists of positioning Wynn Las Vegas as a full-service luxury resort and casino in the leisure, convention and tour and</w:t>
      </w:r>
      <w:r>
        <w:rPr>
          <w:rFonts w:ascii="Arial" w:cs="Arial" w:eastAsia="Arial" w:hAnsi="Arial"/>
          <w:sz w:val="16"/>
          <w:szCs w:val="16"/>
          <w:i w:val="1"/>
          <w:iCs w:val="1"/>
          <w:color w:val="auto"/>
        </w:rPr>
        <w:t xml:space="preserve"> </w:t>
      </w:r>
      <w:r>
        <w:rPr>
          <w:rFonts w:ascii="Arial" w:cs="Arial" w:eastAsia="Arial" w:hAnsi="Arial"/>
          <w:sz w:val="16"/>
          <w:szCs w:val="16"/>
          <w:color w:val="auto"/>
        </w:rPr>
        <w:t>travel markets. We will market the casino directly to gaming customers using database marketing techniques and traditional incentives, such as reduced room rates and complimentary meals and suites. We will offer high-roller gaming customers premium suites and special hotel services, and we will develop a guest loyalty program. We expect to capitalize on the substantial network of international and domestic high-roller and premium customers who are familiar with Mr. Wynn from his tenure at Mirage Resorts, Incorporated. We will also implement cross-marketing strategies between Wynn Las Vegas and Wynn Macau to encourage international business between the Macau and Las Vegas markets.</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Master-planned Design for Future Las Vegas Expansion. </w:t>
      </w:r>
      <w:r>
        <w:rPr>
          <w:rFonts w:ascii="Arial" w:cs="Arial" w:eastAsia="Arial" w:hAnsi="Arial"/>
          <w:sz w:val="18"/>
          <w:szCs w:val="18"/>
          <w:color w:val="auto"/>
        </w:rPr>
        <w:t>We are creating a long-range plan to develop the 142-acre golf course parcel into a large mixed</w:t>
      </w:r>
      <w:r>
        <w:rPr>
          <w:rFonts w:ascii="Arial" w:cs="Arial" w:eastAsia="Arial" w:hAnsi="Arial"/>
          <w:sz w:val="18"/>
          <w:szCs w:val="18"/>
          <w:i w:val="1"/>
          <w:iCs w:val="1"/>
          <w:color w:val="auto"/>
        </w:rPr>
        <w:t xml:space="preserve"> </w:t>
      </w:r>
      <w:r>
        <w:rPr>
          <w:rFonts w:ascii="Arial" w:cs="Arial" w:eastAsia="Arial" w:hAnsi="Arial"/>
          <w:sz w:val="18"/>
          <w:szCs w:val="18"/>
          <w:color w:val="auto"/>
        </w:rPr>
        <w:t>use hotel, casino and residential entertainment resort complex. The complex may include multiple waterfront hotels built around a lake offering water sports and other entertainment. The complex also may include multiple restaurants, retail offerings and entertainment venues. We have not yet developed specific plans for such a complex, and there can be no assurance that plans will be developed. We cannot predict the cost of such a development or whether we will be able to obtain the necessary financing for the development on suitable terms, if at all. In any event, it is not expected that any construction on the golf course land would begin before 2009.</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40" w:type="dxa"/>
            <w:vAlign w:val="bottom"/>
          </w:tcPr>
          <w:p>
            <w:pPr>
              <w:spacing w:after="0"/>
              <w:rPr>
                <w:sz w:val="19"/>
                <w:szCs w:val="19"/>
                <w:color w:val="auto"/>
              </w:rPr>
            </w:pPr>
          </w:p>
        </w:tc>
        <w:tc>
          <w:tcPr>
            <w:tcW w:w="6740" w:type="dxa"/>
            <w:vAlign w:val="bottom"/>
          </w:tcPr>
          <w:p>
            <w:pPr>
              <w:ind w:left="2020"/>
              <w:spacing w:after="0"/>
              <w:rPr>
                <w:sz w:val="20"/>
                <w:szCs w:val="20"/>
                <w:color w:val="auto"/>
              </w:rPr>
            </w:pPr>
            <w:r>
              <w:rPr>
                <w:rFonts w:ascii="Arial" w:cs="Arial" w:eastAsia="Arial" w:hAnsi="Arial"/>
                <w:sz w:val="18"/>
                <w:szCs w:val="18"/>
                <w:b w:val="1"/>
                <w:bCs w:val="1"/>
                <w:color w:val="auto"/>
              </w:rPr>
              <w:t>The Exchange Offer</w:t>
            </w:r>
          </w:p>
        </w:tc>
        <w:tc>
          <w:tcPr>
            <w:tcW w:w="1700" w:type="dxa"/>
            <w:vAlign w:val="bottom"/>
          </w:tcPr>
          <w:p>
            <w:pPr>
              <w:spacing w:after="0"/>
              <w:rPr>
                <w:sz w:val="19"/>
                <w:szCs w:val="19"/>
                <w:color w:val="auto"/>
              </w:rPr>
            </w:pPr>
          </w:p>
        </w:tc>
      </w:tr>
      <w:tr>
        <w:trPr>
          <w:trHeight w:val="441"/>
        </w:trPr>
        <w:tc>
          <w:tcPr>
            <w:tcW w:w="2940" w:type="dxa"/>
            <w:vAlign w:val="bottom"/>
          </w:tcPr>
          <w:p>
            <w:pPr>
              <w:spacing w:after="0"/>
              <w:rPr>
                <w:sz w:val="20"/>
                <w:szCs w:val="20"/>
                <w:color w:val="auto"/>
              </w:rPr>
            </w:pPr>
            <w:r>
              <w:rPr>
                <w:rFonts w:ascii="Arial" w:cs="Arial" w:eastAsia="Arial" w:hAnsi="Arial"/>
                <w:sz w:val="18"/>
                <w:szCs w:val="18"/>
                <w:color w:val="auto"/>
              </w:rPr>
              <w:t>Old Notes</w:t>
            </w:r>
          </w:p>
        </w:tc>
        <w:tc>
          <w:tcPr>
            <w:tcW w:w="6740" w:type="dxa"/>
            <w:vAlign w:val="bottom"/>
          </w:tcPr>
          <w:p>
            <w:pPr>
              <w:ind w:left="1180"/>
              <w:spacing w:after="0"/>
              <w:rPr>
                <w:sz w:val="20"/>
                <w:szCs w:val="20"/>
                <w:color w:val="auto"/>
              </w:rPr>
            </w:pPr>
            <w:r>
              <w:rPr>
                <w:rFonts w:ascii="Arial" w:cs="Arial" w:eastAsia="Arial" w:hAnsi="Arial"/>
                <w:sz w:val="18"/>
                <w:szCs w:val="18"/>
                <w:color w:val="auto"/>
                <w:w w:val="90"/>
              </w:rPr>
              <w:t xml:space="preserve">6 </w:t>
            </w:r>
            <w:r>
              <w:rPr>
                <w:rFonts w:ascii="Arial" w:cs="Arial" w:eastAsia="Arial" w:hAnsi="Arial"/>
                <w:sz w:val="22"/>
                <w:szCs w:val="22"/>
                <w:color w:val="auto"/>
                <w:w w:val="90"/>
                <w:vertAlign w:val="superscript"/>
              </w:rPr>
              <w:t>5</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First Mortgage Notes due 2014, which we issued December 14, 2004.</w:t>
            </w:r>
          </w:p>
        </w:tc>
        <w:tc>
          <w:tcPr>
            <w:tcW w:w="1700" w:type="dxa"/>
            <w:vAlign w:val="bottom"/>
          </w:tcPr>
          <w:p>
            <w:pPr>
              <w:spacing w:after="0"/>
              <w:rPr>
                <w:sz w:val="24"/>
                <w:szCs w:val="24"/>
                <w:color w:val="auto"/>
              </w:rPr>
            </w:pPr>
          </w:p>
        </w:tc>
      </w:tr>
      <w:tr>
        <w:trPr>
          <w:trHeight w:val="295"/>
        </w:trPr>
        <w:tc>
          <w:tcPr>
            <w:tcW w:w="2940" w:type="dxa"/>
            <w:vAlign w:val="bottom"/>
          </w:tcPr>
          <w:p>
            <w:pPr>
              <w:spacing w:after="0"/>
              <w:rPr>
                <w:sz w:val="20"/>
                <w:szCs w:val="20"/>
                <w:color w:val="auto"/>
              </w:rPr>
            </w:pPr>
            <w:r>
              <w:rPr>
                <w:rFonts w:ascii="Arial" w:cs="Arial" w:eastAsia="Arial" w:hAnsi="Arial"/>
                <w:sz w:val="18"/>
                <w:szCs w:val="18"/>
                <w:color w:val="auto"/>
              </w:rPr>
              <w:t>New Notes</w:t>
            </w:r>
          </w:p>
        </w:tc>
        <w:tc>
          <w:tcPr>
            <w:tcW w:w="8440" w:type="dxa"/>
            <w:vAlign w:val="bottom"/>
            <w:gridSpan w:val="2"/>
          </w:tcPr>
          <w:p>
            <w:pPr>
              <w:ind w:left="1180"/>
              <w:spacing w:after="0"/>
              <w:rPr>
                <w:sz w:val="20"/>
                <w:szCs w:val="20"/>
                <w:color w:val="auto"/>
              </w:rPr>
            </w:pPr>
            <w:r>
              <w:rPr>
                <w:rFonts w:ascii="Arial" w:cs="Arial" w:eastAsia="Arial" w:hAnsi="Arial"/>
                <w:sz w:val="18"/>
                <w:szCs w:val="18"/>
                <w:color w:val="auto"/>
                <w:w w:val="88"/>
              </w:rPr>
              <w:t xml:space="preserve">6 </w:t>
            </w:r>
            <w:r>
              <w:rPr>
                <w:rFonts w:ascii="Arial" w:cs="Arial" w:eastAsia="Arial" w:hAnsi="Arial"/>
                <w:sz w:val="22"/>
                <w:szCs w:val="22"/>
                <w:color w:val="auto"/>
                <w:w w:val="88"/>
                <w:vertAlign w:val="superscript"/>
              </w:rPr>
              <w:t>5</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First Mortgage Notes due 2014, the issuance of which has been registered under the Securities</w:t>
            </w:r>
          </w:p>
        </w:tc>
      </w:tr>
      <w:tr>
        <w:trPr>
          <w:trHeight w:val="216"/>
        </w:trPr>
        <w:tc>
          <w:tcPr>
            <w:tcW w:w="2940" w:type="dxa"/>
            <w:vAlign w:val="bottom"/>
          </w:tcPr>
          <w:p>
            <w:pPr>
              <w:spacing w:after="0"/>
              <w:rPr>
                <w:sz w:val="18"/>
                <w:szCs w:val="18"/>
                <w:color w:val="auto"/>
              </w:rPr>
            </w:pPr>
          </w:p>
        </w:tc>
        <w:tc>
          <w:tcPr>
            <w:tcW w:w="8440" w:type="dxa"/>
            <w:vAlign w:val="bottom"/>
            <w:gridSpan w:val="2"/>
          </w:tcPr>
          <w:p>
            <w:pPr>
              <w:ind w:left="1180"/>
              <w:spacing w:after="0"/>
              <w:rPr>
                <w:sz w:val="20"/>
                <w:szCs w:val="20"/>
                <w:color w:val="auto"/>
              </w:rPr>
            </w:pPr>
            <w:r>
              <w:rPr>
                <w:rFonts w:ascii="Arial" w:cs="Arial" w:eastAsia="Arial" w:hAnsi="Arial"/>
                <w:sz w:val="18"/>
                <w:szCs w:val="18"/>
                <w:color w:val="auto"/>
                <w:w w:val="90"/>
              </w:rPr>
              <w:t>Act of 1933. The form and the terms of the new notes are identical in all material respects to those of</w:t>
            </w:r>
          </w:p>
        </w:tc>
      </w:tr>
      <w:tr>
        <w:trPr>
          <w:trHeight w:val="216"/>
        </w:trPr>
        <w:tc>
          <w:tcPr>
            <w:tcW w:w="2940" w:type="dxa"/>
            <w:vAlign w:val="bottom"/>
          </w:tcPr>
          <w:p>
            <w:pPr>
              <w:spacing w:after="0"/>
              <w:rPr>
                <w:sz w:val="18"/>
                <w:szCs w:val="18"/>
                <w:color w:val="auto"/>
              </w:rPr>
            </w:pPr>
          </w:p>
        </w:tc>
        <w:tc>
          <w:tcPr>
            <w:tcW w:w="8440" w:type="dxa"/>
            <w:vAlign w:val="bottom"/>
            <w:gridSpan w:val="2"/>
          </w:tcPr>
          <w:p>
            <w:pPr>
              <w:ind w:left="1180"/>
              <w:spacing w:after="0"/>
              <w:rPr>
                <w:sz w:val="20"/>
                <w:szCs w:val="20"/>
                <w:color w:val="auto"/>
              </w:rPr>
            </w:pPr>
            <w:r>
              <w:rPr>
                <w:rFonts w:ascii="Arial" w:cs="Arial" w:eastAsia="Arial" w:hAnsi="Arial"/>
                <w:sz w:val="18"/>
                <w:szCs w:val="18"/>
                <w:color w:val="auto"/>
                <w:w w:val="88"/>
              </w:rPr>
              <w:t>the old notes, except that the transfer restrictions and registration rights relating to the old notes do not</w:t>
            </w:r>
          </w:p>
        </w:tc>
      </w:tr>
      <w:tr>
        <w:trPr>
          <w:trHeight w:val="222"/>
        </w:trPr>
        <w:tc>
          <w:tcPr>
            <w:tcW w:w="2940" w:type="dxa"/>
            <w:vAlign w:val="bottom"/>
          </w:tcPr>
          <w:p>
            <w:pPr>
              <w:spacing w:after="0"/>
              <w:rPr>
                <w:sz w:val="19"/>
                <w:szCs w:val="19"/>
                <w:color w:val="auto"/>
              </w:rPr>
            </w:pPr>
          </w:p>
        </w:tc>
        <w:tc>
          <w:tcPr>
            <w:tcW w:w="6740" w:type="dxa"/>
            <w:vAlign w:val="bottom"/>
          </w:tcPr>
          <w:p>
            <w:pPr>
              <w:ind w:left="1180"/>
              <w:spacing w:after="0"/>
              <w:rPr>
                <w:sz w:val="20"/>
                <w:szCs w:val="20"/>
                <w:color w:val="auto"/>
              </w:rPr>
            </w:pPr>
            <w:r>
              <w:rPr>
                <w:rFonts w:ascii="Arial" w:cs="Arial" w:eastAsia="Arial" w:hAnsi="Arial"/>
                <w:sz w:val="18"/>
                <w:szCs w:val="18"/>
                <w:color w:val="auto"/>
              </w:rPr>
              <w:t>apply to the new notes.</w:t>
            </w:r>
          </w:p>
        </w:tc>
        <w:tc>
          <w:tcPr>
            <w:tcW w:w="1700" w:type="dxa"/>
            <w:vAlign w:val="bottom"/>
          </w:tcPr>
          <w:p>
            <w:pPr>
              <w:spacing w:after="0"/>
              <w:rPr>
                <w:sz w:val="19"/>
                <w:szCs w:val="19"/>
                <w:color w:val="auto"/>
              </w:rPr>
            </w:pPr>
          </w:p>
        </w:tc>
      </w:tr>
      <w:tr>
        <w:trPr>
          <w:trHeight w:val="372"/>
        </w:trPr>
        <w:tc>
          <w:tcPr>
            <w:tcW w:w="2940" w:type="dxa"/>
            <w:vAlign w:val="bottom"/>
          </w:tcPr>
          <w:p>
            <w:pPr>
              <w:spacing w:after="0"/>
              <w:rPr>
                <w:sz w:val="20"/>
                <w:szCs w:val="20"/>
                <w:color w:val="auto"/>
              </w:rPr>
            </w:pPr>
            <w:r>
              <w:rPr>
                <w:rFonts w:ascii="Arial" w:cs="Arial" w:eastAsia="Arial" w:hAnsi="Arial"/>
                <w:sz w:val="18"/>
                <w:szCs w:val="18"/>
                <w:color w:val="auto"/>
              </w:rPr>
              <w:t>Exchange Offer</w:t>
            </w:r>
          </w:p>
        </w:tc>
        <w:tc>
          <w:tcPr>
            <w:tcW w:w="8440" w:type="dxa"/>
            <w:vAlign w:val="bottom"/>
            <w:gridSpan w:val="2"/>
          </w:tcPr>
          <w:p>
            <w:pPr>
              <w:ind w:left="1180"/>
              <w:spacing w:after="0"/>
              <w:rPr>
                <w:sz w:val="20"/>
                <w:szCs w:val="20"/>
                <w:color w:val="auto"/>
              </w:rPr>
            </w:pPr>
            <w:r>
              <w:rPr>
                <w:rFonts w:ascii="Arial" w:cs="Arial" w:eastAsia="Arial" w:hAnsi="Arial"/>
                <w:sz w:val="18"/>
                <w:szCs w:val="18"/>
                <w:color w:val="auto"/>
                <w:w w:val="87"/>
              </w:rPr>
              <w:t>We are offering to issue up to $1,300,000,000 aggregate principal amount of the new notes in exchange</w:t>
            </w:r>
          </w:p>
        </w:tc>
      </w:tr>
      <w:tr>
        <w:trPr>
          <w:trHeight w:val="216"/>
        </w:trPr>
        <w:tc>
          <w:tcPr>
            <w:tcW w:w="2940" w:type="dxa"/>
            <w:vAlign w:val="bottom"/>
          </w:tcPr>
          <w:p>
            <w:pPr>
              <w:spacing w:after="0"/>
              <w:rPr>
                <w:sz w:val="18"/>
                <w:szCs w:val="18"/>
                <w:color w:val="auto"/>
              </w:rPr>
            </w:pPr>
          </w:p>
        </w:tc>
        <w:tc>
          <w:tcPr>
            <w:tcW w:w="8440" w:type="dxa"/>
            <w:vAlign w:val="bottom"/>
            <w:gridSpan w:val="2"/>
          </w:tcPr>
          <w:p>
            <w:pPr>
              <w:ind w:left="1180"/>
              <w:spacing w:after="0"/>
              <w:rPr>
                <w:sz w:val="20"/>
                <w:szCs w:val="20"/>
                <w:color w:val="auto"/>
              </w:rPr>
            </w:pPr>
            <w:r>
              <w:rPr>
                <w:rFonts w:ascii="Arial" w:cs="Arial" w:eastAsia="Arial" w:hAnsi="Arial"/>
                <w:sz w:val="18"/>
                <w:szCs w:val="18"/>
                <w:color w:val="auto"/>
                <w:w w:val="95"/>
              </w:rPr>
              <w:t>for a like principal amount of the old notes to satisfy our obligations under the registration rights</w:t>
            </w:r>
          </w:p>
        </w:tc>
      </w:tr>
      <w:tr>
        <w:trPr>
          <w:trHeight w:val="216"/>
        </w:trPr>
        <w:tc>
          <w:tcPr>
            <w:tcW w:w="2940" w:type="dxa"/>
            <w:vAlign w:val="bottom"/>
          </w:tcPr>
          <w:p>
            <w:pPr>
              <w:spacing w:after="0"/>
              <w:rPr>
                <w:sz w:val="18"/>
                <w:szCs w:val="18"/>
                <w:color w:val="auto"/>
              </w:rPr>
            </w:pPr>
          </w:p>
        </w:tc>
        <w:tc>
          <w:tcPr>
            <w:tcW w:w="8440" w:type="dxa"/>
            <w:vAlign w:val="bottom"/>
            <w:gridSpan w:val="2"/>
          </w:tcPr>
          <w:p>
            <w:pPr>
              <w:ind w:left="1180"/>
              <w:spacing w:after="0"/>
              <w:rPr>
                <w:sz w:val="20"/>
                <w:szCs w:val="20"/>
                <w:color w:val="auto"/>
              </w:rPr>
            </w:pPr>
            <w:r>
              <w:rPr>
                <w:rFonts w:ascii="Arial" w:cs="Arial" w:eastAsia="Arial" w:hAnsi="Arial"/>
                <w:sz w:val="18"/>
                <w:szCs w:val="18"/>
                <w:color w:val="auto"/>
                <w:w w:val="93"/>
              </w:rPr>
              <w:t>agreement that we entered into when the old notes were issued in a transaction consummated in</w:t>
            </w:r>
          </w:p>
        </w:tc>
      </w:tr>
      <w:tr>
        <w:trPr>
          <w:trHeight w:val="222"/>
        </w:trPr>
        <w:tc>
          <w:tcPr>
            <w:tcW w:w="2940" w:type="dxa"/>
            <w:vAlign w:val="bottom"/>
          </w:tcPr>
          <w:p>
            <w:pPr>
              <w:spacing w:after="0"/>
              <w:rPr>
                <w:sz w:val="19"/>
                <w:szCs w:val="19"/>
                <w:color w:val="auto"/>
              </w:rPr>
            </w:pPr>
          </w:p>
        </w:tc>
        <w:tc>
          <w:tcPr>
            <w:tcW w:w="8440" w:type="dxa"/>
            <w:vAlign w:val="bottom"/>
            <w:gridSpan w:val="2"/>
          </w:tcPr>
          <w:p>
            <w:pPr>
              <w:ind w:left="1180"/>
              <w:spacing w:after="0"/>
              <w:rPr>
                <w:sz w:val="20"/>
                <w:szCs w:val="20"/>
                <w:color w:val="auto"/>
              </w:rPr>
            </w:pPr>
            <w:r>
              <w:rPr>
                <w:rFonts w:ascii="Arial" w:cs="Arial" w:eastAsia="Arial" w:hAnsi="Arial"/>
                <w:sz w:val="18"/>
                <w:szCs w:val="18"/>
                <w:color w:val="auto"/>
                <w:w w:val="96"/>
              </w:rPr>
              <w:t>reliance upon the exemption from registration provided by Rule 144A under the Securities Act.</w:t>
            </w:r>
          </w:p>
        </w:tc>
      </w:tr>
      <w:tr>
        <w:trPr>
          <w:trHeight w:val="378"/>
        </w:trPr>
        <w:tc>
          <w:tcPr>
            <w:tcW w:w="2940" w:type="dxa"/>
            <w:vAlign w:val="bottom"/>
          </w:tcPr>
          <w:p>
            <w:pPr>
              <w:spacing w:after="0"/>
              <w:rPr>
                <w:sz w:val="20"/>
                <w:szCs w:val="20"/>
                <w:color w:val="auto"/>
              </w:rPr>
            </w:pPr>
            <w:r>
              <w:rPr>
                <w:rFonts w:ascii="Arial" w:cs="Arial" w:eastAsia="Arial" w:hAnsi="Arial"/>
                <w:sz w:val="18"/>
                <w:szCs w:val="18"/>
                <w:color w:val="auto"/>
              </w:rPr>
              <w:t>Expiration Date; Tenders</w:t>
            </w:r>
          </w:p>
        </w:tc>
        <w:tc>
          <w:tcPr>
            <w:tcW w:w="6740" w:type="dxa"/>
            <w:vAlign w:val="bottom"/>
          </w:tcPr>
          <w:p>
            <w:pPr>
              <w:ind w:left="1180"/>
              <w:spacing w:after="0"/>
              <w:rPr>
                <w:sz w:val="20"/>
                <w:szCs w:val="20"/>
                <w:color w:val="auto"/>
              </w:rPr>
            </w:pPr>
            <w:r>
              <w:rPr>
                <w:rFonts w:ascii="Arial" w:cs="Arial" w:eastAsia="Arial" w:hAnsi="Arial"/>
                <w:sz w:val="18"/>
                <w:szCs w:val="18"/>
                <w:color w:val="auto"/>
              </w:rPr>
              <w:t>The exchange offer will expire at 5:00 p.m., New York City time, on</w:t>
            </w:r>
          </w:p>
        </w:tc>
        <w:tc>
          <w:tcPr>
            <w:tcW w:w="1700" w:type="dxa"/>
            <w:vAlign w:val="bottom"/>
          </w:tcPr>
          <w:p>
            <w:pPr>
              <w:ind w:left="160"/>
              <w:spacing w:after="0"/>
              <w:rPr>
                <w:sz w:val="20"/>
                <w:szCs w:val="20"/>
                <w:color w:val="auto"/>
              </w:rPr>
            </w:pPr>
            <w:r>
              <w:rPr>
                <w:rFonts w:ascii="Arial" w:cs="Arial" w:eastAsia="Arial" w:hAnsi="Arial"/>
                <w:sz w:val="18"/>
                <w:szCs w:val="18"/>
                <w:color w:val="auto"/>
              </w:rPr>
              <w:t>, 2005, unless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00" w:type="dxa"/>
            <w:vAlign w:val="bottom"/>
          </w:tcPr>
          <w:p>
            <w:pPr>
              <w:spacing w:after="0"/>
              <w:rPr>
                <w:sz w:val="19"/>
                <w:szCs w:val="19"/>
                <w:color w:val="auto"/>
              </w:rPr>
            </w:pPr>
          </w:p>
        </w:tc>
        <w:tc>
          <w:tcPr>
            <w:tcW w:w="8280" w:type="dxa"/>
            <w:vAlign w:val="bottom"/>
            <w:gridSpan w:val="3"/>
          </w:tcPr>
          <w:p>
            <w:pPr>
              <w:ind w:left="1020"/>
              <w:spacing w:after="0"/>
              <w:rPr>
                <w:sz w:val="20"/>
                <w:szCs w:val="20"/>
                <w:color w:val="auto"/>
              </w:rPr>
            </w:pPr>
            <w:r>
              <w:rPr>
                <w:rFonts w:ascii="Arial" w:cs="Arial" w:eastAsia="Arial" w:hAnsi="Arial"/>
                <w:sz w:val="18"/>
                <w:szCs w:val="18"/>
                <w:color w:val="auto"/>
                <w:w w:val="92"/>
              </w:rPr>
              <w:t>extended in our sole and absolute discretion. By tendering your old notes, you represent to us that:</w:t>
            </w:r>
          </w:p>
        </w:tc>
      </w:tr>
      <w:tr>
        <w:trPr>
          <w:trHeight w:val="291"/>
        </w:trPr>
        <w:tc>
          <w:tcPr>
            <w:tcW w:w="3100" w:type="dxa"/>
            <w:vAlign w:val="bottom"/>
          </w:tcPr>
          <w:p>
            <w:pPr>
              <w:spacing w:after="0"/>
              <w:rPr>
                <w:sz w:val="24"/>
                <w:szCs w:val="24"/>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auto"/>
              </w:rPr>
              <w:t>•</w:t>
            </w: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you are not our “affiliate,” as defined in Rule 405 under the Securities Act;</w:t>
            </w:r>
          </w:p>
        </w:tc>
      </w:tr>
      <w:tr>
        <w:trPr>
          <w:trHeight w:val="304"/>
        </w:trPr>
        <w:tc>
          <w:tcPr>
            <w:tcW w:w="3100" w:type="dxa"/>
            <w:vAlign w:val="bottom"/>
          </w:tcPr>
          <w:p>
            <w:pPr>
              <w:spacing w:after="0"/>
              <w:rPr>
                <w:sz w:val="24"/>
                <w:szCs w:val="24"/>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auto"/>
              </w:rPr>
              <w:t>•</w:t>
            </w: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90"/>
              </w:rPr>
              <w:t>any new notes you receive in the exchange offer are being acquired by you in the ordinary</w:t>
            </w:r>
          </w:p>
        </w:tc>
      </w:tr>
      <w:tr>
        <w:trPr>
          <w:trHeight w:val="222"/>
        </w:trPr>
        <w:tc>
          <w:tcPr>
            <w:tcW w:w="3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course of your business;</w:t>
            </w:r>
          </w:p>
        </w:tc>
      </w:tr>
      <w:tr>
        <w:trPr>
          <w:trHeight w:val="277"/>
        </w:trPr>
        <w:tc>
          <w:tcPr>
            <w:tcW w:w="3100" w:type="dxa"/>
            <w:vAlign w:val="bottom"/>
          </w:tcPr>
          <w:p>
            <w:pPr>
              <w:spacing w:after="0"/>
              <w:rPr>
                <w:sz w:val="24"/>
                <w:szCs w:val="24"/>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auto"/>
              </w:rPr>
              <w:t>•</w:t>
            </w: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88"/>
              </w:rPr>
              <w:t>at the time of the commencement of the exchange offer, neither you nor, to your knowledge,</w:t>
            </w:r>
          </w:p>
        </w:tc>
      </w:tr>
      <w:tr>
        <w:trPr>
          <w:trHeight w:val="216"/>
        </w:trPr>
        <w:tc>
          <w:tcPr>
            <w:tcW w:w="3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93"/>
              </w:rPr>
              <w:t>anyone receiving new notes from you, has any arrangement or understanding with any</w:t>
            </w:r>
          </w:p>
        </w:tc>
      </w:tr>
      <w:tr>
        <w:trPr>
          <w:trHeight w:val="216"/>
        </w:trPr>
        <w:tc>
          <w:tcPr>
            <w:tcW w:w="3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89"/>
              </w:rPr>
              <w:t>person to participate in the distribution, as defined in the Securities Act, of the new notes in</w:t>
            </w:r>
          </w:p>
        </w:tc>
      </w:tr>
      <w:tr>
        <w:trPr>
          <w:trHeight w:val="222"/>
        </w:trPr>
        <w:tc>
          <w:tcPr>
            <w:tcW w:w="3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violation of the Securities Act;</w:t>
            </w:r>
          </w:p>
        </w:tc>
      </w:tr>
      <w:tr>
        <w:trPr>
          <w:trHeight w:val="277"/>
        </w:trPr>
        <w:tc>
          <w:tcPr>
            <w:tcW w:w="3100" w:type="dxa"/>
            <w:vAlign w:val="bottom"/>
          </w:tcPr>
          <w:p>
            <w:pPr>
              <w:spacing w:after="0"/>
              <w:rPr>
                <w:sz w:val="24"/>
                <w:szCs w:val="24"/>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auto"/>
              </w:rPr>
              <w:t>•</w:t>
            </w: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89"/>
              </w:rPr>
              <w:t>if you are a broker-dealer, you will receive the new notes for your own account in exchange</w:t>
            </w:r>
          </w:p>
        </w:tc>
      </w:tr>
      <w:tr>
        <w:trPr>
          <w:trHeight w:val="216"/>
        </w:trPr>
        <w:tc>
          <w:tcPr>
            <w:tcW w:w="3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91"/>
              </w:rPr>
              <w:t>for old notes that were acquired by you as a result of your market making or other trading</w:t>
            </w:r>
          </w:p>
        </w:tc>
      </w:tr>
      <w:tr>
        <w:trPr>
          <w:trHeight w:val="216"/>
        </w:trPr>
        <w:tc>
          <w:tcPr>
            <w:tcW w:w="3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93"/>
              </w:rPr>
              <w:t>activities and that you will deliver a prospectus in connection with any resale of the new</w:t>
            </w:r>
          </w:p>
        </w:tc>
      </w:tr>
      <w:tr>
        <w:trPr>
          <w:trHeight w:val="216"/>
        </w:trPr>
        <w:tc>
          <w:tcPr>
            <w:tcW w:w="3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notes you receive. For further information regarding resales of the new notes by</w:t>
            </w:r>
          </w:p>
        </w:tc>
      </w:tr>
      <w:tr>
        <w:trPr>
          <w:trHeight w:val="222"/>
        </w:trPr>
        <w:tc>
          <w:tcPr>
            <w:tcW w:w="3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88"/>
              </w:rPr>
              <w:t>participating broker-dealers, see the discussion under the caption “Plan of Distribution”; and</w:t>
            </w:r>
          </w:p>
        </w:tc>
      </w:tr>
      <w:tr>
        <w:trPr>
          <w:trHeight w:val="277"/>
        </w:trPr>
        <w:tc>
          <w:tcPr>
            <w:tcW w:w="3100" w:type="dxa"/>
            <w:vAlign w:val="bottom"/>
          </w:tcPr>
          <w:p>
            <w:pPr>
              <w:spacing w:after="0"/>
              <w:rPr>
                <w:sz w:val="24"/>
                <w:szCs w:val="24"/>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auto"/>
              </w:rPr>
              <w:t>•</w:t>
            </w: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92"/>
              </w:rPr>
              <w:t>if you are not a participating broker-dealer, you are not engaged in, and do not intend to</w:t>
            </w:r>
          </w:p>
        </w:tc>
      </w:tr>
      <w:tr>
        <w:trPr>
          <w:trHeight w:val="222"/>
        </w:trPr>
        <w:tc>
          <w:tcPr>
            <w:tcW w:w="3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engage in, the distribution of the new notes, as defined in the Securities Act.</w:t>
            </w:r>
          </w:p>
        </w:tc>
      </w:tr>
      <w:tr>
        <w:trPr>
          <w:trHeight w:val="358"/>
        </w:trPr>
        <w:tc>
          <w:tcPr>
            <w:tcW w:w="3100" w:type="dxa"/>
            <w:vAlign w:val="bottom"/>
          </w:tcPr>
          <w:p>
            <w:pPr>
              <w:spacing w:after="0"/>
              <w:rPr>
                <w:sz w:val="20"/>
                <w:szCs w:val="20"/>
                <w:color w:val="auto"/>
              </w:rPr>
            </w:pPr>
            <w:r>
              <w:rPr>
                <w:rFonts w:ascii="Arial" w:cs="Arial" w:eastAsia="Arial" w:hAnsi="Arial"/>
                <w:sz w:val="18"/>
                <w:szCs w:val="18"/>
                <w:color w:val="auto"/>
              </w:rPr>
              <w:t>Withdrawal; Non-Acceptance</w:t>
            </w:r>
          </w:p>
        </w:tc>
        <w:tc>
          <w:tcPr>
            <w:tcW w:w="8280" w:type="dxa"/>
            <w:vAlign w:val="bottom"/>
            <w:gridSpan w:val="3"/>
          </w:tcPr>
          <w:p>
            <w:pPr>
              <w:ind w:left="1020"/>
              <w:spacing w:after="0"/>
              <w:rPr>
                <w:sz w:val="20"/>
                <w:szCs w:val="20"/>
                <w:color w:val="auto"/>
              </w:rPr>
            </w:pPr>
            <w:r>
              <w:rPr>
                <w:rFonts w:ascii="Arial" w:cs="Arial" w:eastAsia="Arial" w:hAnsi="Arial"/>
                <w:sz w:val="18"/>
                <w:szCs w:val="18"/>
                <w:color w:val="auto"/>
                <w:w w:val="91"/>
              </w:rPr>
              <w:t>You may withdraw any old notes tendered in the exchange offer at any time prior to 5:00 p.m., New</w:t>
            </w:r>
          </w:p>
        </w:tc>
      </w:tr>
      <w:tr>
        <w:trPr>
          <w:trHeight w:val="216"/>
        </w:trPr>
        <w:tc>
          <w:tcPr>
            <w:tcW w:w="3100" w:type="dxa"/>
            <w:vAlign w:val="bottom"/>
          </w:tcPr>
          <w:p>
            <w:pPr>
              <w:spacing w:after="0"/>
              <w:rPr>
                <w:sz w:val="18"/>
                <w:szCs w:val="18"/>
                <w:color w:val="auto"/>
              </w:rPr>
            </w:pPr>
          </w:p>
        </w:tc>
        <w:tc>
          <w:tcPr>
            <w:tcW w:w="2780" w:type="dxa"/>
            <w:vAlign w:val="bottom"/>
            <w:gridSpan w:val="2"/>
          </w:tcPr>
          <w:p>
            <w:pPr>
              <w:ind w:left="1020"/>
              <w:spacing w:after="0"/>
              <w:rPr>
                <w:sz w:val="20"/>
                <w:szCs w:val="20"/>
                <w:color w:val="auto"/>
              </w:rPr>
            </w:pPr>
            <w:r>
              <w:rPr>
                <w:rFonts w:ascii="Arial" w:cs="Arial" w:eastAsia="Arial" w:hAnsi="Arial"/>
                <w:sz w:val="18"/>
                <w:szCs w:val="18"/>
                <w:color w:val="auto"/>
              </w:rPr>
              <w:t>York City time, on</w:t>
            </w:r>
          </w:p>
        </w:tc>
        <w:tc>
          <w:tcPr>
            <w:tcW w:w="5500" w:type="dxa"/>
            <w:vAlign w:val="bottom"/>
          </w:tcPr>
          <w:p>
            <w:pPr>
              <w:ind w:left="460"/>
              <w:spacing w:after="0"/>
              <w:rPr>
                <w:sz w:val="20"/>
                <w:szCs w:val="20"/>
                <w:color w:val="auto"/>
              </w:rPr>
            </w:pPr>
            <w:r>
              <w:rPr>
                <w:rFonts w:ascii="Arial" w:cs="Arial" w:eastAsia="Arial" w:hAnsi="Arial"/>
                <w:sz w:val="18"/>
                <w:szCs w:val="18"/>
                <w:color w:val="auto"/>
                <w:w w:val="87"/>
              </w:rPr>
              <w:t>, 2005. If we decide for any reason not to accept any old notes tendered</w:t>
            </w:r>
          </w:p>
        </w:tc>
      </w:tr>
      <w:tr>
        <w:trPr>
          <w:trHeight w:val="222"/>
        </w:trPr>
        <w:tc>
          <w:tcPr>
            <w:tcW w:w="3100" w:type="dxa"/>
            <w:vAlign w:val="bottom"/>
          </w:tcPr>
          <w:p>
            <w:pPr>
              <w:spacing w:after="0"/>
              <w:rPr>
                <w:sz w:val="19"/>
                <w:szCs w:val="19"/>
                <w:color w:val="auto"/>
              </w:rPr>
            </w:pPr>
          </w:p>
        </w:tc>
        <w:tc>
          <w:tcPr>
            <w:tcW w:w="8280" w:type="dxa"/>
            <w:vAlign w:val="bottom"/>
            <w:gridSpan w:val="3"/>
          </w:tcPr>
          <w:p>
            <w:pPr>
              <w:ind w:left="1020"/>
              <w:spacing w:after="0"/>
              <w:rPr>
                <w:sz w:val="20"/>
                <w:szCs w:val="20"/>
                <w:color w:val="auto"/>
              </w:rPr>
            </w:pPr>
            <w:r>
              <w:rPr>
                <w:rFonts w:ascii="Arial" w:cs="Arial" w:eastAsia="Arial" w:hAnsi="Arial"/>
                <w:sz w:val="18"/>
                <w:szCs w:val="18"/>
                <w:color w:val="auto"/>
                <w:w w:val="90"/>
              </w:rPr>
              <w:t>for exchange, the old notes will be returned to the registered holder at our expense promptly after the</w:t>
            </w:r>
          </w:p>
        </w:tc>
      </w:tr>
    </w:tbl>
    <w:p>
      <w:pPr>
        <w:ind w:left="4120" w:right="340"/>
        <w:spacing w:after="0" w:line="261" w:lineRule="auto"/>
        <w:rPr>
          <w:sz w:val="20"/>
          <w:szCs w:val="20"/>
          <w:color w:val="auto"/>
        </w:rPr>
      </w:pPr>
      <w:r>
        <w:rPr>
          <w:rFonts w:ascii="Arial" w:cs="Arial" w:eastAsia="Arial" w:hAnsi="Arial"/>
          <w:sz w:val="18"/>
          <w:szCs w:val="18"/>
          <w:color w:val="auto"/>
        </w:rPr>
        <w:t>expiration or termination of the exchange offer. In the case of the old notes tendered by book-entry transfer into the exchange agent’s account at The Depository Trust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240"/>
        <w:spacing w:after="0" w:line="256" w:lineRule="auto"/>
        <w:rPr>
          <w:sz w:val="20"/>
          <w:szCs w:val="20"/>
          <w:color w:val="auto"/>
        </w:rPr>
      </w:pPr>
      <w:r>
        <w:rPr>
          <w:rFonts w:ascii="Arial" w:cs="Arial" w:eastAsia="Arial" w:hAnsi="Arial"/>
          <w:sz w:val="18"/>
          <w:szCs w:val="18"/>
          <w:color w:val="auto"/>
        </w:rPr>
        <w:t>Company (“DTC”), any withdrawn or unaccepted old notes will be credited to the tendering holders’ account at DTC. For further information regarding the withdrawal of the tendered old notes, see “The Exchange Offer—Terms of the Exchange Offer; Period for Tendering Old Notes” and “The Exchange Offer—Withdrawal Rights.”</w:t>
      </w:r>
    </w:p>
    <w:p>
      <w:pPr>
        <w:sectPr>
          <w:pgSz w:w="11900" w:h="16838" w:orient="portrait"/>
          <w:cols w:equalWidth="0" w:num="1">
            <w:col w:w="11420"/>
          </w:cols>
          <w:pgMar w:left="240" w:top="459" w:right="2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Conditions to the Exchange Offer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required to accept for exchange or to issue new notes in exchange for any old notes, and we may terminate or amend the exchange offer, if any of the following events occur prior to our acceptance of the old notes:</w:t>
      </w:r>
    </w:p>
    <w:p>
      <w:pPr>
        <w:spacing w:after="0" w:line="59"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the exchange offer violates any applicable law or applicable interpretation of the staff of the Securities and Exchange Commission (the “SEC”);</w:t>
      </w:r>
    </w:p>
    <w:p>
      <w:pPr>
        <w:spacing w:after="0" w:line="37"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an action or proceeding shall have been instituted or threatened in any court or by any governmental agency that might materially impair our or our guarantors’ ability to proceed with the exchange offer;</w:t>
      </w:r>
    </w:p>
    <w:p>
      <w:pPr>
        <w:spacing w:after="0" w:line="46"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0"/>
        <w:spacing w:after="0" w:line="268" w:lineRule="auto"/>
        <w:rPr>
          <w:sz w:val="20"/>
          <w:szCs w:val="20"/>
          <w:color w:val="auto"/>
        </w:rPr>
      </w:pPr>
      <w:r>
        <w:rPr>
          <w:rFonts w:ascii="Arial" w:cs="Arial" w:eastAsia="Arial" w:hAnsi="Arial"/>
          <w:sz w:val="18"/>
          <w:szCs w:val="18"/>
          <w:color w:val="auto"/>
        </w:rPr>
        <w:t>we do not receive all the governmental approvals that we believe are necessary to consummate the exchange offer; or</w:t>
      </w:r>
    </w:p>
    <w:p>
      <w:pPr>
        <w:spacing w:after="0" w:line="37"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370" w:lineRule="auto"/>
        <w:rPr>
          <w:sz w:val="20"/>
          <w:szCs w:val="20"/>
          <w:color w:val="auto"/>
        </w:rPr>
      </w:pPr>
      <w:r>
        <w:rPr>
          <w:rFonts w:ascii="Arial" w:cs="Arial" w:eastAsia="Arial" w:hAnsi="Arial"/>
          <w:sz w:val="15"/>
          <w:szCs w:val="15"/>
          <w:color w:val="auto"/>
        </w:rPr>
        <w:t>there has been proposed, adopted, or enacted any law, statute, rule or regulation that, in our reasonable judgment, would materially impair our ability to consummate the exchange offer.</w:t>
      </w:r>
    </w:p>
    <w:p>
      <w:pPr>
        <w:spacing w:after="0" w:line="49"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120"/>
        <w:spacing w:after="0" w:line="259" w:lineRule="auto"/>
        <w:rPr>
          <w:sz w:val="20"/>
          <w:szCs w:val="20"/>
          <w:color w:val="auto"/>
        </w:rPr>
      </w:pPr>
      <w:r>
        <w:rPr>
          <w:rFonts w:ascii="Arial" w:cs="Arial" w:eastAsia="Arial" w:hAnsi="Arial"/>
          <w:sz w:val="18"/>
          <w:szCs w:val="18"/>
          <w:color w:val="auto"/>
        </w:rPr>
        <w:t>We may waive any of the above conditions in our reasonable discretion. See the discussion below under the caption “The Exchange Offer—Conditions to the Exchange Offer” for more information regarding the conditions to the exchange offer.</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Procedures for Tendering Old Notes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Unless you comply with the procedure described below under the caption “The Exchange Offer— Guaranteed Delivery Procedures,” you must do one of the following on or prior to the expiration or termination of the exchange offer to participate in the exchange offer:</w:t>
      </w:r>
    </w:p>
    <w:p>
      <w:pPr>
        <w:spacing w:after="0" w:line="26"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8"/>
          <w:szCs w:val="18"/>
          <w:color w:val="auto"/>
        </w:rPr>
        <w:t>tender your old notes by sending (i) the certificates for your old notes (in proper form for transfer), (ii) a properly completed and duly executed letter of transmittal and (iii) all other documents required by the letter of transmittal to U.S. Bank National Association, as exchange agent, at one of the addresses listed below under the caption “The Exchange Offer —Exchange Agent”; or</w:t>
      </w:r>
    </w:p>
    <w:p>
      <w:pPr>
        <w:spacing w:after="0" w:line="48"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294" w:lineRule="auto"/>
        <w:rPr>
          <w:sz w:val="20"/>
          <w:szCs w:val="20"/>
          <w:color w:val="auto"/>
        </w:rPr>
      </w:pPr>
      <w:r>
        <w:rPr>
          <w:rFonts w:ascii="Arial" w:cs="Arial" w:eastAsia="Arial" w:hAnsi="Arial"/>
          <w:sz w:val="16"/>
          <w:szCs w:val="16"/>
          <w:color w:val="auto"/>
        </w:rPr>
        <w:t>tender your old notes by using the book-entry transfer procedures described below and transmitting a properly completed and duly executed letter of transmittal, or an agent’s message instead of the letter of transmittal, to the exchange agent. In order for a book-entry transfer to constitute a valid tender of your old notes in the exchange offer, U.S. Bank National Association, as exchange agent, must receive a confirmation of book-entry</w:t>
      </w:r>
    </w:p>
    <w:p>
      <w:pPr>
        <w:spacing w:after="0" w:line="102"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780"/>
        <w:spacing w:after="0" w:line="288" w:lineRule="auto"/>
        <w:rPr>
          <w:sz w:val="20"/>
          <w:szCs w:val="20"/>
          <w:color w:val="auto"/>
        </w:rPr>
      </w:pPr>
      <w:r>
        <w:rPr>
          <w:rFonts w:ascii="Arial" w:cs="Arial" w:eastAsia="Arial" w:hAnsi="Arial"/>
          <w:sz w:val="16"/>
          <w:szCs w:val="16"/>
          <w:color w:val="auto"/>
        </w:rPr>
        <w:t>transfer of your old notes into the exchange agent’s account at DTC prior to the expiration or termination of the exchange offer. For more information regarding the use of book-entry transfer procedures, including a description of the required agent’s message, see the discussion below under the caption “The Exchange Offer—Book-Entry Transfers.” As used in this prospectus, 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ectPr>
          <w:pgSz w:w="11900" w:h="16838" w:orient="portrait"/>
          <w:cols w:equalWidth="0" w:num="1">
            <w:col w:w="11420"/>
          </w:cols>
          <w:pgMar w:left="240" w:top="459" w:right="239" w:bottom="1440" w:gutter="0" w:footer="0" w:header="0"/>
        </w:sectPr>
      </w:pP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If you are a registered holder of old notes and wish to tender your old notes in the exchange offer, but</w:t>
      </w:r>
    </w:p>
    <w:p>
      <w:pPr>
        <w:spacing w:after="0" w:line="125"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old notes are not immediately available;</w:t>
      </w:r>
    </w:p>
    <w:p>
      <w:pPr>
        <w:spacing w:after="0" w:line="138"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time will not permit your old notes or other required documents to reach the exchange agent before the expiration or termination of the exchange offer; or</w:t>
      </w:r>
    </w:p>
    <w:p>
      <w:pPr>
        <w:spacing w:after="0" w:line="37"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60"/>
        <w:spacing w:after="0" w:line="268" w:lineRule="auto"/>
        <w:rPr>
          <w:sz w:val="20"/>
          <w:szCs w:val="20"/>
          <w:color w:val="auto"/>
        </w:rPr>
      </w:pPr>
      <w:r>
        <w:rPr>
          <w:rFonts w:ascii="Arial" w:cs="Arial" w:eastAsia="Arial" w:hAnsi="Arial"/>
          <w:sz w:val="18"/>
          <w:szCs w:val="18"/>
          <w:color w:val="auto"/>
        </w:rPr>
        <w:t>the procedure for book-entry transfer cannot be completed prior to the expiration or termination of the exchange offer;</w:t>
      </w:r>
    </w:p>
    <w:p>
      <w:pPr>
        <w:spacing w:after="0" w:line="118"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120" w:right="32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ectPr>
          <w:pgSz w:w="11900" w:h="16838" w:orient="portrait"/>
          <w:cols w:equalWidth="0" w:num="1">
            <w:col w:w="11420"/>
          </w:cols>
          <w:pgMar w:left="240" w:top="459" w:right="239"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If you are a beneficial owner whose old notes are registered in the name of a broker, dealer, 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pacing w:after="0" w:line="105"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Material United States Federal Income Tax</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Considerations</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113"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20"/>
          </w:cols>
          <w:pgMar w:left="240" w:top="459" w:right="33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2760"/>
        <w:spacing w:after="0"/>
        <w:rPr>
          <w:sz w:val="20"/>
          <w:szCs w:val="20"/>
          <w:color w:val="auto"/>
        </w:rPr>
      </w:pPr>
      <w:r>
        <w:rPr>
          <w:rFonts w:ascii="Arial" w:cs="Arial" w:eastAsia="Arial" w:hAnsi="Arial"/>
          <w:sz w:val="15"/>
          <w:szCs w:val="15"/>
          <w:color w:val="auto"/>
        </w:rPr>
        <w:t>We will not receive any cash proceeds from the exchange offer.</w:t>
      </w:r>
    </w:p>
    <w:p>
      <w:pPr>
        <w:spacing w:after="0" w:line="200" w:lineRule="exact"/>
        <w:rPr>
          <w:sz w:val="20"/>
          <w:szCs w:val="20"/>
          <w:color w:val="auto"/>
        </w:rPr>
      </w:pPr>
    </w:p>
    <w:p>
      <w:pPr>
        <w:sectPr>
          <w:pgSz w:w="11900" w:h="16838" w:orient="portrait"/>
          <w:cols w:equalWidth="0" w:num="2">
            <w:col w:w="3400" w:space="720"/>
            <w:col w:w="7200"/>
          </w:cols>
          <w:pgMar w:left="240" w:top="459"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Exchange Agent</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U.S. Bank National Association is the exchange agent for the exchange offer. You can find the address and telephone number of the exchange agent below under the caption, “The Exchange Offer— Exchange Agent.”</w:t>
      </w:r>
    </w:p>
    <w:p>
      <w:pPr>
        <w:spacing w:after="0" w:line="140" w:lineRule="exact"/>
        <w:rPr>
          <w:sz w:val="20"/>
          <w:szCs w:val="20"/>
          <w:color w:val="auto"/>
        </w:rPr>
      </w:pPr>
    </w:p>
    <w:p>
      <w:pPr>
        <w:sectPr>
          <w:pgSz w:w="11900" w:h="16838" w:orient="portrait"/>
          <w:cols w:equalWidth="0" w:num="2">
            <w:col w:w="3400" w:space="720"/>
            <w:col w:w="7200"/>
          </w:cols>
          <w:pgMar w:left="240" w:top="459" w:right="339" w:bottom="1440" w:gutter="0" w:footer="0" w:header="0"/>
          <w:type w:val="continuous"/>
        </w:sectPr>
      </w:pPr>
    </w:p>
    <w:p>
      <w:pPr>
        <w:spacing w:after="0"/>
        <w:rPr>
          <w:sz w:val="20"/>
          <w:szCs w:val="20"/>
          <w:color w:val="auto"/>
        </w:rPr>
      </w:pPr>
      <w:r>
        <w:rPr>
          <w:rFonts w:ascii="Arial" w:cs="Arial" w:eastAsia="Arial" w:hAnsi="Arial"/>
          <w:sz w:val="14"/>
          <w:szCs w:val="14"/>
          <w:color w:val="auto"/>
        </w:rPr>
        <w:t>Resales</w:t>
      </w:r>
    </w:p>
    <w:p>
      <w:pPr>
        <w:spacing w:after="0" w:line="20" w:lineRule="exact"/>
        <w:rPr>
          <w:sz w:val="20"/>
          <w:szCs w:val="20"/>
          <w:color w:val="auto"/>
        </w:rPr>
      </w:pPr>
      <w:r>
        <w:rPr>
          <w:sz w:val="20"/>
          <w:szCs w:val="20"/>
          <w:color w:val="auto"/>
        </w:rPr>
        <w:br w:type="column"/>
      </w:r>
    </w:p>
    <w:p>
      <w:pPr>
        <w:ind w:right="40"/>
        <w:spacing w:after="0" w:line="256" w:lineRule="auto"/>
        <w:rPr>
          <w:sz w:val="20"/>
          <w:szCs w:val="20"/>
          <w:color w:val="auto"/>
        </w:rPr>
      </w:pPr>
      <w:r>
        <w:rPr>
          <w:rFonts w:ascii="Arial" w:cs="Arial" w:eastAsia="Arial" w:hAnsi="Arial"/>
          <w:sz w:val="18"/>
          <w:szCs w:val="18"/>
          <w:color w:val="auto"/>
        </w:rPr>
        <w:t>Based on interpretations by the staff of the SEC, as set forth in no-action letters issued to third parties, we believe that the new notes issued in the exchange offer may be offered for resale, resold or otherwise transferred by you without compliance with the registration and prospectus delivery requirements of the Securities Act as long as:</w:t>
      </w:r>
    </w:p>
    <w:p>
      <w:pPr>
        <w:spacing w:after="0" w:line="62" w:lineRule="exact"/>
        <w:rPr>
          <w:sz w:val="20"/>
          <w:szCs w:val="20"/>
          <w:color w:val="auto"/>
        </w:rPr>
      </w:pPr>
    </w:p>
    <w:p>
      <w:pPr>
        <w:sectPr>
          <w:pgSz w:w="11900" w:h="16838" w:orient="portrait"/>
          <w:cols w:equalWidth="0" w:num="2">
            <w:col w:w="3400" w:space="720"/>
            <w:col w:w="7200"/>
          </w:cols>
          <w:pgMar w:left="240" w:top="459" w:right="3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you are acquiring the new notes in the ordinary course of your business;</w:t>
      </w:r>
    </w:p>
    <w:p>
      <w:pPr>
        <w:spacing w:after="0" w:line="138" w:lineRule="exact"/>
        <w:rPr>
          <w:sz w:val="20"/>
          <w:szCs w:val="20"/>
          <w:color w:val="auto"/>
        </w:rPr>
      </w:pPr>
    </w:p>
    <w:p>
      <w:pPr>
        <w:sectPr>
          <w:pgSz w:w="11900" w:h="16838" w:orient="portrait"/>
          <w:cols w:equalWidth="0" w:num="2">
            <w:col w:w="4400" w:space="500"/>
            <w:col w:w="6420"/>
          </w:cols>
          <w:pgMar w:left="240" w:top="459" w:right="3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0"/>
        <w:spacing w:after="0" w:line="347" w:lineRule="auto"/>
        <w:rPr>
          <w:sz w:val="20"/>
          <w:szCs w:val="20"/>
          <w:color w:val="auto"/>
        </w:rPr>
      </w:pPr>
      <w:r>
        <w:rPr>
          <w:rFonts w:ascii="Arial" w:cs="Arial" w:eastAsia="Arial" w:hAnsi="Arial"/>
          <w:sz w:val="15"/>
          <w:szCs w:val="15"/>
          <w:color w:val="auto"/>
        </w:rPr>
        <w:t>you are not participating, do not intend to participate and have no arrangement or understanding with any person to participate in a distribution of the new notes; and</w:t>
      </w:r>
    </w:p>
    <w:p>
      <w:pPr>
        <w:spacing w:after="0" w:line="1" w:lineRule="exact"/>
        <w:rPr>
          <w:sz w:val="20"/>
          <w:szCs w:val="20"/>
          <w:color w:val="auto"/>
        </w:rPr>
      </w:pPr>
    </w:p>
    <w:p>
      <w:pPr>
        <w:sectPr>
          <w:pgSz w:w="11900" w:h="16838" w:orient="portrait"/>
          <w:cols w:equalWidth="0" w:num="2">
            <w:col w:w="4400" w:space="500"/>
            <w:col w:w="6420"/>
          </w:cols>
          <w:pgMar w:left="240" w:top="459" w:right="3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not an affiliate of ours.</w:t>
      </w:r>
    </w:p>
    <w:p>
      <w:pPr>
        <w:spacing w:after="0" w:line="200" w:lineRule="exact"/>
        <w:rPr>
          <w:sz w:val="20"/>
          <w:szCs w:val="20"/>
          <w:color w:val="auto"/>
        </w:rPr>
      </w:pPr>
    </w:p>
    <w:p>
      <w:pPr>
        <w:sectPr>
          <w:pgSz w:w="11900" w:h="16838" w:orient="portrait"/>
          <w:cols w:equalWidth="0" w:num="2">
            <w:col w:w="4400" w:space="500"/>
            <w:col w:w="6420"/>
          </w:cols>
          <w:pgMar w:left="240" w:top="459" w:right="339" w:bottom="1440" w:gutter="0" w:footer="0" w:header="0"/>
          <w:type w:val="continuous"/>
        </w:sectPr>
      </w:pPr>
    </w:p>
    <w:p>
      <w:pPr>
        <w:spacing w:after="0" w:line="8" w:lineRule="exact"/>
        <w:rPr>
          <w:sz w:val="20"/>
          <w:szCs w:val="20"/>
          <w:color w:val="auto"/>
        </w:rPr>
      </w:pPr>
    </w:p>
    <w:p>
      <w:pPr>
        <w:ind w:left="4120" w:right="540"/>
        <w:spacing w:after="0" w:line="332" w:lineRule="auto"/>
        <w:rPr>
          <w:sz w:val="20"/>
          <w:szCs w:val="20"/>
          <w:color w:val="auto"/>
        </w:rPr>
      </w:pPr>
      <w:r>
        <w:rPr>
          <w:rFonts w:ascii="Arial" w:cs="Arial" w:eastAsia="Arial" w:hAnsi="Arial"/>
          <w:sz w:val="16"/>
          <w:szCs w:val="16"/>
          <w:color w:val="auto"/>
        </w:rPr>
        <w:t>If you are an affiliate of ours, are engaged in or intend to engage in or have any arrangement or understanding with any person to participate in the distribution of the new notes:</w:t>
      </w:r>
    </w:p>
    <w:p>
      <w:pPr>
        <w:spacing w:after="0" w:line="4" w:lineRule="exact"/>
        <w:rPr>
          <w:sz w:val="20"/>
          <w:szCs w:val="20"/>
          <w:color w:val="auto"/>
        </w:rPr>
      </w:pPr>
    </w:p>
    <w:p>
      <w:pPr>
        <w:ind w:left="4780" w:hanging="437"/>
        <w:spacing w:after="0"/>
        <w:tabs>
          <w:tab w:leader="none" w:pos="4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cannot rely on the applicable interpretations of the staff of the SEC; and</w:t>
      </w:r>
    </w:p>
    <w:p>
      <w:pPr>
        <w:spacing w:after="0" w:line="76" w:lineRule="exact"/>
        <w:rPr>
          <w:rFonts w:ascii="Arial" w:cs="Arial" w:eastAsia="Arial" w:hAnsi="Arial"/>
          <w:sz w:val="18"/>
          <w:szCs w:val="18"/>
          <w:color w:val="auto"/>
        </w:rPr>
      </w:pPr>
    </w:p>
    <w:p>
      <w:pPr>
        <w:ind w:left="4780" w:right="60" w:hanging="437"/>
        <w:spacing w:after="0" w:line="268" w:lineRule="auto"/>
        <w:tabs>
          <w:tab w:leader="none" w:pos="4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must comply with the registration requirements of the Securities Act in connection with any resale transaction.</w:t>
      </w:r>
    </w:p>
    <w:p>
      <w:pPr>
        <w:spacing w:after="0" w:line="118" w:lineRule="exact"/>
        <w:rPr>
          <w:sz w:val="20"/>
          <w:szCs w:val="20"/>
          <w:color w:val="auto"/>
        </w:rPr>
      </w:pPr>
    </w:p>
    <w:p>
      <w:pPr>
        <w:ind w:left="4120"/>
        <w:spacing w:after="0" w:line="254" w:lineRule="auto"/>
        <w:rPr>
          <w:sz w:val="20"/>
          <w:szCs w:val="20"/>
          <w:color w:val="auto"/>
        </w:rPr>
      </w:pPr>
      <w:r>
        <w:rPr>
          <w:rFonts w:ascii="Arial" w:cs="Arial" w:eastAsia="Arial" w:hAnsi="Arial"/>
          <w:sz w:val="18"/>
          <w:szCs w:val="18"/>
          <w:color w:val="auto"/>
        </w:rPr>
        <w:t>Each broker or dealer that receives new notes for its own account in exchange for old notes that were acquired as a result of market- making or other trading activities must acknowledge that it will comply with the registration and prospectus delivery requirements of the Securities Act in connection with any offer, resale or other transfer of the new notes issued in the exchange offer, including information with respect to any selling holder required by the Securities Act in connection with any resale of the new notes.</w:t>
      </w:r>
    </w:p>
    <w:p>
      <w:pPr>
        <w:spacing w:after="0" w:line="14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4900" w:right="20" w:hanging="557"/>
        <w:spacing w:after="0" w:line="256" w:lineRule="auto"/>
        <w:tabs>
          <w:tab w:leader="none" w:pos="4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(April 13, 1988), Morgan, Stanley Co. Inc., SEC no-action letter (June 5, 1991) and Shearman Sterling, SEC no-action letter (July 2, 1993); and</w:t>
      </w:r>
    </w:p>
    <w:p>
      <w:pPr>
        <w:spacing w:after="0" w:line="48" w:lineRule="exact"/>
        <w:rPr>
          <w:rFonts w:ascii="Arial" w:cs="Arial" w:eastAsia="Arial" w:hAnsi="Arial"/>
          <w:sz w:val="18"/>
          <w:szCs w:val="18"/>
          <w:color w:val="auto"/>
        </w:rPr>
      </w:pPr>
    </w:p>
    <w:p>
      <w:pPr>
        <w:ind w:left="4900" w:right="240" w:hanging="557"/>
        <w:spacing w:after="0" w:line="370" w:lineRule="auto"/>
        <w:tabs>
          <w:tab w:leader="none" w:pos="4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must also be named as a selling noteholder in connection with the registration and prospectus delivery requirements of the Securities Act relating to any resale transaction.</w:t>
      </w:r>
    </w:p>
    <w:p>
      <w:pPr>
        <w:spacing w:after="0" w:line="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Broker-Dealers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We have agreed that for a period of up to 180 days after the consummation of this exchange offer, we will make this prospectus available to any broker-dealer for use in connection with any such resale. See “Plan of Distribution” beginning on page 192 for more information.</w:t>
      </w:r>
    </w:p>
    <w:p>
      <w:pPr>
        <w:spacing w:after="0" w:line="12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jc w:val="both"/>
        <w:ind w:right="140"/>
        <w:spacing w:after="0" w:line="259" w:lineRule="auto"/>
        <w:rPr>
          <w:sz w:val="20"/>
          <w:szCs w:val="20"/>
          <w:color w:val="auto"/>
        </w:rPr>
      </w:pPr>
      <w:r>
        <w:rPr>
          <w:rFonts w:ascii="Arial" w:cs="Arial" w:eastAsia="Arial" w:hAnsi="Arial"/>
          <w:sz w:val="18"/>
          <w:szCs w:val="18"/>
          <w:color w:val="auto"/>
        </w:rPr>
        <w:t>When we issued the old notes in December 2004, we entered into a registration rights agreement with the initial purchasers of the old notes. Under the terms of the registration rights agreement, we agreed to:</w:t>
      </w:r>
    </w:p>
    <w:p>
      <w:pPr>
        <w:spacing w:after="0" w:line="59"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cause the exchange offer registration statement to be filed with the Securities and Exchange Commission on or prior to April 13, 2005;</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use all commercially reasonable efforts to have the exchange offer registration statement declared effective no later than August 11, 2005;</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80"/>
        <w:spacing w:after="0" w:line="259" w:lineRule="auto"/>
        <w:rPr>
          <w:sz w:val="20"/>
          <w:szCs w:val="20"/>
          <w:color w:val="auto"/>
        </w:rPr>
      </w:pPr>
      <w:r>
        <w:rPr>
          <w:rFonts w:ascii="Arial" w:cs="Arial" w:eastAsia="Arial" w:hAnsi="Arial"/>
          <w:sz w:val="18"/>
          <w:szCs w:val="18"/>
          <w:color w:val="auto"/>
        </w:rPr>
        <w:t>use all commercially reasonable efforts to consummate the exchange offer within 30 business days after the date on which the exchange offer registration statement is declared effective;</w:t>
      </w:r>
    </w:p>
    <w:p>
      <w:pPr>
        <w:spacing w:after="0" w:line="46"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80"/>
        <w:spacing w:after="0" w:line="259" w:lineRule="auto"/>
        <w:rPr>
          <w:sz w:val="20"/>
          <w:szCs w:val="20"/>
          <w:color w:val="auto"/>
        </w:rPr>
      </w:pPr>
      <w:r>
        <w:rPr>
          <w:rFonts w:ascii="Arial" w:cs="Arial" w:eastAsia="Arial" w:hAnsi="Arial"/>
          <w:sz w:val="18"/>
          <w:szCs w:val="18"/>
          <w:color w:val="auto"/>
        </w:rPr>
        <w:t>use all commercially reasonable efforts to file a shelf registration statement for the resale of the old notes if we cannot effect an exchange offer within the time periods listed above and in certain other circumstances; and</w:t>
      </w:r>
    </w:p>
    <w:p>
      <w:pPr>
        <w:spacing w:after="0" w:line="46"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303" w:lineRule="auto"/>
        <w:rPr>
          <w:sz w:val="20"/>
          <w:szCs w:val="20"/>
          <w:color w:val="auto"/>
        </w:rPr>
      </w:pPr>
      <w:r>
        <w:rPr>
          <w:rFonts w:ascii="Arial" w:cs="Arial" w:eastAsia="Arial" w:hAnsi="Arial"/>
          <w:sz w:val="15"/>
          <w:szCs w:val="15"/>
          <w:color w:val="auto"/>
        </w:rPr>
        <w:t>if we fail to meet our registration obligations, we will pay liquidated damages in an amount equal to $0.05 per week per $1,000 of the principal amount of old notes held by a holder for each day that we default on our registration obligations, increasing by an additional $0.05</w:t>
      </w:r>
    </w:p>
    <w:p>
      <w:pPr>
        <w:spacing w:after="0" w:line="1"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900" w:right="40"/>
        <w:spacing w:after="0" w:line="302" w:lineRule="auto"/>
        <w:rPr>
          <w:sz w:val="20"/>
          <w:szCs w:val="20"/>
          <w:color w:val="auto"/>
        </w:rPr>
      </w:pPr>
      <w:r>
        <w:rPr>
          <w:rFonts w:ascii="Arial" w:cs="Arial" w:eastAsia="Arial" w:hAnsi="Arial"/>
          <w:sz w:val="16"/>
          <w:szCs w:val="16"/>
          <w:color w:val="auto"/>
        </w:rPr>
        <w:t>per week per $1,000 of the principal amount of old notes for each subsequent 90-day period our registration obligations are not met, up to a maximum of liquidated damages equal to $0.50 per week per $1,000 of the principal amount of old notes.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3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1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these holders. For more information regarding the consequences of not tendering your old notes and our obligations to file a shelf registration statement, see “The Exchange Offer—Consequences of Exchanging or Failing to Exchange Old Notes” and “Description of the New Notes—Registration Rights.”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Description of the New Notes</w:t>
      </w:r>
    </w:p>
    <w:p>
      <w:pPr>
        <w:spacing w:after="0" w:line="164"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The terms of the new notes and those of the outstanding old notes are substantially identical, except that the transfer restrictions and registration rights relating to the old notes do not apply to the new notes. For a more complete understanding of the new notes, see “Description of New Notes” in this prospectus.</w:t>
      </w:r>
    </w:p>
    <w:p>
      <w:pPr>
        <w:sectPr>
          <w:pgSz w:w="11900" w:h="16838" w:orient="portrait"/>
          <w:cols w:equalWidth="0" w:num="1">
            <w:col w:w="11400"/>
          </w:cols>
          <w:pgMar w:left="240" w:top="459" w:right="25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Issuers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Wynn Las Vegas, LLC and Wynn Las Vegas Capital Corp.</w:t>
      </w:r>
    </w:p>
    <w:p>
      <w:pPr>
        <w:spacing w:after="0" w:line="20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$1.3 billion aggregate principal amount of 6 </w:t>
      </w:r>
      <w:r>
        <w:rPr>
          <w:rFonts w:ascii="Arial" w:cs="Arial" w:eastAsia="Arial" w:hAnsi="Arial"/>
          <w:sz w:val="10"/>
          <w:szCs w:val="10"/>
          <w:color w:val="auto"/>
        </w:rPr>
        <w:t>5</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first mortgage notes due 2014.</w:t>
      </w:r>
    </w:p>
    <w:p>
      <w:pPr>
        <w:spacing w:after="0" w:line="20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December 1, 2014.</w:t>
      </w:r>
    </w:p>
    <w:p>
      <w:pPr>
        <w:spacing w:after="0" w:line="205"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June 1 and December 1 of each year, commencing June 1, 2005. Interest will accrue from the issue date of the new notes.</w:t>
      </w:r>
    </w:p>
    <w:p>
      <w:pPr>
        <w:spacing w:after="0" w:line="132"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Subsidiary Guarantees</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The notes will be unconditionally guaranteed by all of our subsidiaries (except Wynn Completion Guarantor, LLC) on an equal and ratable basis with the guarantees by such guarantors of our existing credit facilities. The guarantees may be released if the lenders under our existing credit facilities release the corresponding guarantees provided by such guarantors in respect of the existing facilities and certain other conditions set forth in the indenture are satisfied.</w:t>
      </w:r>
    </w:p>
    <w:p>
      <w:pPr>
        <w:spacing w:after="0" w:line="116"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new notes will be senior obligations of the issuers and will rank pari passu in right of payment with all other senior indebtedness of the issuers, including our obligations under our new credit facilities.</w:t>
      </w:r>
    </w:p>
    <w:p>
      <w:pPr>
        <w:spacing w:after="0" w:line="85"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jc w:val="both"/>
        <w:ind w:right="120"/>
        <w:spacing w:after="0" w:line="259" w:lineRule="auto"/>
        <w:rPr>
          <w:sz w:val="20"/>
          <w:szCs w:val="20"/>
          <w:color w:val="auto"/>
        </w:rPr>
      </w:pPr>
      <w:r>
        <w:rPr>
          <w:rFonts w:ascii="Arial" w:cs="Arial" w:eastAsia="Arial" w:hAnsi="Arial"/>
          <w:sz w:val="18"/>
          <w:szCs w:val="18"/>
          <w:color w:val="auto"/>
        </w:rPr>
        <w:t>To the extent permitted by gaming and other applicable laws and subject to certain permitted liens, the new notes will be secured on an equal and ratable basis (with certain exceptions) with our obligations under our new credit facilities by:</w:t>
      </w:r>
    </w:p>
    <w:p>
      <w:pPr>
        <w:spacing w:after="0" w:line="59"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a perfected first priority lien on substantially all of our existing and future assets, including the land on which Wynn Las Vegas is currently being constructed and the land on which Encore will be constructed, all improvements constructed as part of the Wynn Las Vegas resort and Encore, all other real property held by us, certain personal property, including items of furniture, fixtures and equipment located within Wynn Las Vegas and Encore, water rights for the resort’s water feature, and all material agreements and contractual rights;</w:t>
      </w:r>
    </w:p>
    <w:p>
      <w:pPr>
        <w:spacing w:after="0" w:line="26"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40"/>
        <w:spacing w:after="0" w:line="268" w:lineRule="auto"/>
        <w:rPr>
          <w:sz w:val="20"/>
          <w:szCs w:val="20"/>
          <w:color w:val="auto"/>
        </w:rPr>
      </w:pPr>
      <w:r>
        <w:rPr>
          <w:rFonts w:ascii="Arial" w:cs="Arial" w:eastAsia="Arial" w:hAnsi="Arial"/>
          <w:sz w:val="18"/>
          <w:szCs w:val="18"/>
          <w:color w:val="auto"/>
        </w:rPr>
        <w:t>a perfected first priority pledge of the equity interests in Wynn Las Vegas, LLC, Wynn Capital, Wynn Completion Guarantor, LLC and the guarantors;</w:t>
      </w:r>
    </w:p>
    <w:p>
      <w:pPr>
        <w:spacing w:after="0" w:line="37"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325" w:lineRule="auto"/>
        <w:rPr>
          <w:sz w:val="20"/>
          <w:szCs w:val="20"/>
          <w:color w:val="auto"/>
        </w:rPr>
      </w:pPr>
      <w:r>
        <w:rPr>
          <w:rFonts w:ascii="Arial" w:cs="Arial" w:eastAsia="Arial" w:hAnsi="Arial"/>
          <w:sz w:val="16"/>
          <w:szCs w:val="16"/>
          <w:color w:val="auto"/>
        </w:rPr>
        <w:t>a perfected first priority lien on all amounts on deposit from time to time in the completion guarantee deposit account ($50.0 million as of December 31, 2004); and</w:t>
      </w:r>
    </w:p>
    <w:p>
      <w:pPr>
        <w:spacing w:after="0" w:line="1"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20"/>
        <w:spacing w:after="0" w:line="268" w:lineRule="auto"/>
        <w:rPr>
          <w:sz w:val="20"/>
          <w:szCs w:val="20"/>
          <w:color w:val="auto"/>
        </w:rPr>
      </w:pPr>
      <w:r>
        <w:rPr>
          <w:rFonts w:ascii="Arial" w:cs="Arial" w:eastAsia="Arial" w:hAnsi="Arial"/>
          <w:sz w:val="18"/>
          <w:szCs w:val="18"/>
          <w:color w:val="auto"/>
        </w:rPr>
        <w:t>a perfected first priority lien on all amounts on deposit from time to time in our liquidity reserve account ($30.0 million as of December 31, 2004).</w:t>
      </w:r>
    </w:p>
    <w:p>
      <w:pPr>
        <w:spacing w:after="0" w:line="118"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jc w:val="both"/>
        <w:ind w:left="4120" w:right="100"/>
        <w:spacing w:after="0" w:line="306" w:lineRule="auto"/>
        <w:rPr>
          <w:sz w:val="20"/>
          <w:szCs w:val="20"/>
          <w:color w:val="auto"/>
        </w:rPr>
      </w:pPr>
      <w:r>
        <w:rPr>
          <w:rFonts w:ascii="Arial" w:cs="Arial" w:eastAsia="Arial" w:hAnsi="Arial"/>
          <w:sz w:val="16"/>
          <w:szCs w:val="16"/>
          <w:color w:val="auto"/>
        </w:rPr>
        <w:t>In addition, the holders of the new notes will have a sole perfected first priority lien on any remaining net proceeds of the offering of the old notes deposited into the notes proceeds account, pending release to fund disbursement requests under a disbursement agreement.</w:t>
      </w:r>
    </w:p>
    <w:p>
      <w:pPr>
        <w:spacing w:after="0" w:line="107" w:lineRule="exact"/>
        <w:rPr>
          <w:sz w:val="20"/>
          <w:szCs w:val="20"/>
          <w:color w:val="auto"/>
        </w:rPr>
      </w:pPr>
    </w:p>
    <w:p>
      <w:pPr>
        <w:ind w:left="4120" w:right="40"/>
        <w:spacing w:after="0" w:line="255" w:lineRule="auto"/>
        <w:rPr>
          <w:sz w:val="20"/>
          <w:szCs w:val="20"/>
          <w:color w:val="auto"/>
        </w:rPr>
      </w:pPr>
      <w:r>
        <w:rPr>
          <w:rFonts w:ascii="Arial" w:cs="Arial" w:eastAsia="Arial" w:hAnsi="Arial"/>
          <w:sz w:val="18"/>
          <w:szCs w:val="18"/>
          <w:color w:val="auto"/>
        </w:rPr>
        <w:t>To the extent permitted by gaming and other applicable laws and subject to certain permitted liens, the subsidiary guarantors’ obligations under the guarantees on the new notes will be secured by a perfected first priority lien on substantially all of the existing and future assets of the subsidiary guarantors, including the Wynn Las Vegas golf course, water rights for the golf course, and all agreements and contractual rights.</w:t>
      </w:r>
    </w:p>
    <w:p>
      <w:pPr>
        <w:spacing w:after="0" w:line="143" w:lineRule="exact"/>
        <w:rPr>
          <w:sz w:val="20"/>
          <w:szCs w:val="20"/>
          <w:color w:val="auto"/>
        </w:rPr>
      </w:pPr>
    </w:p>
    <w:p>
      <w:pPr>
        <w:ind w:left="4120" w:right="60"/>
        <w:spacing w:after="0" w:line="291" w:lineRule="auto"/>
        <w:rPr>
          <w:sz w:val="20"/>
          <w:szCs w:val="20"/>
          <w:color w:val="auto"/>
        </w:rPr>
      </w:pPr>
      <w:r>
        <w:rPr>
          <w:rFonts w:ascii="Arial" w:cs="Arial" w:eastAsia="Arial" w:hAnsi="Arial"/>
          <w:sz w:val="16"/>
          <w:szCs w:val="16"/>
          <w:color w:val="auto"/>
        </w:rPr>
        <w:t>The new notes will not be secured by World Travel, LLC’s aircraft; provided, however, the aircraft will secure the new notes in the event that we do not obtain secured financing from another source in an amount not to exceed up to 100% of the fair market value of the aircraft, by June 12, 2005. The new notes will also not be secured by any proceeds on deposit in the bank proceeds account, which will be drawn and used to pay certain costs in connection with completion of construction of Wynn Las Vegas and the development and construction of Encore.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security interests in all of the collateral securing our obligations under the notes and the obligations of the subsidiary guarantors under the subsidiary guarantees, including the golf course land, may be released if:</w:t>
      </w:r>
    </w:p>
    <w:p>
      <w:pPr>
        <w:spacing w:after="0" w:line="59"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completion date for Encore has occurred;</w:t>
      </w:r>
    </w:p>
    <w:p>
      <w:pPr>
        <w:spacing w:after="0" w:line="138"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38"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240"/>
        <w:spacing w:after="0" w:line="370" w:lineRule="auto"/>
        <w:rPr>
          <w:sz w:val="20"/>
          <w:szCs w:val="20"/>
          <w:color w:val="auto"/>
        </w:rPr>
      </w:pPr>
      <w:r>
        <w:rPr>
          <w:rFonts w:ascii="Arial" w:cs="Arial" w:eastAsia="Arial" w:hAnsi="Arial"/>
          <w:sz w:val="15"/>
          <w:szCs w:val="15"/>
          <w:color w:val="auto"/>
        </w:rPr>
        <w:t>the lenders under any other outstanding secured debt (other than capital lease obligations and purchase money indebtedness) have released their security interest in such collateral.</w:t>
      </w:r>
    </w:p>
    <w:p>
      <w:pPr>
        <w:spacing w:after="0" w:line="49"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120"/>
        <w:spacing w:after="0"/>
        <w:rPr>
          <w:sz w:val="20"/>
          <w:szCs w:val="20"/>
          <w:color w:val="auto"/>
        </w:rPr>
      </w:pPr>
      <w:r>
        <w:rPr>
          <w:rFonts w:ascii="Arial" w:cs="Arial" w:eastAsia="Arial" w:hAnsi="Arial"/>
          <w:sz w:val="18"/>
          <w:szCs w:val="18"/>
          <w:color w:val="auto"/>
        </w:rPr>
        <w:t>The security interests in the golf course land may also be released if:</w:t>
      </w:r>
    </w:p>
    <w:p>
      <w:pPr>
        <w:spacing w:after="0" w:line="90" w:lineRule="exact"/>
        <w:rPr>
          <w:sz w:val="20"/>
          <w:szCs w:val="20"/>
          <w:color w:val="auto"/>
        </w:rPr>
      </w:pPr>
    </w:p>
    <w:p>
      <w:pPr>
        <w:ind w:left="4900" w:hanging="557"/>
        <w:spacing w:after="0"/>
        <w:tabs>
          <w:tab w:leader="none" w:pos="4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03" w:lineRule="exact"/>
        <w:rPr>
          <w:rFonts w:ascii="Arial" w:cs="Arial" w:eastAsia="Arial" w:hAnsi="Arial"/>
          <w:sz w:val="18"/>
          <w:szCs w:val="18"/>
          <w:color w:val="auto"/>
        </w:rPr>
      </w:pPr>
    </w:p>
    <w:p>
      <w:pPr>
        <w:ind w:left="4900" w:right="80" w:hanging="557"/>
        <w:spacing w:after="0" w:line="268" w:lineRule="auto"/>
        <w:tabs>
          <w:tab w:leader="none" w:pos="4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lenders under our existing credit facilities concurrently release their security interests in the golf course land (other than in connection with a refinancing);</w:t>
      </w:r>
    </w:p>
    <w:p>
      <w:pPr>
        <w:spacing w:after="0" w:line="37" w:lineRule="exact"/>
        <w:rPr>
          <w:rFonts w:ascii="Arial" w:cs="Arial" w:eastAsia="Arial" w:hAnsi="Arial"/>
          <w:sz w:val="18"/>
          <w:szCs w:val="18"/>
          <w:color w:val="auto"/>
        </w:rPr>
      </w:pPr>
    </w:p>
    <w:p>
      <w:pPr>
        <w:ind w:left="4900" w:hanging="557"/>
        <w:spacing w:after="0"/>
        <w:tabs>
          <w:tab w:leader="none" w:pos="4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Encore is open and operating; and</w:t>
      </w:r>
    </w:p>
    <w:p>
      <w:pPr>
        <w:spacing w:after="0" w:line="103" w:lineRule="exact"/>
        <w:rPr>
          <w:rFonts w:ascii="Arial" w:cs="Arial" w:eastAsia="Arial" w:hAnsi="Arial"/>
          <w:sz w:val="18"/>
          <w:szCs w:val="18"/>
          <w:color w:val="auto"/>
        </w:rPr>
      </w:pPr>
    </w:p>
    <w:p>
      <w:pPr>
        <w:ind w:left="4900" w:right="520" w:hanging="557"/>
        <w:spacing w:after="0" w:line="268" w:lineRule="auto"/>
        <w:tabs>
          <w:tab w:leader="none" w:pos="4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total debt does not exceed 6.5 times our Consolidated EBITDA (as defined in the indenture) for the most recent four full fiscal quarters.</w:t>
      </w:r>
    </w:p>
    <w:p>
      <w:pPr>
        <w:spacing w:after="0" w:line="118" w:lineRule="exact"/>
        <w:rPr>
          <w:sz w:val="20"/>
          <w:szCs w:val="20"/>
          <w:color w:val="auto"/>
        </w:rPr>
      </w:pPr>
    </w:p>
    <w:p>
      <w:pPr>
        <w:ind w:left="4120"/>
        <w:spacing w:after="0" w:line="291" w:lineRule="auto"/>
        <w:rPr>
          <w:sz w:val="20"/>
          <w:szCs w:val="20"/>
          <w:color w:val="auto"/>
        </w:rPr>
      </w:pPr>
      <w:r>
        <w:rPr>
          <w:rFonts w:ascii="Arial" w:cs="Arial" w:eastAsia="Arial" w:hAnsi="Arial"/>
          <w:sz w:val="16"/>
          <w:szCs w:val="16"/>
          <w:color w:val="auto"/>
        </w:rPr>
        <w:t>However, if we incur or guarantee debt to finance costs related to the development of the golf course parcel into a mixed use hotel, casino and residence resort complex pursuant to the debt incurrence baskets described below under the caption “Description of First Mortgage Notes—Certain Covenants— Incurrence of Indebtedness and Issuance of Disqualified Stock,” then the security interest in the golf course land may not be released without obtaining the consent of holders of at least 90% of the outstanding principal amount of the notes.</w:t>
      </w:r>
    </w:p>
    <w:p>
      <w:pPr>
        <w:spacing w:after="0" w:line="120" w:lineRule="exact"/>
        <w:rPr>
          <w:sz w:val="20"/>
          <w:szCs w:val="20"/>
          <w:color w:val="auto"/>
        </w:rPr>
      </w:pPr>
    </w:p>
    <w:p>
      <w:pPr>
        <w:ind w:left="4120" w:right="40"/>
        <w:spacing w:after="0" w:line="256" w:lineRule="auto"/>
        <w:rPr>
          <w:sz w:val="20"/>
          <w:szCs w:val="20"/>
          <w:color w:val="auto"/>
        </w:rPr>
      </w:pPr>
      <w:r>
        <w:rPr>
          <w:rFonts w:ascii="Arial" w:cs="Arial" w:eastAsia="Arial" w:hAnsi="Arial"/>
          <w:sz w:val="18"/>
          <w:szCs w:val="18"/>
          <w:color w:val="auto"/>
        </w:rPr>
        <w:t>The security interest in approximately 20 acres of the golf course land granted by one of our subsidiaries may be released if the lenders under our new credit facilities concurrently release their lien on such land (other than pursuant to a refinancing) and no default or event of default exists or is continuing.</w:t>
      </w:r>
    </w:p>
    <w:p>
      <w:pPr>
        <w:spacing w:after="0" w:line="143" w:lineRule="exact"/>
        <w:rPr>
          <w:sz w:val="20"/>
          <w:szCs w:val="20"/>
          <w:color w:val="auto"/>
        </w:rPr>
      </w:pPr>
    </w:p>
    <w:p>
      <w:pPr>
        <w:ind w:left="4120" w:right="380"/>
        <w:spacing w:after="0" w:line="306" w:lineRule="auto"/>
        <w:rPr>
          <w:sz w:val="20"/>
          <w:szCs w:val="20"/>
          <w:color w:val="auto"/>
        </w:rPr>
      </w:pPr>
      <w:r>
        <w:rPr>
          <w:rFonts w:ascii="Arial" w:cs="Arial" w:eastAsia="Arial" w:hAnsi="Arial"/>
          <w:sz w:val="16"/>
          <w:szCs w:val="16"/>
          <w:color w:val="auto"/>
        </w:rPr>
        <w:t>In addition, the indenture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 after Qualified Equity Offerings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At any time prior to December 1, 2007, we may, on one or more occasions, redeem up to 35% of the outstanding notes at a redemption price of 106.625% of the principal amount, plus accrued and unpaid interest, with the net cash proceeds of one or more qualified equity offerings 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redemption occurs within 60 days of the closing of the qualified equity offering.</w:t>
      </w:r>
    </w:p>
    <w:p>
      <w:pPr>
        <w:spacing w:after="0" w:line="143" w:lineRule="exact"/>
        <w:rPr>
          <w:sz w:val="20"/>
          <w:szCs w:val="20"/>
          <w:color w:val="auto"/>
        </w:rPr>
      </w:pPr>
    </w:p>
    <w:p>
      <w:pPr>
        <w:sectPr>
          <w:pgSz w:w="11900" w:h="16838" w:orient="portrait"/>
          <w:cols w:equalWidth="0" w:num="2">
            <w:col w:w="3820" w:space="30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jc w:val="both"/>
        <w:ind w:right="220"/>
        <w:spacing w:after="0" w:line="259" w:lineRule="auto"/>
        <w:rPr>
          <w:sz w:val="20"/>
          <w:szCs w:val="20"/>
          <w:color w:val="auto"/>
        </w:rPr>
      </w:pPr>
      <w:r>
        <w:rPr>
          <w:rFonts w:ascii="Arial" w:cs="Arial" w:eastAsia="Arial" w:hAnsi="Arial"/>
          <w:sz w:val="18"/>
          <w:szCs w:val="18"/>
          <w:color w:val="auto"/>
        </w:rPr>
        <w:t>Except in connection with a qualified equity offering of Wynn Resorts, we cannot redeem the notes until December 1, 2009. Thereafter, we may redeem some or all of the notes at a premium declining ratably to zero, plus accrued and unpaid interest.</w:t>
      </w:r>
    </w:p>
    <w:p>
      <w:pPr>
        <w:spacing w:after="0" w:line="140"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Gaming Redemption</w:t>
      </w:r>
    </w:p>
    <w:p>
      <w:pPr>
        <w:spacing w:after="0" w:line="20" w:lineRule="exact"/>
        <w:rPr>
          <w:sz w:val="20"/>
          <w:szCs w:val="20"/>
          <w:color w:val="auto"/>
        </w:rPr>
      </w:pPr>
      <w:r>
        <w:rPr>
          <w:sz w:val="20"/>
          <w:szCs w:val="20"/>
          <w:color w:val="auto"/>
        </w:rPr>
        <w:br w:type="column"/>
      </w:r>
    </w:p>
    <w:p>
      <w:pPr>
        <w:ind w:right="400"/>
        <w:spacing w:after="0" w:line="268" w:lineRule="auto"/>
        <w:rPr>
          <w:sz w:val="20"/>
          <w:szCs w:val="20"/>
          <w:color w:val="auto"/>
        </w:rPr>
      </w:pPr>
      <w:r>
        <w:rPr>
          <w:rFonts w:ascii="Arial" w:cs="Arial" w:eastAsia="Arial" w:hAnsi="Arial"/>
          <w:sz w:val="18"/>
          <w:szCs w:val="18"/>
          <w:color w:val="auto"/>
        </w:rPr>
        <w:t>The notes will be subject to redemption requirements imposed by gaming laws and regulations of gaming authorities in Nevada or other jurisdictions.</w:t>
      </w:r>
    </w:p>
    <w:p>
      <w:pPr>
        <w:spacing w:after="0" w:line="132"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Change of Control Offer</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If a change of control occurs, we must offer to repurchase the notes at 101% of their principal amount, plus accrued and unpaid interest.</w:t>
      </w:r>
    </w:p>
    <w:p>
      <w:pPr>
        <w:spacing w:after="0" w:line="132"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color w:val="auto"/>
        </w:rPr>
        <w:t>Asset Sales and Events of Loss</w:t>
      </w:r>
    </w:p>
    <w:p>
      <w:pPr>
        <w:spacing w:after="0" w:line="20" w:lineRule="exact"/>
        <w:rPr>
          <w:sz w:val="20"/>
          <w:szCs w:val="20"/>
          <w:color w:val="auto"/>
        </w:rPr>
      </w:pPr>
      <w:r>
        <w:rPr>
          <w:sz w:val="20"/>
          <w:szCs w:val="20"/>
          <w:color w:val="auto"/>
        </w:rPr>
        <w:br w:type="column"/>
      </w:r>
    </w:p>
    <w:p>
      <w:pPr>
        <w:ind w:right="80"/>
        <w:spacing w:after="0" w:line="298" w:lineRule="auto"/>
        <w:rPr>
          <w:sz w:val="20"/>
          <w:szCs w:val="20"/>
          <w:color w:val="auto"/>
        </w:rPr>
      </w:pPr>
      <w:r>
        <w:rPr>
          <w:rFonts w:ascii="Arial" w:cs="Arial" w:eastAsia="Arial" w:hAnsi="Arial"/>
          <w:sz w:val="16"/>
          <w:szCs w:val="16"/>
          <w:color w:val="auto"/>
        </w:rPr>
        <w:t>If we or any of our restricted subsidiaries sell certain assets or experience certain events of loss, we must either reinvest the proceeds of such sale in Wynn Las Vegas or Encore, or offer to repurchase the notes and repay indebtedness under our new credit facilities on a pro rata basis, subject to certain exceptions, with any proceeds not reinvested in our business.</w:t>
      </w:r>
    </w:p>
    <w:p>
      <w:pPr>
        <w:spacing w:after="0" w:line="113"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Certain Indenture Provisions</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The indenture governing the notes contains covenants restricting our and our restricted subsidiaries’ ability to:</w:t>
      </w:r>
    </w:p>
    <w:p>
      <w:pPr>
        <w:spacing w:after="0" w:line="51"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 dividends or distributions or repurchase equity;</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incur additional debt;</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make investments;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create liens on assets to secure debt;</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enter into transactions with affiliates;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issue stock of, or member’s interests in, subsidiaries;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enter into sale-leaseback transactions;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engage in other businesses;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merge or consolidate with another company;</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transfer and sell assets;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issue disqualified stock;</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create dividend and other payment restrictions affecting subsidiaries; and</w:t>
      </w:r>
    </w:p>
    <w:p>
      <w:pPr>
        <w:spacing w:after="0" w:line="138"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designate restricted and unrestricted subsidiaries.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Disbursement Agreement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have entered into a disbursement agreement with the agent for the lenders under our new credit facilities, a disbursement agent and the trustee under the indenture governing the notes. Upon consummation of the offering of the old notes, the net proceeds of the offering (after expenses and payments in connection with certain refinancing transactions) were deposited into a notes proceeds account to be disbursed pursuant to the disbursement agreement. The disbursement agreement establishes the conditions and sequence for, among other things, (i) disbursements of funds from the notes proceeds account, (ii) borrowings under our new credit facilities to pay construction costs of Wynn Las Vegas and development and construction costs for Encore and (iii) disbursement of funds from an account holding certain other cash proceeds available to us, including equity contributions and certain operating cash flows.</w:t>
      </w:r>
    </w:p>
    <w:p>
      <w:pPr>
        <w:spacing w:after="0" w:line="12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160"/>
        <w:spacing w:after="0" w:line="335" w:lineRule="auto"/>
        <w:rPr>
          <w:sz w:val="20"/>
          <w:szCs w:val="20"/>
          <w:color w:val="auto"/>
        </w:rPr>
      </w:pPr>
      <w:r>
        <w:rPr>
          <w:rFonts w:ascii="Arial" w:cs="Arial" w:eastAsia="Arial" w:hAnsi="Arial"/>
          <w:sz w:val="15"/>
          <w:szCs w:val="15"/>
          <w:color w:val="auto"/>
        </w:rPr>
        <w:t>Under the disbursement agreement, until the amounts on deposit in the notes proceeds account have been exhausted, the proceeds of the notes will be used to fund two-thirds of each disbursement, while the proceeds of our new credit facilities will be used to fund one-third of each disbursement.</w:t>
      </w:r>
    </w:p>
    <w:p>
      <w:pPr>
        <w:spacing w:after="0" w:line="88" w:lineRule="exact"/>
        <w:rPr>
          <w:sz w:val="20"/>
          <w:szCs w:val="20"/>
          <w:color w:val="auto"/>
        </w:rPr>
      </w:pPr>
    </w:p>
    <w:p>
      <w:pPr>
        <w:ind w:left="4120"/>
        <w:spacing w:after="0" w:line="307" w:lineRule="auto"/>
        <w:rPr>
          <w:sz w:val="20"/>
          <w:szCs w:val="20"/>
          <w:color w:val="auto"/>
        </w:rPr>
      </w:pPr>
      <w:r>
        <w:rPr>
          <w:rFonts w:ascii="Arial" w:cs="Arial" w:eastAsia="Arial" w:hAnsi="Arial"/>
          <w:sz w:val="15"/>
          <w:szCs w:val="15"/>
          <w:color w:val="auto"/>
        </w:rPr>
        <w:t>The disbursement agreement provides that, at all times, the agent for the lenders under our new credit facilities, acting under the credit agreement, is entitled to waive any conditions precedent to the disbursement of funds under the disbursement agreement, including disbursements from the notes proceeds account, without the consent of the trustee or holders of the notes. The trustee (acting under the indenture) is entitled to waive the conditions precedent to advances from the notes proceeds account without the disbursement agent’s consent or the lenders’ consent under the new credit facilities. Furthermore, the disbursement agreement provides that the agent, acting under the credit agreement, and without the consent of the trustee or the holders of the notes, is entitled to waive events of default by or with respect to us under the disbursement agreement or to amend the disbursement agreement, other than the provisions providing for the funding ratio between the notes proceeds account and our existing credit facilities (which requires the consent of both the agent and the trustee to amend).</w:t>
      </w:r>
    </w:p>
    <w:p>
      <w:pPr>
        <w:spacing w:after="0" w:line="112" w:lineRule="exact"/>
        <w:rPr>
          <w:sz w:val="20"/>
          <w:szCs w:val="20"/>
          <w:color w:val="auto"/>
        </w:rPr>
      </w:pPr>
    </w:p>
    <w:p>
      <w:pPr>
        <w:ind w:left="4120" w:right="20"/>
        <w:spacing w:after="0" w:line="289" w:lineRule="auto"/>
        <w:rPr>
          <w:sz w:val="20"/>
          <w:szCs w:val="20"/>
          <w:color w:val="auto"/>
        </w:rPr>
      </w:pPr>
      <w:r>
        <w:rPr>
          <w:rFonts w:ascii="Arial" w:cs="Arial" w:eastAsia="Arial" w:hAnsi="Arial"/>
          <w:sz w:val="16"/>
          <w:szCs w:val="16"/>
          <w:color w:val="auto"/>
        </w:rPr>
        <w:t>Until such time as the Encore Budget, Plans and Specifications have been submitted by us and approved by a majority of the arrangers or a majority of the lenders under the our new credit facilities (in consultation with Inspection &amp; Valuation International, Inc., or “IVI”) pursuant to the terms of the disbursement agreement, the disbursement agreement permits disbursements of up to $100.0 million to pay for costs for Encore pursuant to abbreviated disbursement procedures set forth in the disbursement agreement (of which a maximum of $66.7 million may be disbursed from the notes proceeds account). If the Encore Budget, Plans and Specifications are approved, any funds remaining in the notes proceeds account 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700"/>
        <w:spacing w:after="0" w:line="268" w:lineRule="auto"/>
        <w:rPr>
          <w:sz w:val="20"/>
          <w:szCs w:val="20"/>
          <w:color w:val="auto"/>
        </w:rPr>
      </w:pPr>
      <w:r>
        <w:rPr>
          <w:rFonts w:ascii="Arial" w:cs="Arial" w:eastAsia="Arial" w:hAnsi="Arial"/>
          <w:sz w:val="18"/>
          <w:szCs w:val="18"/>
          <w:color w:val="auto"/>
        </w:rPr>
        <w:t>available to be disbursed pursuant to the disbursement agreement to fund development and construction costs for Encore.</w:t>
      </w:r>
    </w:p>
    <w:p>
      <w:pPr>
        <w:spacing w:after="0" w:line="132" w:lineRule="exact"/>
        <w:rPr>
          <w:sz w:val="20"/>
          <w:szCs w:val="20"/>
          <w:color w:val="auto"/>
        </w:rPr>
      </w:pPr>
    </w:p>
    <w:p>
      <w:pPr>
        <w:ind w:left="4120" w:right="60"/>
        <w:spacing w:after="0" w:line="291" w:lineRule="auto"/>
        <w:rPr>
          <w:sz w:val="20"/>
          <w:szCs w:val="20"/>
          <w:color w:val="auto"/>
        </w:rPr>
      </w:pPr>
      <w:r>
        <w:rPr>
          <w:rFonts w:ascii="Arial" w:cs="Arial" w:eastAsia="Arial" w:hAnsi="Arial"/>
          <w:sz w:val="16"/>
          <w:szCs w:val="16"/>
          <w:color w:val="auto"/>
        </w:rPr>
        <w:t>Pursuant to our new credit facilities, if the Encore Budget, Plans and Specifications are not approved in accordance with the disbursement agreement by June 30, 2005, then the commitments thereunder will be reduced by $550.0 million and, upon final completion of Wynn Las Vegas, any remaining funds in the notes proceeds account will be released to us. In addition, if the Encore Budget, Plans and Specifications are not so approved by such date, the amount of debt which the indenture permits to be incurred under our new credit facilities will be reduced by $550.0 million.</w:t>
      </w:r>
    </w:p>
    <w:p>
      <w:pPr>
        <w:spacing w:after="0" w:line="120" w:lineRule="exact"/>
        <w:rPr>
          <w:sz w:val="20"/>
          <w:szCs w:val="20"/>
          <w:color w:val="auto"/>
        </w:rPr>
      </w:pPr>
    </w:p>
    <w:p>
      <w:pPr>
        <w:ind w:left="4120" w:right="60"/>
        <w:spacing w:after="0" w:line="290" w:lineRule="auto"/>
        <w:rPr>
          <w:sz w:val="20"/>
          <w:szCs w:val="20"/>
          <w:color w:val="auto"/>
        </w:rPr>
      </w:pPr>
      <w:r>
        <w:rPr>
          <w:rFonts w:ascii="Arial" w:cs="Arial" w:eastAsia="Arial" w:hAnsi="Arial"/>
          <w:sz w:val="16"/>
          <w:szCs w:val="16"/>
          <w:color w:val="auto"/>
        </w:rPr>
        <w:t>The disbursement agreement will terminate after final completion of Wynn Las Vegas or, if applicable, after final completion of Encore. The trustee shall cease to be a party to the disbursement agreement (and will not have any rights, obligations or remedies thereunder) upon exhaustion of the amounts on deposit in the notes proceeds account (at which time Wynn Las Vegas will be entitled to close the notes proceeds account). Upon termination of the disbursement agreement, all amounts remaining in all disbursement agreement accounts will be released to us, and the covenants contained in the disbursement agreement will cease to apply.</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Intercreditor Agreement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trustee under the indenture for the notes and the agent for the lenders under our new credit facilities have entered into an amended and restated intercreditor agreement that governs the relationship among the holders of the notes, the lenders under our new credit facilities and holders of future senior and junior indebtedness. Under the intercreditor agreement, the trustee on behalf of the holders of the notes and the agent for the lenders under our new credit facilities have appointed a collateral agent with respect to all of the collateral granted in favor of the holders of the notes and the lenders under the new credit facilities. The intercreditor agreement provides that the collateral agent holds a lien on the notes proceeds account for the sole benefit of the holders of the notes, and a lien on the bank proceeds account for the sole benefit of the lenders under the new credit facilities. Except for such proceeds accounts, the liens on the collateral that secure the notes rank pari passu with the liens on such collateral that secure the new credit facilities and any other permitted senior debt, and rank prior to the liens on such collateral that secure any other permitted junior debt.</w:t>
      </w:r>
    </w:p>
    <w:p>
      <w:pPr>
        <w:spacing w:after="0" w:line="124"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120"/>
        <w:spacing w:after="0" w:line="294" w:lineRule="auto"/>
        <w:rPr>
          <w:sz w:val="20"/>
          <w:szCs w:val="20"/>
          <w:color w:val="auto"/>
        </w:rPr>
      </w:pPr>
      <w:r>
        <w:rPr>
          <w:rFonts w:ascii="Arial" w:cs="Arial" w:eastAsia="Arial" w:hAnsi="Arial"/>
          <w:sz w:val="16"/>
          <w:szCs w:val="16"/>
          <w:color w:val="auto"/>
        </w:rPr>
        <w:t>Pursuant to the intercreditor agreement, each of the agent under our new credit facilities and, from and after the expiration of 30 days after a payment default or acceleration under the indenture governing the notes, lenders under the new credit facilities and holders of notes controlling a majority of the aggregate amount of loans and notes outstanding may instruct the collateral agent to commence the exercise of remedies against the collateral. In addition, the agent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40"/>
        <w:spacing w:after="0" w:line="287" w:lineRule="auto"/>
        <w:rPr>
          <w:sz w:val="20"/>
          <w:szCs w:val="20"/>
          <w:color w:val="auto"/>
        </w:rPr>
      </w:pPr>
      <w:r>
        <w:rPr>
          <w:rFonts w:ascii="Arial" w:cs="Arial" w:eastAsia="Arial" w:hAnsi="Arial"/>
          <w:sz w:val="16"/>
          <w:szCs w:val="16"/>
          <w:color w:val="auto"/>
        </w:rPr>
        <w:t>under the new credit facilities has the right, subject to certain limited exceptions, to direct the collateral agent to enter into amendments of, or waive defaults under, or, subject to certain conditions, release all of the collateral from, the security documents that grant liens on the collateral without obtaining the consent of the trustee or the holders of the notes. The agent under the new credit facilities also has the right, at any time when amounts outstanding under the new credit facilities equal or exceed $100.0 million, to amend the intercreditor agreement without the consent of the trustee or the holders of the notes, so long as such amendment only affects the subordination provisions in respect of any junior debt but does not affect the provisions governing the relationship between the lenders under the new credit facilities and the holders of the notes. See “Intercreditor Agreement.”</w:t>
      </w:r>
    </w:p>
    <w:p>
      <w:pPr>
        <w:sectPr>
          <w:pgSz w:w="11900" w:h="16838" w:orient="portrait"/>
          <w:cols w:equalWidth="0" w:num="1">
            <w:col w:w="11400"/>
          </w:cols>
          <w:pgMar w:left="240" w:top="459" w:right="259"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Completion Guarantee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One of our wholly owned unrestricted subsidiaries, Wynn Completion Guarantor, LLC, sometimes referred to as the Completion Guarantor, has provided a $50.0 million completion guarantee in favor of the trustee under the indenture for the notes (for the benefit of the holders of the notes) and the agent (as the representative of the lenders under our new credit facilities), supported by $50.0 million in a deposit account pledged to the lenders under the new credit facilities and the holders of the notes on a first priority basis. The completion guarantee, subject to the $50.0 million cap (as such amount may be reduced as described below), guarantees the completion in full of the construction and opening of Wynn Las Vegas and, in the event the Encore Budget, Plans and Specifications are approved as described above, Encore. In the event the Encore Budget, Plans and Specifications are approved, then upon completion of Wynn Las Vegas, no less than $30.0 million will be required to be on deposit in the completion guarantee deposit account for utilization with respect to Encore. Amounts in the completion guarantee deposit account are available to us on a gradual basis to fund construction.</w:t>
      </w:r>
    </w:p>
    <w:p>
      <w:pPr>
        <w:spacing w:after="0" w:line="124"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jc w:val="both"/>
        <w:ind w:left="4120" w:right="40"/>
        <w:spacing w:after="0" w:line="259" w:lineRule="auto"/>
        <w:rPr>
          <w:sz w:val="20"/>
          <w:szCs w:val="20"/>
          <w:color w:val="auto"/>
        </w:rPr>
      </w:pPr>
      <w:r>
        <w:rPr>
          <w:rFonts w:ascii="Arial" w:cs="Arial" w:eastAsia="Arial" w:hAnsi="Arial"/>
          <w:sz w:val="18"/>
          <w:szCs w:val="18"/>
          <w:color w:val="auto"/>
        </w:rPr>
        <w:t>Upon final completion of Wynn Las Vegas or, in the event the Encore Budget, Plans and Specifications are approved, upon final completion of Encore, any amounts remaining in this account will be released to us.</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Liquidity Reserve Account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a liquidity reserve account in an amount equal to $30.0 million, which funds are held in cash or permitted securities and are pledged to the lenders under our new credit facilities and the holders of the notes on a first priority basis. Amounts in the liquidity reserve account are available to us on a gradual basis to apply to the cost of completion of construction of Wynn Las Vegas, including cost overruns.</w:t>
      </w:r>
    </w:p>
    <w:p>
      <w:pPr>
        <w:spacing w:after="0" w:line="14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340" w:right="120"/>
        <w:spacing w:after="0" w:line="259" w:lineRule="auto"/>
        <w:rPr>
          <w:sz w:val="20"/>
          <w:szCs w:val="20"/>
          <w:color w:val="auto"/>
        </w:rPr>
      </w:pPr>
      <w:r>
        <w:rPr>
          <w:rFonts w:ascii="Arial" w:cs="Arial" w:eastAsia="Arial" w:hAnsi="Arial"/>
          <w:sz w:val="18"/>
          <w:szCs w:val="18"/>
          <w:color w:val="auto"/>
        </w:rPr>
        <w:t>Once we have met prescribed financial tests for a period of two consecutive calendar quarters after the opening of Wynn Las Vegas, but not prior to the later of December 31, 2005 and the final completion date of Wynn Las Vegas, any remaining funds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spacing w:after="0" w:line="268" w:lineRule="auto"/>
        <w:rPr>
          <w:sz w:val="20"/>
          <w:szCs w:val="20"/>
          <w:color w:val="auto"/>
        </w:rPr>
      </w:pPr>
      <w:r>
        <w:rPr>
          <w:rFonts w:ascii="Arial" w:cs="Arial" w:eastAsia="Arial" w:hAnsi="Arial"/>
          <w:sz w:val="18"/>
          <w:szCs w:val="18"/>
          <w:color w:val="auto"/>
        </w:rPr>
        <w:t>liquidity reserve account will be used to reduce the outstanding balance of our new credit facilities but without reducing the revolving credit facility commitment.</w:t>
      </w:r>
    </w:p>
    <w:p>
      <w:pPr>
        <w:sectPr>
          <w:pgSz w:w="11900" w:h="16838" w:orient="portrait"/>
          <w:cols w:equalWidth="0" w:num="1">
            <w:col w:w="11260"/>
          </w:cols>
          <w:pgMar w:left="240" w:top="459" w:right="39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Securities issued in book-entry form will be issued to Cede &amp; Co. as nominee of DTC. The notes are expected to be eligible for trading in the PORTAL market.</w:t>
      </w:r>
    </w:p>
    <w:p>
      <w:pPr>
        <w:spacing w:after="0" w:line="132" w:lineRule="exact"/>
        <w:rPr>
          <w:sz w:val="20"/>
          <w:szCs w:val="20"/>
          <w:color w:val="auto"/>
        </w:rPr>
      </w:pPr>
    </w:p>
    <w:p>
      <w:pPr>
        <w:sectPr>
          <w:pgSz w:w="11900" w:h="16838" w:orient="portrait"/>
          <w:cols w:equalWidth="0" w:num="2">
            <w:col w:w="3400" w:space="720"/>
            <w:col w:w="7140"/>
          </w:cols>
          <w:pgMar w:left="240" w:top="459" w:right="399" w:bottom="1440" w:gutter="0" w:footer="0" w:header="0"/>
          <w:type w:val="continuous"/>
        </w:sectPr>
      </w:pPr>
    </w:p>
    <w:p>
      <w:pPr>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laws of the State of New York.</w:t>
      </w:r>
    </w:p>
    <w:p>
      <w:pPr>
        <w:spacing w:after="0" w:line="205" w:lineRule="exact"/>
        <w:rPr>
          <w:sz w:val="20"/>
          <w:szCs w:val="20"/>
          <w:color w:val="auto"/>
        </w:rPr>
      </w:pPr>
    </w:p>
    <w:p>
      <w:pPr>
        <w:sectPr>
          <w:pgSz w:w="11900" w:h="16838" w:orient="portrait"/>
          <w:cols w:equalWidth="0" w:num="2">
            <w:col w:w="3400" w:space="720"/>
            <w:col w:w="7140"/>
          </w:cols>
          <w:pgMar w:left="240" w:top="459" w:right="39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You should refer to the section entitled “Risk Factors,” beginning on page 20, for a discussion of certain risks involved in investing in the notes.</w:t>
      </w:r>
    </w:p>
    <w:p>
      <w:pPr>
        <w:spacing w:after="0" w:line="132" w:lineRule="exact"/>
        <w:rPr>
          <w:sz w:val="20"/>
          <w:szCs w:val="20"/>
          <w:color w:val="auto"/>
        </w:rPr>
      </w:pPr>
    </w:p>
    <w:p>
      <w:pPr>
        <w:sectPr>
          <w:pgSz w:w="11900" w:h="16838" w:orient="portrait"/>
          <w:cols w:equalWidth="0" w:num="2">
            <w:col w:w="3400" w:space="720"/>
            <w:col w:w="7140"/>
          </w:cols>
          <w:pgMar w:left="240" w:top="459" w:right="39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60"/>
          </w:cols>
          <w:pgMar w:left="240" w:top="459" w:right="39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The following risk factors, among others, could cause our financial performance to differ significantly from the goals, plans, objectives, intentions and expectations expressed in this prospectus. If any of the following risks and uncertainties or other risks and uncertainties not currently known to us or not currently considered to be material actually occur, our business, financial condition or operating results could be harmed substantially.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conditions precedent to the funding of the remaining components of the financing for Wynn Las Vegas and Encore.</w:t>
      </w:r>
    </w:p>
    <w:p>
      <w:pPr>
        <w:spacing w:after="0" w:line="7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As of December 31, 2004, we had approximately $677.6 million in remaining net proceeds from the offering of the old notes held in a notes proceeds account, and $973.4 million of availability under our new credit facilities, which we intend to use to fund completion of construction of Wynn Las Vegas.</w:t>
      </w:r>
    </w:p>
    <w:p>
      <w:pPr>
        <w:spacing w:after="0" w:line="7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expect that the portion of the proceeds from the sale of the old notes remaining after completion of Wynn Las Vegas, together with remaining availability under our new credit facilities and cash flow from the operations of Wynn Las Vegas, will be sufficient to fund Encore project costs of up to $1.4 billion without incurring additional debt or receiving additional capital contributions from Wynn Resorts.</w:t>
      </w:r>
    </w:p>
    <w:p>
      <w:pPr>
        <w:spacing w:after="0" w:line="12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have entered into a disbursement agreement with the agent under the new credit facilities and the trustee under the indenture for the notes, which sets forth the sequence of funding and establishes conditions for the disbursement of funds for the Wynn Las Vegas and Encore projects. Our ability to borrow, from time to time, under the new credit facilities and receive advances from the notes proceeds account is subject to various conditions precedent set forth in the disbursement agreement.</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we will be able to satisfy the conditions to funding at the time drawdowns are required to make payments of our construction costs. Satisfaction of various conditions is subject to the discretion of the disbursement agent and the lenders under our new credit facilities and/or their consultants and agent and may therefore be beyond our control. Failure to satisfy the conditions to the drawdowns under the new credit facilities could impact our ability to complete Wynn Las Vegas as scheduled or to develop and construct Encore. We may not have access to alternative sources of funds necessary to develop and construct Encore on satisfactory terms or at 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development costs of Wynn Las Vegas are estimates only, and actual development costs may be higher than expected.</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expect the total development cost of Wynn Las Vegas to be approximately $2.7 billion, including the budgeted design and construction costs, cost of the land, capitalized interest, pre-opening expenses and all financing fees. Determination of the final project cost is subject to a complete accounting after the date of final completion (as defined in the contract with the general contractor), which will occur in late 2005. This amount has increased from our initial anticipated cost of $2.4 billion as a result of various enhancements to the design of Wynn Las Vegas, which we have already implemented. The required cash interest payments and commitment fees on the new credit facilities, the notes and any of our other indebtedness and obligations which will become due through the estimated commencement date of operations of Wynn Las Vegas have been included in our estimate of the total development cost.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believe that the overall budget for the development costs for Wynn Las Vegas is reasonable, these development costs are estimates and the actual development costs may be higher than expected. Although we have certain owners’ contingencies plus a $50.0 million completion guarantee and a $30.0 million liquidity reserve account to cover cost overruns, these contingencies may not be sufficient to cover the full amount of such overruns. If these contingencies are not sufficient to cover these costs, we may not have the funds required to pay the excess costs and would be dependent upon Wynn Resorts, which is not a guarantor of our debt, to contribute capital to complete the project.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b w:val="1"/>
          <w:bCs w:val="1"/>
          <w:i w:val="1"/>
          <w:iCs w:val="1"/>
          <w:color w:val="auto"/>
        </w:rPr>
        <w:t>Not all of the construction costs of Wynn Las Vegas are covered by our amended guaranteed maximum price construction contract, and we will be responsible for any cost overruns of these excluded items.</w:t>
      </w:r>
    </w:p>
    <w:p>
      <w:pPr>
        <w:spacing w:after="0" w:line="37"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We have entered into an amended guaranteed maximum price construction contract for the construction of Wynn Las Vegas with Marnell Corrao Associates, Inc. (“Marnell Corrao”), covering approximately $1.1 billion of the budgeted $1.6 billion design and construction costs for Wynn Las Vegas. The contract does not include items such as the costs to complete construction of the golf course, parking garage, and interior design costs and related furniture, fixtures and equipment. We are responsible for cost overruns with respect to the budgeted components that are not part of the amended guaranteed maximum price contract.</w:t>
      </w:r>
    </w:p>
    <w:p>
      <w:pPr>
        <w:spacing w:after="0" w:line="12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amended guaranteed maximum price under the Marnell Corrao construction contract may increase, and we would be responsible for the amount of any increase.</w:t>
      </w:r>
    </w:p>
    <w:p>
      <w:pPr>
        <w:spacing w:after="0" w:line="3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Although we have an amended $1.1 billion guaranteed maximum price construction contract with Marnell Corrao for the construction of Wynn Las Vegas, it provides that the guaranteed maximum price will be appropriately increased (as it has increased from its original amount of $901.9 million), and the deadline for the contractor’s obligation to complete construction will be appropriately adjusted, on account of, among other things:</w:t>
      </w:r>
    </w:p>
    <w:p>
      <w:pPr>
        <w:spacing w:after="0" w:line="1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18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If any of these events occurs and the guaranteed maximum price is increased, we may not be able to complete Wynn Las Vegas within the amount budgeted.</w:t>
      </w:r>
    </w:p>
    <w:p>
      <w:pPr>
        <w:spacing w:after="0" w:line="118"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The liquidated damages provision in our amended guaranteed maximum price construction contract likely will not be sufficient to protect us against exposure to actual damages we may suffer for delay in completion of the project.</w:t>
      </w:r>
    </w:p>
    <w:p>
      <w:pPr>
        <w:spacing w:after="0" w:line="3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Wynn Las Vegas amended guaranteed maximum price construction contract, the guaranteed date of substantial completion is April 28, 2005. The contract provides for liquidated damages in the amount of $300,000 per day to be imposed on Marnell Corrao, up to a maximum of 30 days, for a maximum amount of $9.0 million, if all work required by the construction contract is not substantially completed by the deadline, following a five-day grace period and subject to force majeure and other permitted extensions. If completion of the construction were delayed beyond the grace period, our actual damages would likely exceed $300,000 per day. In addition, if Marnell Corrao defaults under the Wynn Las Vegas construction contract, we may be unable to complete Wynn Las Vegas on schedule or within the amount budgeted.</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expect to enter into a guaranteed maximum price construction contract for the construction of Encore. If we are unable to do so, of if the contractor under such contract defaults in its obligations, we may be unable to complete Encore on schedule or within the amount budgeted. Failure to complete construction of either Wynn Las Vegas or Encore on schedule may have a significant negative impact on our operations, financial condition and our ability to satisfy our obligations under the notes.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The financial resources of our contractor may be insufficient to fund cost overruns or liquidated damages for which it is responsible under the amended guaranteed maximum price contract.</w:t>
      </w:r>
    </w:p>
    <w:p>
      <w:pPr>
        <w:spacing w:after="0" w:line="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terms of the amended guaranteed maximum price construction contract, Marnell Corrao is, subject to specific conditions and limitations, responsible for all construction costs covered by the construction contract that exceed the approximately $1.1 billion guaranteed maximum price contained in the contract.</w:t>
      </w:r>
    </w:p>
    <w:p>
      <w:pPr>
        <w:spacing w:after="0" w:line="12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Austi, Inc. (“Austi”),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has provided a $150.0 million contractor performance and payment bond.</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 or if the performance and payment bond is insufficient to cover any shortfall, we may need to pay these excess costs in order to complete construction of Wynn Las Vegas.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the construction contract with Marnell Corrao for construction of Wynn Las Vegas may be unenforceable.</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Certain Nevada statutes have substantially impaired, and in some cases eliminated, an owner’s ability to withhold funds from a contractor or subcontractor, even when there may be defective work or a dispute about amounts owed. These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laws. While it appears that some of these laws can be waived, others expressly prohibit waiver. The effect of these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1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Availability under our new credit facilities will be reduced by $550.0 million if the Encore Budget, Plans and Specifications are not approved by June 30, 2005.</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new credit facilities provide that a majority of the arrangers or a majority of the lenders under the new credit facilities must approve the Encore Budget, Plans and Specifications on or before June 30, 2005. If the Encore Budget, Plans and Specifications are not approved by such date, availability under the new credit facilities is reduced by $550.0 million.</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Once we have finalized the scope and plans for Encore, we will seek necessary consents and approvals from our lenders and noteholders, which are expected to include an extension of time for approval of the Encore Budget, Plans and Specifications. We cannot assure you that the Encore Budget, Plans and Specifications will be satisfactory to the arrangers or lenders under our new credit facilities, or that we will be able to amend the credit agreement and the indenture governing the notes to accommodate the increased scope and any necessary changes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the dates for delivery of the Encore Budget, Plans and Specifications or the dates for commencement and completion of construction. Such decisions are subject to lender and noteholder discretion and are beyond our control. If we do not have this availability under our new credit facilities or are unable to obtain the required consents, we may not have access to alternative sources of funds necessary to develop and construct Encore on satisfactory terms or at all.</w:t>
      </w:r>
    </w:p>
    <w:p>
      <w:pPr>
        <w:spacing w:after="0" w:line="93" w:lineRule="exact"/>
        <w:rPr>
          <w:sz w:val="20"/>
          <w:szCs w:val="20"/>
          <w:color w:val="auto"/>
        </w:rPr>
      </w:pPr>
    </w:p>
    <w:p>
      <w:pPr>
        <w:ind w:right="100"/>
        <w:spacing w:after="0" w:line="347" w:lineRule="auto"/>
        <w:rPr>
          <w:sz w:val="20"/>
          <w:szCs w:val="20"/>
          <w:color w:val="auto"/>
        </w:rPr>
      </w:pPr>
      <w:r>
        <w:rPr>
          <w:rFonts w:ascii="Arial" w:cs="Arial" w:eastAsia="Arial" w:hAnsi="Arial"/>
          <w:sz w:val="15"/>
          <w:szCs w:val="15"/>
          <w:b w:val="1"/>
          <w:bCs w:val="1"/>
          <w:i w:val="1"/>
          <w:iCs w:val="1"/>
          <w:color w:val="auto"/>
        </w:rPr>
        <w:t>We intend to fund a substantial portion of the development costs of Encore, and our substantial debt service and other obligations (including the notes), with anticipated cash flows generated at Wynn Las Vegas, which may not be sufficient to fund such development costs and debt service obligations.</w:t>
      </w:r>
    </w:p>
    <w:p>
      <w:pPr>
        <w:spacing w:after="0" w:line="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Before the opening of Wynn Las Vegas on April 28, 2005, we will have no material operations. Consequently, we will be dependent on the proceeds of our existing cash on hand, proceeds from the sale of the old notes and borrowings under our new credit facilities to meet all of our construction, debt service and other obligations.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Wynn Las Vegas opens, our ability to fund a substantial portion of the development costs of Encore, and to make interest payments under the new credit facilities, the notes and any other indebtedness, will depend on our ability to generate sufficient cash flow from operations. We cannot assure you that Wynn Las Vegas will begin operations by the scheduled opening date, or that it will be able to generate sufficient cash flow to fund such development costs and make the interest payments under the new credit facilities, the notes and any other indebtedness. Our ability to generate cash flow will depend upon many factors, including:</w:t>
      </w:r>
    </w:p>
    <w:p>
      <w:pPr>
        <w:spacing w:after="0" w:line="48"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hotel/casino industry in particular;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8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Some of these factors are beyond our control. Any inability to generate sufficient cash flows to fund the development of Encore or meet our debt service obligations would have a material adverse effect on our operating results and financial condition. In addition, the financing documents for the Wynn Macau project contain restrictions on the distribution to Wynn Resorts of any cash flow generated by the Wynn Macau casino. Thus, any cash flow generated by Wynn Macau may not be available to fund development costs of Encore or service our debt.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1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a substantial amount of consolidated debt in relation to our equity. We anticipate that we will have total outstanding debt of approximately $1.8 billion by the time Wynn Las Vegas is completed and we begin receiving operating revenues. If the Encore Budget, Plans and Specifications are approved in accordance with the disbursement agreement, we will be able to incur up to an additional $550.0 million of debt under our new credit facilities to fund the construction of Encore. In addition to the $550.0 million, which may be available under the new credit facilities for Encore, the credit agreement will permit us to incur additional indebtedness in connection with potential expansion plans under certain circumstances in the future. Our substantial indebtedness could have important consequences. For example:</w:t>
      </w:r>
    </w:p>
    <w:p>
      <w:pPr>
        <w:spacing w:after="0" w:line="5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could make it more difficult to satisfy our obligations with respect to our indebtedness;</w:t>
      </w:r>
    </w:p>
    <w:p>
      <w:pPr>
        <w:spacing w:after="0" w:line="103"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do not complete construction of Wynn Las Vegas by the scheduled completion dates, which may be extended in certain circumstances, but not beyond dates specified in the contracts, or if we fail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332" w:lineRule="auto"/>
        <w:rPr>
          <w:sz w:val="20"/>
          <w:szCs w:val="20"/>
          <w:color w:val="auto"/>
        </w:rPr>
      </w:pPr>
      <w:r>
        <w:rPr>
          <w:rFonts w:ascii="Arial" w:cs="Arial" w:eastAsia="Arial" w:hAnsi="Arial"/>
          <w:sz w:val="16"/>
          <w:szCs w:val="16"/>
          <w:color w:val="auto"/>
        </w:rPr>
        <w:t>meet our payment obligations or otherwise default under the agreements governing our indebtedness, the lenders under those agreements will have the right to accelerate the indebtedness and exercise other rights and remedies against us. These rights and remedies include the rights to:</w:t>
      </w:r>
    </w:p>
    <w:p>
      <w:pPr>
        <w:spacing w:after="0" w:line="4" w:lineRule="exact"/>
        <w:rPr>
          <w:sz w:val="20"/>
          <w:szCs w:val="20"/>
          <w:color w:val="auto"/>
        </w:rPr>
      </w:pPr>
    </w:p>
    <w:p>
      <w:pPr>
        <w:ind w:left="1360" w:hanging="555"/>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initiate judicial foreclosure against us,</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 and</w:t>
      </w:r>
    </w:p>
    <w:p>
      <w:pPr>
        <w:spacing w:after="0" w:line="103" w:lineRule="exact"/>
        <w:rPr>
          <w:rFonts w:ascii="Arial" w:cs="Arial" w:eastAsia="Arial" w:hAnsi="Arial"/>
          <w:sz w:val="18"/>
          <w:szCs w:val="18"/>
          <w:color w:val="auto"/>
        </w:rPr>
      </w:pPr>
    </w:p>
    <w:p>
      <w:pPr>
        <w:ind w:left="1360" w:right="540" w:hanging="555"/>
        <w:spacing w:after="0" w:line="325" w:lineRule="auto"/>
        <w:tabs>
          <w:tab w:leader="none" w:pos="13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if we are insolvent, initiate involuntary bankruptcy proceedings against us, in each case, subject to procedural restraints and limitations applicable to secured creditors generally and also those imposed by applicable gaming laws, rules and regulations;</w:t>
      </w:r>
    </w:p>
    <w:p>
      <w:pPr>
        <w:spacing w:after="0" w:line="1" w:lineRule="exact"/>
        <w:rPr>
          <w:rFonts w:ascii="Arial" w:cs="Arial" w:eastAsia="Arial" w:hAnsi="Arial"/>
          <w:sz w:val="16"/>
          <w:szCs w:val="16"/>
          <w:color w:val="auto"/>
        </w:rPr>
      </w:pPr>
    </w:p>
    <w:p>
      <w:pPr>
        <w:ind w:left="900" w:right="24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once Wynn Las Vegas is operating, we will be required to use a substantial portion of our cash flow from operations to service and amortize our indebtedness and to pay development costs of Encore, which will reduce the available cash flow to fund working capital, capital expenditures and other general corporate purposes;</w:t>
      </w:r>
    </w:p>
    <w:p>
      <w:pPr>
        <w:spacing w:after="0" w:line="45"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900" w:right="480" w:hanging="446"/>
        <w:spacing w:after="0" w:line="325"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have a limited ability to obtain additional financing, if needed, to fund development and construction costs of Encore, working capital requirements, capital expenditures, debt service, general corporate or other obligations, including our obligations with respect to the notes;</w:t>
      </w:r>
    </w:p>
    <w:p>
      <w:pPr>
        <w:spacing w:after="0" w:line="1"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the new credit facilities, a portion of the interest rates we pay will fluctuate with market rates and, accordingly, our interest expense will increase if market interest rates increase;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substantial indebtedness will increase our vulnerability to general adverse economic and industry conditions;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1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Under the terms of the documents governing our debt facilities, we will be permitted to incur additional indebtedness, including secured senior and subordinated indebtedness. If we incur additional indebtedness, the risks described above will be exacerbated.</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The agreements governing our debt facilities contain covenants that restrict our ability to engage in certain transactions and may impair our ability to respond to changing business and economic conditions.</w:t>
      </w:r>
    </w:p>
    <w:p>
      <w:pPr>
        <w:spacing w:after="0" w:line="3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agreements governing our debt facilities contain covenants that restrict our ability to engage in certain transactions and may impair our ability to respond to changing business and economic conditions. The debt facilities impose operating and financial restrictions on us and our restricted subsidiaries, including, among other things, limitations on the ability to:</w:t>
      </w:r>
    </w:p>
    <w:p>
      <w:pPr>
        <w:spacing w:after="0" w:line="4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debt facilities require us to satisfy various financial covenants, which include minimum interest coverage and total debt to earnings before interest, tax, depreciation and amortization. Future indebtedness or other contracts could contain financial or other covenants more restrictive than those applicable to the existing debt facilities.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ability to comply with these provisions may be affected by general economic conditions, industry conditions, other events beyond our control. As a result, we cannot assure you that we will be able to comply with these covenants. Our failure to comply with the covenants contained in the debt facilities, including failure as a result of events beyond our control, could result in an event of default, which could materially and adversely affect our operating results and our financial condition.</w:t>
      </w:r>
    </w:p>
    <w:p>
      <w:pPr>
        <w:spacing w:after="0" w:line="13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operating history.</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were formed principally to develop and operate Wynn Las Vegas and will not have revenue or earnings until Wynn Las Vegas opens on April 28, 2005. Wynn Las Vegas is a new development with no history of operations. Encore is not expected to open until the first half of 2008. We cannot assure you that we will be able to attract a sufficient number of hotel guests, gaming customers and other visitors to either Wynn Las Vegas or Encore to make our operations profitable.</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9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There are significant risks associated with major construction projects that may prevent completion of Wynn Las Vegas and/or Encore on schedule and within budget.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Wynn Las Vegas and Encore entail significant risks, including:</w:t>
      </w:r>
    </w:p>
    <w:p>
      <w:pPr>
        <w:spacing w:after="0" w:line="7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85"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Wynn Las Vegas and/or Encore.</w:t>
      </w:r>
    </w:p>
    <w:p>
      <w:pPr>
        <w:spacing w:after="0" w:line="127"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We anticipate that only some of the subcontractors engaged for these projects will post bonds guaranteeing timely completion of a subcontractor’s work and payment for all of that subcontractor’s labor and materials. We cannot assure you that these bonds will be adequate to ensure completion of the work.</w:t>
      </w:r>
    </w:p>
    <w:p>
      <w:pPr>
        <w:spacing w:after="0" w:line="4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not yet hired a general contractor or any trade contractors with respect to the construction of Encore. We cannot assure you that we will agree with general or trade contractors on financial and other terms that will meet our forecasted cost budget and schedule.</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cannot assure you that Wynn Las Vegas and/or Encore will commence operations on schedule or that construction costs for these projects will not exceed budgeted amounts. Failure to complete any of these projects on schedule or within budget may have a significant negative effect on us and on our ability to make payments on our debt.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On August 6, 2004, Wynn Resorts extended the term of Mr. Wynn’s employment agreement until October 2017. However, we cannot assure you that Mr. Wynn will remain with Wynn Resorts. If Wynn Resorts loses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notes and would constitute an event of default under our new credit facilities.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casino, hotel, convention and other facilities at Wynn Las Vegas will face intense competition.</w:t>
      </w:r>
    </w:p>
    <w:p>
      <w:pPr>
        <w:spacing w:after="0" w:line="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casino/hotel industry is highly competitive. Resorts located on or near the Las Vegas Strip compete with other Las Vegas Strip hotels and with other hotel casinos in Las Vegas on the basis of overall atmosphere, range of amenities, level of service, price, location, entertainment, theme and size. Wynn Las Vegas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8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According to the Las Vegas Convention and Visitors Authority, there were approximately 131,503 hotel rooms in Las Vegas as of December 2004. Competitors of Wynn Las Vegas will include resorts on the Las Vegas Strip, among which are Bally’s Las Vegas, the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In June 2003, the Venetian completed and opened an expansion consisting of a 1,013-room hotel tower and approximately 150,000 square feet of additional meeting and conference space. In addition, in December 2003, Mandalay Bay Resort &amp; Casino opened a 1,117-room, all-suite tower connected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pre-existing hotel casino resort and a new convention, meeting and retail complex. The Forum Shops at Caesars Palace also completed a 175,000 square foot expansion project in October 2004. Also, in December 2004, MGM Mirage opened an approximately 925-room “spa tower” addition to the Bellagio, as well as an expansion of the Bellagio’s spa and salon, meeting space and retail space. Furthermore, Caesars Palace has begun construction of a 949-room tower addition, which is expected to open in the second half of 2005, and the Venetian Resort and Casino’s expansion named “Palazzo” will open on the Las Vegas Strip adjacent to the existing property in the first quarter of 2007. It is also anticipated that the New Frontier and the Stardust, located on the Las Vegas Strip just north of Wynn Las Vegas, may be replaced by newer properties which would, if constructed, provide additional competition.</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cannot assure you that the Las Vegas market will continue to grow or that hotel casino resorts will continue to be popular. A decline or leveling off of the growth or popularity of hotel casino resorts or the appeal of the features offered by Wynn Las Vegas would impair our financial condition and future results of operations.</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Wynn Las Vegas will be different from many other Las Vegas resorts in that it will not focus on a highly themed experience. Instead, Wynn Las Vegas will offer an environment having a sophisticated, casually elegant ambience. Wynn Las Vegas’ environment may not appeal to customers. In addition, customer preferences and trends can change, often without warning, and we may not be able to predict or respond to changes in customer preferences in time to adapt Wynn Las Vegas and the attractions and amenities it offers to address new trends.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Philadelphia,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09"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Wynn Las Vegas will also compete, to some extent, with other forms of gaming on both a local and national level, including state-sponsored lotteries, on-and off-track pari-mutuel wagering and card parlors. The expansion of legalized gaming to new jurisdictions throughout the United States will also increase the competition we face and will continue to do so in the future.</w:t>
      </w:r>
    </w:p>
    <w:p>
      <w:pPr>
        <w:spacing w:after="0" w:line="12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Because we will be entirely dependent upon one property for all of our cash flow for some time, we will be subject to greater risks than a gaming company with more operating properties.</w:t>
      </w:r>
    </w:p>
    <w:p>
      <w:pPr>
        <w:spacing w:after="0" w:line="3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do not expect to have material assets or operations other than Wynn Las Vegas until the opening of Encore anticipated in the first half of 2008. As a result, we will be entirely dependent upon Wynn Las Vegas for all of our cash flow for some time.</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Given that our operations initially will only focus on one property in Las Vegas, we will be subject to a greater degree of risk than a gaming company with more operating properties. The risks to which we will have a greater degree of exposure include the following:</w:t>
      </w:r>
    </w:p>
    <w:p>
      <w:pPr>
        <w:spacing w:after="0" w:line="3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103"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the cost of electric power for Wynn Las Vegas as a result of, among other things, power shortages in California or other western states with which Nevada shares a single regional power grid;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w:t>
      </w:r>
    </w:p>
    <w:p>
      <w:pPr>
        <w:spacing w:after="0" w:line="1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on the notes or borrowings under our new credit facilities.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Terrorism and the uncertainty of military conflicts, as well as other factors affecting discretionary consumer spending, may harm our operating results.</w:t>
      </w:r>
    </w:p>
    <w:p>
      <w:pPr>
        <w:spacing w:after="0" w:line="11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Wynn Las Vegas will offer. Changes in consumer preferences or discretionary consumer spending could harm our business. The terrorist attacks of September 11, 2001, other terrorist activities in the United States and elsewhere, military conflicts in Iraq and in the Middle East and past outbreaks of SARS have had negative impacts on travel and leisure expenditures, including lodging, gaming and tourism. We cannot predict the extent to which similar events and conditions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customers, particularly international customers, factors resulting in a decreased propensity to travel internationally could have a negative impact on our operations.</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terrorist activities, military conflicts, the outbreak of infectious diseases or the impact of a natural disaster such as a tsunami or typhoon, other factors affecting discretionary consumer spending, including general economic conditions, disposable consumer income, fears of recession and reduced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Wynn Las Vegas could suffer, and our insurance costs may increase.</w:t>
      </w:r>
    </w:p>
    <w:p>
      <w:pPr>
        <w:spacing w:after="0" w:line="100"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Wynn Las Vegas for up to $500.0 million of losses that could result from these acts. However, these types of acts could expose us to losses that exceed our coverage and could have a significant negative impact on our operations.</w:t>
      </w:r>
    </w:p>
    <w:p>
      <w:pPr>
        <w:spacing w:after="0" w:line="7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insurance premiums have increased on available coverage,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intend to carry business interruption insurance when we are operational,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0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Wynn Las Vegas is subject to extensive state and local regulation, and licensing and gaming authorities have significant control over our operations, which could have a negative effect on our business.</w:t>
      </w:r>
    </w:p>
    <w:p>
      <w:pPr>
        <w:spacing w:after="0" w:line="3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operation of Wynn Las Vegas will be contingent upon maintenance of all regulatory licenses, permits, approvals, registrations, findings of suitability, orders and authorizations. The laws, regulations and ordinances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operate a facility is extensive. Failure to maintain the necessary approvals could significantly impair our financial position and results of operations.</w:t>
      </w:r>
    </w:p>
    <w:p>
      <w:pPr>
        <w:spacing w:after="0" w:line="9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Nevada Gaming Commission may, in its discretion, require the holder of any securities we and Wynn Resorts issue to file applications, be investigated and be found suitable if it has reason to believe that the security ownership would be inconsistent with the declared policies of the State of Nevada.</w:t>
      </w:r>
    </w:p>
    <w:p>
      <w:pPr>
        <w:spacing w:after="0" w:line="7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business will rely on high-end, international customers to whom we may extend credit, and we may not be able to collect gaming receivables from our credit players.</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expect that a significant portion of our table game revenue at Wynn Las Vegas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by and revenue generated from these customers.</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conduct our gaming activities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such an extension.</w:t>
      </w:r>
    </w:p>
    <w:p>
      <w:pPr>
        <w:spacing w:after="0" w:line="127"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3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have incurred costs and expended funds to comply with environmental requirements, such as those relating to discharges to air, water and land, the handling and disposal of solid and hazardous waste and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cleanup of properties affected by hazardous substances. Under these and other environmental requirements we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9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3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believe that we have remediated all material environmental risks of which we are currently aware. In connection with the demolition of the existing buildings situated on the 20-acre parcel where we intend to construct Encore, we discovered a small amount of asbestos which we incurred costs to dispose of appropriately. We may be required to incur costs to remediate other potential environmental hazards or to mitigate environmental risks in the future.</w:t>
      </w:r>
    </w:p>
    <w:p>
      <w:pPr>
        <w:spacing w:after="0" w:line="9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service marks, our business or results of operations could be harmed.</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Holdings has filed applications with the United States Patent and Trademark Office (“PTO”), to register a variety of WYNN-related trademarks and service marks in connection with a variety of goods and services. These marks include “WYNN LAS VEGAS.” Some of the applications are based upon ongoing use and others are based upon a bona fide intent to use the marks in the future.</w:t>
      </w:r>
    </w:p>
    <w:p>
      <w:pPr>
        <w:spacing w:after="0" w:line="127"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is not registrable unless the surname has acquired “secondary meaning.” To date, Holdings has been successful in demonstrating to the PTO such secondary meaning for the Wynn name, in certain of the applications, based upon Mr. Wynn’s prominence as a resort developer, but we cannot assure you that it will be successful with the other pending applications.</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0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need to train a substantial number of new employees before our casino resorts open and the Wynn Las Vegas employees may seek unionization.</w:t>
      </w:r>
    </w:p>
    <w:p>
      <w:pPr>
        <w:spacing w:after="0" w:line="111" w:lineRule="exact"/>
        <w:rPr>
          <w:sz w:val="20"/>
          <w:szCs w:val="20"/>
          <w:color w:val="auto"/>
        </w:rPr>
      </w:pPr>
    </w:p>
    <w:p>
      <w:pPr>
        <w:ind w:right="1080" w:firstLine="456"/>
        <w:spacing w:after="0" w:line="268" w:lineRule="auto"/>
        <w:rPr>
          <w:sz w:val="20"/>
          <w:szCs w:val="20"/>
          <w:color w:val="auto"/>
        </w:rPr>
      </w:pPr>
      <w:r>
        <w:rPr>
          <w:rFonts w:ascii="Arial" w:cs="Arial" w:eastAsia="Arial" w:hAnsi="Arial"/>
          <w:sz w:val="18"/>
          <w:szCs w:val="18"/>
          <w:color w:val="auto"/>
        </w:rPr>
        <w:t>We will need to train a substantial number of new employees before our casino resorts open and the employees in Las Vegas may seek union representation. We cannot be certain that we will be able to recruit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sufficient number of qualified employees for either of our resorts. In addition, unions may seek to organize the workers at Wynn Las Vegas. Unionization, pressure to unionize or other forms of collective bargaining could increase our labor costs.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general economic conditions may adversely affect our results of operations.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Wynn Resorts’ officers, directors and substantial stockholders are able to exert significant control over our future direction.</w:t>
      </w:r>
    </w:p>
    <w:p>
      <w:pPr>
        <w:spacing w:after="0" w:line="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Our ultimate parent company is Wynn Resorts. Mr. Wynn and Aruze USA, Inc. each own approximately 25% of Wynn Resorts’ outstanding common stock. As a result, Mr. Wynn and Aruze USA, Inc., to the extent they vote their shares in a similar manner, effectively are able to control all matters requiring Wynn Resorts stockholders’ approval, including the approval of significant corporate transactions.</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Mr. Wynn and Aruze USA, Inc., together with Baron Asset Fund, have entered into a stockholders’ agreement. Under the stockholders’ agreement, Mr.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the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Simultaneous construction of Wynn Las Vegas and Wynn Macau may stretch management time and resources.</w:t>
      </w:r>
    </w:p>
    <w:p>
      <w:pPr>
        <w:spacing w:after="0" w:line="77"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Wynn Las Vegas will open on April 28, 2005, and our affiliate, Wynn Resorts (Macau), S.A. (“Wynn Macau, S.A.”), is constructing Wynn Macau in the same time period. Furthermore, development and preconstruction efforts for Encore continue. Since there is significant overlap of the development and construction of these projects, members of Wynn Resorts’ senior management are simultaneously involved in planning and developing these three projects. Constructing Wynn Macau simultaneously with finalizing the construction and opening of Wynn Las Vegas and the planned development and construction of Encore may divert corporate management resources from the construction and/or opening of any one project. Management’s inability to devote sufficient time and attention to any one project may delay the construction or opening of Wynn Las Vegas or Encore. Any delay caused by such circumstances could have a negative effect on our business and operations.</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although we intend to construct Encore with minimal impact on Wynn Las Vegas, we cannot assure you that the construction will not disrupt the operations of Wynn Las Vegas or that it will be implemented as planned. Therefore, the construction of Encore may adversely impact the business, operations and revenues of Wynn Las Vegas.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 and the Exchange Offer</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there is a default, the value of the collateral may not be sufficient to repay both the lenders under our new credit facilities and the holders of the notes.</w:t>
      </w:r>
    </w:p>
    <w:p>
      <w:pPr>
        <w:spacing w:after="0" w:line="11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the amounts outstanding under the notes and our new credit facilities. If these proceeds were not sufficient to repay amounts outstanding under the notes and our new credit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facilities, then holders of the notes, to the extent not repaid from the proceeds of the sale of the collateral, would have unsecured claims against our remaining assets, which claims would rank equally with all of our general unsecured indebtedness and obligations, including trade payables.</w:t>
      </w:r>
    </w:p>
    <w:p>
      <w:pPr>
        <w:spacing w:after="0" w:line="7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At the completion of Wynn Las Vegas, in April 2005, we expect to have approximately $400.0 million outstanding under our new credit facilities and, in June 2005, we expect to borrow an additional $122.0 million under our new credit facilities to fund a loan to Wynn Group Asia, Inc. Under the indenture governing the notes, we may be permitted to incur additional indebtedness that could be secured by first priority liens on the collateral including up to $550.0 million to fund development and construction costs for Encore and additional indebtedness in connection with potential expansion plans under certain circumstances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agent under our new credit facilities has the ability to waive defaults and conditions to disbursement of funds under the disbursement agreement.</w:t>
      </w:r>
    </w:p>
    <w:p>
      <w:pPr>
        <w:spacing w:after="0" w:line="11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disbursement agreement sets forth, among other things, our obligation to construct and complete Wynn Las Vegas and, if applicable, Encore, and contains the conditions we must satisfy in order to obtain disbursement of the proceeds of the notes and the proceeds of the new credit facilities. Under the disbursement agreement, certain rights of the agent under our new credit facilities could subject the holders of the notes to certain risks. For example, the disbursement agreement permits the agent for the lenders under the new credit facilities (acting without consent of the trustee or holders of the notes) to waive any defaults and conditions to the disbursement of funds under the disbursement agreement. The disbursement agreement further provides that the agent under the new credit facilities is fully released and indemnified from and against any losses, damages or other claims related to such waivers except in very limited circumstances. While any such waiver may facilitate completion of Wynn Las Vegas and the development and construction of Encore and thus benefit the holders of the notes, it also could result in funding additional amounts from the proceeds of the notes to the detriment of the holders of the notes. The disbursement agreement provides that, until all funds in the notes proceeds account have been exhausted, the proceeds of the notes will be used to fund two-thirds of each disbursement, while borrowings under our new credit facilities will be used to fund one-third of each disbursement. As a result, the interests of the lenders under the new credit facilities may not be aligned with those of the holders of the notes and, therefore, the lenders may be more willing to permit disbursements before the notes proceeds account is exhausted than after.</w:t>
      </w:r>
    </w:p>
    <w:p>
      <w:pPr>
        <w:spacing w:after="0" w:line="11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intercreditor agreement permits the agent under our new credit facilities to amend the terms of, and waive defaults under, the security documents and to amend certain provisions of the intercreditor agreement.</w:t>
      </w:r>
    </w:p>
    <w:p>
      <w:pPr>
        <w:spacing w:after="0" w:line="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security documents create the liens on the collateral in favor of a collateral agent for the benefit of the holders of the notes and the lenders under our new credit facilities. However, the intercreditor agreement grants the agent under the new credit facilities certain rights that may adversely affect the interests of the holders of the notes under the security documents. The intercreditor agreement permits the agent under the new credit facilities, without the consent of the holders of the notes, to direct the collateral agent to amend various terms of, and waive defaults under, the security documents. The agent under the new credit facilities is entitled to exercise this right even at a time when no amounts are outstanding under the new credit facilities. If the agent under the new credit facilities exercises such rights, the holders of the notes may not be able to enforce the terms of the security documents and exercise their rights thereunder. The intercreditor agreement releases the agent for the lenders from all liability to the extent permitted by law, except for fraud or willful misconduct.</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the agent under the new credit facilities is entitled, at any time when the amount outstanding under the new credit facilities equals or exceeds $100.0 million and without the consent of the trustee or the holders of the notes, to amend the subordination provisions that apply to any junior debt that we may incur. Any such amendment could increase, perhaps significantly, the rights of any holders of junior debt under the intercreditor agreement to the detriment of the holders of the notes. Any such amendment could also adversely affect the ability of the trustee or the holders of the notes to enforce remedies against the collateral and recover the proceeds thereof.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intercreditor agreement limits the ability of holders of the notes to control decisions regarding the collateral and to take enforcement action.</w:t>
      </w:r>
    </w:p>
    <w:p>
      <w:pPr>
        <w:spacing w:after="0" w:line="10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intercreditor agreement provides that for the first 30 days following an occurrence of a payment default under the new credit facilities or the indenture governing the notes, only the agent for the lenders under the new credit facilities has the right to instruct the collateral agent to enforce their security interests and initiate the exercise of remedies against the collateral, and the holders of the notes have no right to direct such remedies. From and after the expiration of such 30 day period, either the agent for the lenders under the new credit facilities, or the lenders under the new credit facilities and holders of notes controlling a majority of the aggregate amount of loans and notes outstanding, may instruct the collateral agent to commence the exercise of remedies against the collateral. Given that the amount of loans advanced by the lenders under the new credit facilities may, from time to time, be substantially smaller than the outstanding amount of the notes, the lenders’ interests may not be aligned with those of noteholders and the lenders may have different motives or strategies to protect their investment. As such, the lenders under the new credit facilities may choose to instruct the collateral agent to enforce their security interests or may initiate the exercise of other remedies against the collateral at a given time even though allowing us additional time to resolve any issues or take any other actions could increase the likelihood of repayment of the notes.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laws will impose additional restrictions on foreclosure.</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gaming restrictions, in any foreclosure sale of Wynn Las Vegas or the gaming equipment constituting collateral securing the notes, the purchaser or the operator of the facility and/or such gaming equipment would need to be licensed to operate the resort’s casino under the Nevada gaming laws and regulations. If the trustee acting on behalf of the holders of the notes or the lenders under our new credit facilities purchases Wynn Las Vegas at a foreclosure sale, the trustee or such lenders would not be permitted to continue gaming operations at Wynn Las Vegas unless it retained an entity licensed under the Nevada gaming laws to conduct gaming operations at the facility. The holders of the notes may have to be licensed or found suitable in any event.</w:t>
      </w:r>
    </w:p>
    <w:p>
      <w:pPr>
        <w:spacing w:after="0" w:line="10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notes upon acceleration of the notes is likely to be significantly impaired or delayed by applicable bankruptcy law if a bankruptcy case is commenced by or against us prior to a taking of possession or disposition of the collateral securing the notes by the trustee for the benefit of the holders of the notes.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notes upon a change of control.</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experience certain specific change of control events, we will be required to offer to repurchase all outstanding notes at 101% of their principal amount plus accrued and unpaid interest to the date of repurchase. We cannot assure you that we will have available funds sufficient to pay the change of control purchase price for any or all of the notes that might be delivered by holders of the notes seeking to accept the change of control offer. Moreover, under the indenture governing the notes, certain important corporate events, such as leveraged recapitalizations that would increase the level of our indebtedness, would not constitute a “change of control” and thus would not give rise to any repurchase rights. See “Description of the New Notes—Repurchase at the Option of Holders—Change of Control.”</w:t>
      </w:r>
    </w:p>
    <w:p>
      <w:pPr>
        <w:spacing w:after="0" w:line="13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addition, our new credit facilities will contain, and any future credit agreement likely will contain, restrictions or prohibitions on our ability to repurchase the notes under certain circumstances. If these change of control events occur at a time when we are prohibited from repurchasing the notes, we may seek the consent of our lenders to purchase the notes or could attempt to refinance the borrowings that contain these prohibitions or restrictions. If we do not obtain our lenders’ consent or refinance these borrowings, we will not be able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repurchase the notes. Accordingly, the holders of the notes may not receive the change of control purchase price for their notes in the event of a sale or other change of control, which will give the trustee and the holders of the notes the right to declare an event of default and accelerate the repayment of the mortgage notes. See “Description of the New Notes—Events of Default and Remedies.”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laws may significantly impair your rights to repossess and dispose of collateral securing the notes.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 bankruptcy case were to be commenced by or against us, the right of the indenture trustee to repossess and dispose of the collateral upon the occurrence of an event of default under the indenture is likely to be significantly impaired by applicable bankruptcy law and may be affected by a bankruptcy even if repossession and disposition of the collateral occurs before bankruptcy. A bankruptcy case may be commenced by us or by unsecured or unsecured creditors, which may include the holders of notes, the lenders under our new credit facilities or any other creditors, including junior creditors.</w:t>
      </w:r>
    </w:p>
    <w:p>
      <w:pPr>
        <w:spacing w:after="0" w:line="9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“automatic stay” under applicable bankruptcy law prohibits secured creditors, such as the holders of the notes and the lenders under our new credit facilities, from repossessing their security from a debtor in a bankruptcy case, or from disposing of collateral in their possession, without prior bankruptcy court approval. Moreover, applicable bankruptcy law permits the debtor to continue to retain and use the collateral even though the debtor is in default under the applicable debt instruments; provided that the secured creditor is given “adequate protection.”</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term “adequate protection” is not specifically defined by applicable bankruptcy law and its meaning may vary according to circumstances, but it is generally intended to protect the value of the secured creditor’s interest in the collateral as of the commencement of bankruptcy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court may determine. For example, the debtor could be permitted to use the funds in the notes proceeds account as cash collateral if the debtor provided adequate protection for such use by granting replacement liens on other collateral, which might not consist of liquid assets.</w:t>
      </w:r>
    </w:p>
    <w:p>
      <w:pPr>
        <w:spacing w:after="0" w:line="10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view of the lack of a precise definition of the term “adequate protection,” the broad discretionary powers of a bankruptcy court and the possible complexity of valuation issues, it is impossible to predict how long payments under the notes could be delayed following commencement of a bankruptcy case, whether or when the trustee could repossess or dispose of the collateral or whether or to what extent, through the requirement of “adequate protection,” the holders of the notes would be compensated for any delay in payment or loss of value of the collateral.</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Other factors specific to bankruptcy that might bear on the recovery by the holders of the notes in these circumstances, among others, would include:</w:t>
      </w:r>
    </w:p>
    <w:p>
      <w:pPr>
        <w:spacing w:after="0" w:line="100" w:lineRule="exact"/>
        <w:rPr>
          <w:sz w:val="20"/>
          <w:szCs w:val="20"/>
          <w:color w:val="auto"/>
        </w:rPr>
      </w:pPr>
    </w:p>
    <w:p>
      <w:pPr>
        <w:ind w:left="900" w:right="4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construction of Wynn Las Vegas;</w:t>
      </w:r>
    </w:p>
    <w:p>
      <w:pPr>
        <w:spacing w:after="0" w:line="37" w:lineRule="exact"/>
        <w:rPr>
          <w:rFonts w:ascii="Arial" w:cs="Arial" w:eastAsia="Arial" w:hAnsi="Arial"/>
          <w:sz w:val="18"/>
          <w:szCs w:val="18"/>
          <w:color w:val="auto"/>
        </w:rPr>
      </w:pPr>
    </w:p>
    <w:p>
      <w:pPr>
        <w:ind w:left="900" w:right="440" w:hanging="446"/>
        <w:spacing w:after="0" w:line="325"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lenders with higher priority liens may seek, and perhaps receive, relief from the automatic stay to foreclose their respective liens (see “—Under applicable law, certain liens securing any second mortgage notes may rank ahead in priority of the liens securing the notes”);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1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in a bankruptcy proceeding, the court would have broad discretion to approve transactions that could disadvantage the holders of the notes. For example, under certain circumstances, a court could approve our or third parties’ motions for sales of collateral on terms unfavorable to us, require you to accept subordinated or other securities in exchange for the notes, or substantive consolidation of us with Wynn Resorts in a bankruptcy in which Wynn Resorts was debtor. Regardless of the ultimate disposition of any of these or other motions or claims, we cannot assure you that during litigation of these issues our payments on the notes would be paid in full or on time.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rights under agreements serving as collateral for the notes may be rejected in bankruptcy.</w:t>
      </w:r>
    </w:p>
    <w:p>
      <w:pPr>
        <w:spacing w:after="0" w:line="77"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Among other things, contract rights under certain of our agreements serve as collateral for the notes, including rights that stem from the agreements to which we are a party, such as the Marnell Corrao construction contract. If a bankruptcy case were to be commenced by or against Marnell Corrao, it is possible that all or part of the Marnell Corrao construction contract could be rejected by that party or a trustee appointed in the bankruptcy case pursuant to Section 365 or Sections 1123 and 1129 of the United States Bankruptcy Code and thus not be specifically enforceable against the debtor. Additionally, to the extent any rejected agreement constitutes a lease of real property, the resulting claim of the lessor for damages resulting from termination may be capped pursuant to Section 502(b)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 of the bankruptcy code.</w:t>
      </w:r>
    </w:p>
    <w:p>
      <w:pPr>
        <w:spacing w:after="0" w:line="15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notes could be delayed or reduced.</w:t>
      </w:r>
    </w:p>
    <w:p>
      <w:pPr>
        <w:spacing w:after="0" w:line="3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such other affiliates becomes a debtor under the bankruptcy code. If a bankruptcy court concludes that substantive consolidation of us with any affiliated party referred to in this paragraph is warranted, the risks described above under “—Bankruptcy laws may significantly impair your rights to repossess and dispose of collateral securing the notes” and “—Contract rights under agreements serving as collateral for the notes may be rejected in bankruptcy” would apply as a result of such bankruptcy filing, whether or not we were then successfully operating Wynn Las Vegas and able to pay our obligations as they become due. If substantive consolidation is ordered, noteholders should expect payments on the notes to be delayed and/or reduced.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the notes will have no liens on certain assets.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holders of the notes will not have a lien on our gaming or liquor licenses, because under the Nevada gaming laws they may not be pledged as collateral. In addition, the notes and our new credit facilities will not be secured by any assets related to Wynn Macau (other than the note evidencing our planned $122.0 million loan to Wynn Group Asia, Inc.), and the holders of the notes will have no claim against those assets. The notes will also not be secured by, among other things, World Travel, LLC’s aircraft. Accordingly, such assets will not be available to the holders upon an exercise of remedies under the collateral documents.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 holders’ liens on all or part of the collateral will be released if certain conditions are met.</w:t>
      </w:r>
    </w:p>
    <w:p>
      <w:pPr>
        <w:spacing w:after="0" w:line="7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liens on all of the collateral will be released if the lenders under the new credit facilities release their security interest in such collateral (other than in connection with a refinancing) and (i) no default or event of default has occurred and is continuing, (ii) the completion date for Encore has occurred and (iii) the lenders under any other outstanding secured debt (other than capital lease obligations and purchase money indebtedness) have released their security interest in such collateral.</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liens on the golf course land and related water rights may be released so long as Encore is open and operating and (i) no default or event of default has occurred and is continuing immediately prior to or after giving effect to such release, (ii) the lenders under our new credit facilities concurrently release their first priority security interest in the golf course land (other than in connection with a refinancing) and (iii) both immediately prior to the release of the security interest and after giving pro forma effect to such release our and our restricted subsidiaries’ total debt does not exceed 6.5 times Consolidated EBITDA (as defined in the indenture) for the last four full fiscal quarters.</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event that the security interests on all of the collateral are released, the notes will essentially become our unsecured obligations. Once the security interests in the golf course land and the related water rights are released, the note holders will have only a first priority lien on the assets comprising the hotel and casino and the equity interests of our restricted subsidiaries.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the indenture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guarantors of the notes likely will not be able to contribute to any payments with respect to the notes.</w:t>
      </w:r>
    </w:p>
    <w:p>
      <w:pPr>
        <w:spacing w:after="0" w:line="77"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primary purpose of the guarantees is to provide first priority liens on the assets of the subsidiary guarantors, including the golf course land and water rights but excluding, among other things, our aircraft. While these assets are integral to Wynn Las Vegas, they are not expected to have operations that generate significant cash flows. As such, you should not expect any of the guarantors to contribute to any payments of principal, interest or other amounts required to be made on the notes.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Wynn Resorts will not be required to contribute to payments of principal, interest or other amounts required to be made on the notes regardless of whether it has unrestricted funds from other sources. In addition, certain subsidiaries of Wynn Resorts, including the entities involved in the development of Wynn Macau, are parties to financing or other agreements that restrict their ability to make any payments or distributions to Wynn Resorts.</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guarantees and the liens securing the guarantees and to require note holders to return payments received from us or the guarantors.</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creditors or the creditors of our guarantors could challenge the note guarantees and the liens securing those guarantees as fraudulent conveyances or on other grounds. Under the federal bankruptcy law and comparable provisions of state fraudulent transfer laws, the delivery of the guarantees and the grant of the first priority liens securing the guarantees could be avoided as fraudulent transfers if a court determined that the guarantor, at the time it incurred the indebtedness evidenced by its guarantee or granted its lien:</w:t>
      </w:r>
    </w:p>
    <w:p>
      <w:pPr>
        <w:spacing w:after="0" w:line="4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delivered the guarantee or granted the lien with the intent to hinder, delay or defraud its existing or future creditors; or</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guarantee and the incurrence of the lien, and if the guarantor:</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was insolvent or rendered insolvent at the time it delivered the guarantee or granted the lien;</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guarantor’s remaining assets constituted unreasonably small capital; or</w:t>
      </w:r>
    </w:p>
    <w:p>
      <w:pPr>
        <w:spacing w:after="0" w:line="126" w:lineRule="exact"/>
        <w:rPr>
          <w:rFonts w:ascii="Arial" w:cs="Arial" w:eastAsia="Arial" w:hAnsi="Arial"/>
          <w:sz w:val="16"/>
          <w:szCs w:val="16"/>
          <w:color w:val="auto"/>
        </w:rPr>
      </w:pPr>
    </w:p>
    <w:p>
      <w:pPr>
        <w:ind w:left="1360" w:hanging="555"/>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18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If the guarantees were avoided or limited under fraudulent transfer or other laws, any claim you may make against us for amounts payable on the notes would be unenforceable to the extent of such avoidance or limitation. If the granting of liens to secure the guarantees were avoided or limited under fraudulent transfer or other laws, the guarantees would become unsecured claims to the extent of the avoidance or limitation, ranking equally with all general unsecured claims of the guarantors.</w:t>
      </w:r>
    </w:p>
    <w:p>
      <w:pPr>
        <w:spacing w:after="0" w:line="13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3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fair saleable value of all of its assets;</w:t>
      </w:r>
    </w:p>
    <w:p>
      <w:pPr>
        <w:spacing w:after="0" w:line="103"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cannot be sure what standard a court would apply in making these determinations or, regardless of the standard, that a court would not avoid the guarantees or that any guarantee would not be subordinated to a guarantor’s other indebtedness.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additional guarantees or liens on collateral provided after the notes are issued could also be avoided as preferential transfers.</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notes indenture provides that certain future restricted subsidiaries will guarantee the notes and secure their guarantees with liens on their assets. The notes indenture also requires us to grant liens on certain assets that we and the existing guarantors acquire after the notes are issued. If any new guarantor providing new collateral for the notes is insolvent or anticipates insolvency at the time the guarantee or lien is granted, the guarantee or lien, as applicable, could be avoided as a preferential transfer. The guarantee or lien, as applicable, could also be avoided if the new guarantor commenced a bankruptcy within 90 days following the time the guarantee or lien is granted.</w:t>
      </w:r>
    </w:p>
    <w:p>
      <w:pPr>
        <w:spacing w:after="0" w:line="12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3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Unrestricted subsidiaries will generally not be subject to the covenants under the notes indenture, and their assets will not be available as security for the notes. Unrestricted subsidiaries may enter into financing arrangements that limit their ability to make loans or other payments to fund payments in respect of the notes. Accordingly, we may not be able to rely on the cash flow or assets of unrestricted subsidiaries to pay any of our indebtedness, including the notes.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collateral securing the notes includes real property and, as a result, holders of the notes may be subject to certain environmental risks.</w:t>
      </w:r>
    </w:p>
    <w:p>
      <w:pPr>
        <w:spacing w:after="0" w:line="10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referred to as CERCLA,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 .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redeem your notes due to regulatory considerations, either as required by gaming authorities or in our discretion.</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indenture will grant us the power to redeem the notes that you own or control if any gaming authority requires you, or a beneficial owner of the notes, to be licensed, qualified or found suitable under any applicable gaming law and:</w:t>
      </w:r>
    </w:p>
    <w:p>
      <w:pPr>
        <w:spacing w:after="0" w:line="37" w:lineRule="exact"/>
        <w:rPr>
          <w:sz w:val="20"/>
          <w:szCs w:val="20"/>
          <w:color w:val="auto"/>
        </w:rPr>
      </w:pPr>
    </w:p>
    <w:p>
      <w:pPr>
        <w:ind w:left="900" w:right="1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or such beneficial owner fails to apply for a license, qualification or finding of suitability within 30 days after being requested to do so (or such lesser period as required by the relevant gaming authority);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or such beneficial owner is determined by a gaming authority to be unsuitable to own or control the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25" w:lineRule="auto"/>
        <w:rPr>
          <w:sz w:val="20"/>
          <w:szCs w:val="20"/>
          <w:color w:val="auto"/>
        </w:rPr>
      </w:pPr>
      <w:r>
        <w:rPr>
          <w:rFonts w:ascii="Arial" w:cs="Arial" w:eastAsia="Arial" w:hAnsi="Arial"/>
          <w:sz w:val="16"/>
          <w:szCs w:val="16"/>
          <w:color w:val="auto"/>
        </w:rPr>
        <w:t>Under the foregoing circumstances, under the indenture, we will be able to redeem, and if required by the applicable gaming authority, we must redeem, your notes to the extent required by the gaming authority or deemed necessary or advisable by us. The redemption price will be equal to:</w:t>
      </w:r>
    </w:p>
    <w:p>
      <w:pPr>
        <w:spacing w:after="0" w:line="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103"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As a holder of the notes, you may be required to comply with registration, licensing, qualification or other requirements under gaming laws or dispose of your securities.</w:t>
      </w:r>
    </w:p>
    <w:p>
      <w:pPr>
        <w:spacing w:after="0" w:line="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notes be registered, licensed, qualified or found suitable, or comply with any other requirement under applicable gaming laws. If you purchase or otherwise accept an interest in the notes, by the terms of the indenture governing the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26" w:lineRule="exact"/>
        <w:rPr>
          <w:sz w:val="20"/>
          <w:szCs w:val="20"/>
          <w:color w:val="auto"/>
        </w:rPr>
      </w:pPr>
    </w:p>
    <w:p>
      <w:pPr>
        <w:ind w:left="900" w:right="3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you to sell your notes or beneficial interest in the notes within 30 days after you receive notice of our election, or any earlier date that the relevant gaming authority may request or prescribe; or</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redeem your notes (possibly within less than 30 days following the notice of redemption if requested or prescribed by the gaming authority) at a price equal to:</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103" w:lineRule="exact"/>
        <w:rPr>
          <w:rFonts w:ascii="Arial" w:cs="Arial" w:eastAsia="Arial" w:hAnsi="Arial"/>
          <w:sz w:val="18"/>
          <w:szCs w:val="18"/>
          <w:color w:val="auto"/>
        </w:rPr>
      </w:pPr>
    </w:p>
    <w:p>
      <w:pPr>
        <w:ind w:left="1360" w:right="180" w:hanging="555"/>
        <w:spacing w:after="0" w:line="268" w:lineRule="auto"/>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w:t>
      </w:r>
    </w:p>
    <w:p>
      <w:pPr>
        <w:spacing w:after="0" w:line="11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We will notify the indenture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notes will also provide that as soon as you are required to sell your notes as a result of a gaming authority action, you will, to the extent required by applicable gaming laws, have no further right:</w:t>
      </w:r>
    </w:p>
    <w:p>
      <w:pPr>
        <w:spacing w:after="0" w:line="4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notes; or</w:t>
      </w:r>
    </w:p>
    <w:p>
      <w:pPr>
        <w:spacing w:after="0" w:line="103"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notes, except the redemption price we refer to above.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Notes—Gaming Redemption.”</w:t>
      </w:r>
    </w:p>
    <w:p>
      <w:pPr>
        <w:spacing w:after="0" w:line="15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and, if so,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established trading market for the new notes, and you may find it difficult to sell your new notes.</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There is no existing trading market for the new notes. We do not intend to apply for listing or quotation of the new notes on any exchange. Therefore, we do not know if investor interest will lead to the development of a trading market or how liquid that market may be, if new note holders will be able to sell their new notes, the amount of new notes that will be outstanding following the exchange offer or the price at which the new notes might be sold. As a result, the market price of the new notes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who fail to exchange their old notes will continue to be subject to restrictions on transfer.</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you do not exchange your old notes for new notes in the exchange offer, you will continue to be subject to the restrictions on transfer of your old notes described in the legend on the certificates for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are offered and sold under an exemption from these requirements. We do not plan to register the old notes under the Securities Act. Furthermore, we have not conditioned the exchange offer on receipt of any minimum or maximum principal amount of old notes. As old notes are tendered and accepted in the exchange offer, the principal amount of remaining outstanding old notes will decrease. This decrease will reduce the liquidity of the trading market of the old notes, which decrease may be substantial. There may not be a trading market for the outstanding notes following the exchange offer. For further information regarding the consequences of tendering your old notes in the exchange offer, see the discussions below under the captions “The Exchange Offer—Consequences of Exchanging or Failing to Exchange Old Notes” and “Material United States Federal Income Tax Considerations.”</w:t>
      </w:r>
    </w:p>
    <w:p>
      <w:pPr>
        <w:spacing w:after="0" w:line="10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You must comply with the exchange offer procedures in order to receive new, freely tradable notes. If you fail to comply with the exchange offer procedures, your notes will continue to be subject to restrictions on transfer.</w:t>
      </w:r>
    </w:p>
    <w:p>
      <w:pPr>
        <w:spacing w:after="0" w:line="3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37" w:lineRule="exact"/>
        <w:rPr>
          <w:sz w:val="20"/>
          <w:szCs w:val="20"/>
          <w:color w:val="auto"/>
        </w:rPr>
      </w:pPr>
    </w:p>
    <w:p>
      <w:pPr>
        <w:ind w:left="900" w:right="300" w:hanging="446"/>
        <w:spacing w:after="0" w:line="325"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certificates for old notes or a book-entry confirmation of a book-entry transfer of old notes into the exchange agent’s account at DTC, New York, New York as a depository, including an agent’s message if the tendering holder does not deliver a letter of transmittal;</w:t>
      </w:r>
    </w:p>
    <w:p>
      <w:pPr>
        <w:spacing w:after="0" w:line="1"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completed and signed letter of transmittal (or facsimile thereof), with any required signature guarantees, or, in the case of a book-entry transfer, an agent’s message in lieu of the letter of transmittal;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old notes to be delivered on time or the procedure for book entry transfer to be completed prior to the expiration or termination of the exchange offer.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upon consummation of the exchange offer, certain registration and other rights under the Registration Rights Agreement will terminate. See “The Exchange Offer—Procedures for Tendering Old Notes” and “The Exchange Offer—Consequences of Exchanging or Failing to Exchange Old Notes.”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earnings were insufficient to cover our fixed charges by $1.5 million, $8.0 million, $18.8 million, $115.8 million and $327.4 million for the years ended December 31, 2000, 2001, 2002, 2003 and 2004, respectively. For purposes of computing the ratio of earnings to fixed charges, “earnings” consist of (loss) income before income taxes and fixed charges. “Fixed charges” consist of interest cost whether expensed or capitalized and amortization of debt expense.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on a consolidated basis, as of December 31, 2004.</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data should be read in conjunction with “Management’s Discussion and Analysis of Financial Condition and Results of Operations” and the consolidated financial statements and notes thereto included in this prospectus.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As of 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12% second mortgage notes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60" w:type="dxa"/>
            <w:vAlign w:val="bottom"/>
            <w:gridSpan w:val="2"/>
          </w:tcPr>
          <w:p>
            <w:pPr>
              <w:ind w:left="860"/>
              <w:spacing w:after="0"/>
              <w:rPr>
                <w:sz w:val="20"/>
                <w:szCs w:val="20"/>
                <w:color w:val="auto"/>
              </w:rPr>
            </w:pPr>
            <w:r>
              <w:rPr>
                <w:rFonts w:ascii="Arial" w:cs="Arial" w:eastAsia="Arial" w:hAnsi="Arial"/>
                <w:sz w:val="18"/>
                <w:szCs w:val="18"/>
                <w:color w:val="auto"/>
              </w:rPr>
              <w:t>Credit facilities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Due to affiliates (1)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2,754,674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6340475</wp:posOffset>
            </wp:positionH>
            <wp:positionV relativeFrom="paragraph">
              <wp:posOffset>-172720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-172720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580" w:right="40" w:hanging="572"/>
        <w:spacing w:after="0" w:line="268"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balance in due to affiliates reflects amounts of current payables and retention expected to be settled by borrowings under the existing revolving credit facility.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64"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The selected data presented below as of December 31, 2004, 2003, 2002, 2001 and 2000, and for the years ended December 31, 2004, 2003, 2002 and 2001 and the periods from inception (April 21, 2000) through December 31, 2004 and 2000 is derived from the consolidated financial statements of the Company, which have been audited by Deloitte &amp; Touche LLP, independent registered public accountants. The consolidated financial statements as of December 31, 2004 and 2003, and for the years ended December 31, 2004, 2003 and 2002 and the period from inception through December 31, 2004, and the auditors’ report thereon, are included elsewhere in this prospectus. This data should be read together with the Company’s consolidated financial statements and notes thereto, “Management’s Discussion and Analysis of Financial Condition and Results of Operations” and the other information contained in this prospectus.</w:t>
      </w:r>
    </w:p>
    <w:tbl>
      <w:tblPr>
        <w:tblLayout w:type="fixed"/>
        <w:tblInd w:w="0" w:type="dxa"/>
        <w:tblCellMar>
          <w:top w:w="0" w:type="dxa"/>
          <w:left w:w="0" w:type="dxa"/>
          <w:bottom w:w="0" w:type="dxa"/>
          <w:right w:w="0" w:type="dxa"/>
        </w:tblCellMar>
      </w:tblPr>
      <w:tr>
        <w:trPr>
          <w:trHeight w:val="139"/>
        </w:trPr>
        <w:tc>
          <w:tcPr>
            <w:tcW w:w="11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11"/>
          </w:tcPr>
          <w:p>
            <w:pPr>
              <w:ind w:left="120"/>
              <w:spacing w:after="0" w:line="139" w:lineRule="exact"/>
              <w:rPr>
                <w:sz w:val="20"/>
                <w:szCs w:val="20"/>
                <w:color w:val="auto"/>
              </w:rPr>
            </w:pPr>
            <w:r>
              <w:rPr>
                <w:rFonts w:ascii="Arial" w:cs="Arial" w:eastAsia="Arial" w:hAnsi="Arial"/>
                <w:sz w:val="14"/>
                <w:szCs w:val="14"/>
                <w:b w:val="1"/>
                <w:bCs w:val="1"/>
                <w:color w:val="auto"/>
              </w:rPr>
              <w:t>Period from Inception</w:t>
            </w:r>
          </w:p>
        </w:tc>
      </w:tr>
      <w:tr>
        <w:trPr>
          <w:trHeight w:val="174"/>
        </w:trPr>
        <w:tc>
          <w:tcPr>
            <w:tcW w:w="1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10"/>
          </w:tcPr>
          <w:p>
            <w:pPr>
              <w:ind w:left="160"/>
              <w:spacing w:after="0"/>
              <w:rPr>
                <w:sz w:val="20"/>
                <w:szCs w:val="20"/>
                <w:color w:val="auto"/>
              </w:rPr>
            </w:pPr>
            <w:r>
              <w:rPr>
                <w:rFonts w:ascii="Arial" w:cs="Arial" w:eastAsia="Arial" w:hAnsi="Arial"/>
                <w:sz w:val="14"/>
                <w:szCs w:val="14"/>
                <w:b w:val="1"/>
                <w:bCs w:val="1"/>
                <w:color w:val="auto"/>
                <w:w w:val="97"/>
              </w:rPr>
              <w:t>Years Ended December 31,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w w:val="97"/>
              </w:rPr>
              <w:t>to December 31,</w:t>
            </w:r>
          </w:p>
        </w:tc>
      </w:tr>
      <w:tr>
        <w:trPr>
          <w:trHeight w:val="95"/>
        </w:trPr>
        <w:tc>
          <w:tcPr>
            <w:tcW w:w="11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11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3"/>
          </w:tcPr>
          <w:p>
            <w:pPr>
              <w:ind w:left="14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95"/>
        </w:trPr>
        <w:tc>
          <w:tcPr>
            <w:tcW w:w="11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gridSpan w:val="2"/>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00" w:type="dxa"/>
            <w:vAlign w:val="bottom"/>
            <w:gridSpan w:val="14"/>
          </w:tcPr>
          <w:p>
            <w:pPr>
              <w:jc w:val="right"/>
              <w:spacing w:after="0"/>
              <w:rPr>
                <w:sz w:val="20"/>
                <w:szCs w:val="20"/>
                <w:color w:val="auto"/>
              </w:rPr>
            </w:pPr>
            <w:r>
              <w:rPr>
                <w:rFonts w:ascii="Arial" w:cs="Arial" w:eastAsia="Arial" w:hAnsi="Arial"/>
                <w:sz w:val="14"/>
                <w:szCs w:val="14"/>
                <w:b w:val="1"/>
                <w:bCs w:val="1"/>
                <w:color w:val="auto"/>
                <w:w w:val="87"/>
              </w:rPr>
              <w:t>(in thousands, except per share amounts)</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3"/>
          </w:tcPr>
          <w:p>
            <w:pPr>
              <w:ind w:left="340"/>
              <w:spacing w:after="0"/>
              <w:rPr>
                <w:sz w:val="20"/>
                <w:szCs w:val="20"/>
                <w:color w:val="auto"/>
              </w:rPr>
            </w:pPr>
            <w:r>
              <w:rPr>
                <w:rFonts w:ascii="Arial" w:cs="Arial" w:eastAsia="Arial" w:hAnsi="Arial"/>
                <w:sz w:val="18"/>
                <w:szCs w:val="18"/>
                <w:color w:val="auto"/>
              </w:rPr>
              <w:t>14</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712</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(41,073)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(16,437)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1"/>
              </w:rPr>
              <w:t>(2,972)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(2,414)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(1,541)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(64,437)</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(46,431)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(18,981)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ind w:left="60"/>
              <w:spacing w:after="0"/>
              <w:rPr>
                <w:sz w:val="20"/>
                <w:szCs w:val="20"/>
                <w:color w:val="auto"/>
              </w:rPr>
            </w:pPr>
            <w:r>
              <w:rPr>
                <w:rFonts w:ascii="Arial" w:cs="Arial" w:eastAsia="Arial" w:hAnsi="Arial"/>
                <w:sz w:val="18"/>
                <w:szCs w:val="18"/>
                <w:color w:val="auto"/>
                <w:w w:val="91"/>
              </w:rPr>
              <w:t>(4,855)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(1,704)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(1,463)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(73,434)</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(161,917)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(15,973)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1"/>
              </w:rPr>
              <w:t>(4,833)</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(1,463)</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5"/>
              </w:rPr>
              <w:t>(185,890)</w:t>
            </w:r>
          </w:p>
        </w:tc>
      </w:tr>
      <w:tr>
        <w:trPr>
          <w:trHeight w:val="310"/>
        </w:trPr>
        <w:tc>
          <w:tcPr>
            <w:tcW w:w="1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9"/>
          </w:tcPr>
          <w:p>
            <w:pPr>
              <w:jc w:val="center"/>
              <w:ind w:left="278"/>
              <w:spacing w:after="0"/>
              <w:rPr>
                <w:sz w:val="20"/>
                <w:szCs w:val="20"/>
                <w:color w:val="auto"/>
              </w:rPr>
            </w:pPr>
            <w:r>
              <w:rPr>
                <w:rFonts w:ascii="Arial" w:cs="Arial" w:eastAsia="Arial" w:hAnsi="Arial"/>
                <w:sz w:val="14"/>
                <w:szCs w:val="14"/>
                <w:b w:val="1"/>
                <w:bCs w:val="1"/>
                <w:color w:val="auto"/>
                <w:w w:val="86"/>
              </w:rPr>
              <w:t>As of December 31,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5"/>
        </w:trPr>
        <w:tc>
          <w:tcPr>
            <w:tcW w:w="11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3"/>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11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3"/>
          </w:tcPr>
          <w:p>
            <w:pPr>
              <w:ind w:left="16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35"/>
              <w:spacing w:after="0"/>
              <w:rPr>
                <w:sz w:val="20"/>
                <w:szCs w:val="20"/>
                <w:color w:val="auto"/>
              </w:rPr>
            </w:pPr>
            <w:r>
              <w:rPr>
                <w:rFonts w:ascii="Arial" w:cs="Arial" w:eastAsia="Arial" w:hAnsi="Arial"/>
                <w:sz w:val="14"/>
                <w:szCs w:val="14"/>
                <w:b w:val="1"/>
                <w:bCs w:val="1"/>
                <w:color w:val="auto"/>
                <w:w w:val="96"/>
              </w:rPr>
              <w:t>2000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95"/>
        </w:trPr>
        <w:tc>
          <w:tcPr>
            <w:tcW w:w="11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82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72"/>
              <w:spacing w:after="0"/>
              <w:rPr>
                <w:sz w:val="20"/>
                <w:szCs w:val="20"/>
                <w:color w:val="auto"/>
              </w:rPr>
            </w:pPr>
            <w:r>
              <w:rPr>
                <w:rFonts w:ascii="Arial" w:cs="Arial" w:eastAsia="Arial" w:hAnsi="Arial"/>
                <w:sz w:val="18"/>
                <w:szCs w:val="18"/>
                <w:color w:val="auto"/>
              </w:rPr>
              <w:t>25,691</w:t>
            </w:r>
          </w:p>
        </w:tc>
        <w:tc>
          <w:tcPr>
            <w:tcW w:w="1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18,234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7,499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investments(1)</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rPr>
              <w:t>778,590</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356,141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792,729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172"/>
              <w:spacing w:after="0"/>
              <w:rPr>
                <w:sz w:val="20"/>
                <w:szCs w:val="20"/>
                <w:color w:val="auto"/>
              </w:rPr>
            </w:pPr>
            <w:r>
              <w:rPr>
                <w:rFonts w:ascii="Arial" w:cs="Arial" w:eastAsia="Arial" w:hAnsi="Arial"/>
                <w:sz w:val="18"/>
                <w:szCs w:val="18"/>
                <w:color w:val="auto"/>
                <w:w w:val="84"/>
              </w:rPr>
              <w:t>1,448,328</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565,230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89,893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w w:val="84"/>
              </w:rPr>
              <w:t>2,788,101</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1,209,183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1,155,710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1,889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Total long-term obligations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172"/>
              <w:spacing w:after="0"/>
              <w:rPr>
                <w:sz w:val="20"/>
                <w:szCs w:val="20"/>
                <w:color w:val="auto"/>
              </w:rPr>
            </w:pPr>
            <w:r>
              <w:rPr>
                <w:rFonts w:ascii="Arial" w:cs="Arial" w:eastAsia="Arial" w:hAnsi="Arial"/>
                <w:sz w:val="18"/>
                <w:szCs w:val="18"/>
                <w:color w:val="auto"/>
                <w:w w:val="84"/>
              </w:rPr>
              <w:t>1,356,593</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927,327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914,949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4,875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1,418</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 (deficiency)</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7"/>
            <w:shd w:val="clear" w:color="auto" w:fill="CCEEFF"/>
          </w:tcPr>
          <w:p>
            <w:pPr>
              <w:jc w:val="right"/>
              <w:ind w:right="172"/>
              <w:spacing w:after="0"/>
              <w:rPr>
                <w:sz w:val="20"/>
                <w:szCs w:val="20"/>
                <w:color w:val="auto"/>
              </w:rPr>
            </w:pPr>
            <w:r>
              <w:rPr>
                <w:rFonts w:ascii="Arial" w:cs="Arial" w:eastAsia="Arial" w:hAnsi="Arial"/>
                <w:sz w:val="18"/>
                <w:szCs w:val="18"/>
                <w:color w:val="auto"/>
              </w:rPr>
              <w:t>$1,276,667</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221,895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229,075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(1,463)</w:t>
            </w:r>
          </w:p>
        </w:tc>
      </w:tr>
      <w:tr>
        <w:trPr>
          <w:trHeight w:val="108"/>
        </w:trPr>
        <w:tc>
          <w:tcPr>
            <w:tcW w:w="1180" w:type="dxa"/>
            <w:vAlign w:val="bottom"/>
            <w:tcBorders>
              <w:bottom w:val="single" w:sz="8" w:color="auto"/>
            </w:tcBorders>
          </w:tcPr>
          <w:p>
            <w:pPr>
              <w:spacing w:after="0"/>
              <w:rPr>
                <w:sz w:val="9"/>
                <w:szCs w:val="9"/>
                <w:color w:val="auto"/>
              </w:rPr>
            </w:pPr>
          </w:p>
        </w:tc>
        <w:tc>
          <w:tcPr>
            <w:tcW w:w="3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100" w:lineRule="exact"/>
        <w:rPr>
          <w:sz w:val="20"/>
          <w:szCs w:val="20"/>
          <w:color w:val="auto"/>
        </w:rPr>
      </w:pPr>
    </w:p>
    <w:p>
      <w:pPr>
        <w:ind w:left="460" w:right="24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Restricted cash and investments primarily reflects the proceeds of our debt financings and capital contributions from Wynn Resorts that are restricted for the construction of Wynn Las Vegas and the development of Encore. These proceeds are primarily in relatively short-term government-backed debt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Form 10-K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 governing the disbursement of the proceeds of certain of our debt offerings and borrowings under our new credit facilities, competition in the casino/hotel and resorts industry, completion of our Las Vegas Strip casino resort development known as “Wynn Las Vegas” on time and within budget, our intention to fund a substantial portion of the development and construction costs of our anticipated second casino resort development on 20 acres of land adjacent to Wynn Las Vegas known as “Encore at Wynn Las Vegas” with anticipated cash flows generated at Wynn Las Vegas, new development and construction activities of competitors, our lack of operating history, our dependence on Stephen A. Wynn and existing management, our dependence on one property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SARS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such as the attacks that occurred on September 11, 2001. Further information on potential factors, which could affect our financial condition, results of operations and business are included in our filings with the Securities and Exchange Commission.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Since inception, we have been primarily a casino resort development company. Our efforts have been devoted principally to the development and construction activities described below with respect to Wynn Las Vegas and the design and budgeting of Encore. Our consolidated financial statements also include results from the ownership and operation of our corporate aircraft.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Wynn Las Vegas will occupy approximately 197 acres of land fronting the Las Vegas Strip and will utilize an additional 18 acres across Sands Avenue for employee parking. In November 2004, we announced plans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Encore, which will occupy approximately 20 acres of land adjacent to Wynn Las Vegas. We began construction of Wynn Las Vegas in October 2002 and expect to have its grand opening on April 28, 2005. The construction of Wynn Las Vegas is nearing substantial completion and remains within the project budget. The general contractor has completed the majority of the work and is currently in the process of completing the exterior site work and interior finishes. In support of our preopening efforts, we are currently occupying portions of Wynn Las Vegas under a Temporary Certificate of Occupancy (“TCO”) issued by the Clark County Building Department including:</w:t>
      </w:r>
    </w:p>
    <w:p>
      <w:pPr>
        <w:spacing w:after="0" w:line="48"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Wynn Theater;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Meeting and convention facilities;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Warehouse and receiving;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Engineering and shop areas;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Administrative offices, the staff dining room, kitchens and other back of house support facilities.</w:t>
      </w:r>
    </w:p>
    <w:p>
      <w:pPr>
        <w:spacing w:after="0" w:line="18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have been accepting room reservations by telephone since January 2005 and via the Internet since February 2005 (</w:t>
      </w:r>
      <w:r>
        <w:rPr>
          <w:rFonts w:ascii="Arial" w:cs="Arial" w:eastAsia="Arial" w:hAnsi="Arial"/>
          <w:sz w:val="18"/>
          <w:szCs w:val="18"/>
          <w:i w:val="1"/>
          <w:iCs w:val="1"/>
          <w:color w:val="auto"/>
        </w:rPr>
        <w:t>www.wynnlasvegas.com</w:t>
      </w:r>
      <w:r>
        <w:rPr>
          <w:rFonts w:ascii="Arial" w:cs="Arial" w:eastAsia="Arial" w:hAnsi="Arial"/>
          <w:sz w:val="18"/>
          <w:szCs w:val="18"/>
          <w:color w:val="auto"/>
        </w:rPr>
        <w:t>). We also have been booking conventions for more than a year. Wynn Las Vegas, LLC and all of its key employees were approved by the Nevada Gaming Commission to conduct gaming activities in Las Vegas, Nevada on March 24, 2005.</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Wynn Las Vegas’ project budget, excluding the incremental cost for Encore, was, as of December 31, 2004, approximately $2.7 billion, including the cost of acquiring approximately 235 acres of land, costs of design and construction, capitalized interest, pre-opening expenses, financing fees and construction contingencies. Determination of the final project cost is subject to a complete accounting after the date of final completion (as defined in the contract with the general contractor), which will occur in late 2005. Through December 31, 2004, we had funded approximately $2.0 billion of project costs for Wynn Las Vegas primarily from a combination of cash on hand from capital contributed by our ultimate parent company, Wynn Resorts, proceeds from the issuance of our recently discharged 12% Second Mortgage Notes due 2010 (the “Second Mortgage Notes”), and a portion of our former credit facilities. We estimated that approximately $670.0 million would be needed as of that date to complete Wynn Las Vegas.</w:t>
      </w:r>
    </w:p>
    <w:p>
      <w:pPr>
        <w:spacing w:after="0" w:line="105" w:lineRule="exact"/>
        <w:rPr>
          <w:sz w:val="20"/>
          <w:szCs w:val="20"/>
          <w:color w:val="auto"/>
        </w:rPr>
      </w:pPr>
    </w:p>
    <w:p>
      <w:pPr>
        <w:ind w:right="40" w:firstLine="456"/>
        <w:spacing w:after="0" w:line="245" w:lineRule="auto"/>
        <w:rPr>
          <w:sz w:val="20"/>
          <w:szCs w:val="20"/>
          <w:color w:val="auto"/>
        </w:rPr>
      </w:pPr>
      <w:r>
        <w:rPr>
          <w:rFonts w:ascii="Arial" w:cs="Arial" w:eastAsia="Arial" w:hAnsi="Arial"/>
          <w:sz w:val="18"/>
          <w:szCs w:val="18"/>
          <w:color w:val="auto"/>
        </w:rPr>
        <w:t xml:space="preserve">In December 2004, we received an additional $400.0 million capital contribution from the proceeds of the November 2004 offering of 7.5 million shares of Wynn Resorts’ common stock. Also, on December 14, 2004, we effected a series of transactions to refinance our debt and raise additional funds for Encore. These transactions included, among other things, issuance by Wynn Las Vegas and Wynn Las Vegas Capital Corp. (“Wynn Capital” and, together with Wynn Las Vegas, the “Issuers”) of $1.3 billion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(the “First Mortgage Notes”), a tender offer for all of the outstanding Second Mortgage Notes, satisfaction and discharge of the remaining Second Mortgage Notes, and replacement of our previous credit facilities with new credit facilities. The new credit facilities bear interest at LIBOR plus 2.25% on the revolving credit facility (the “Revolver”) and LIBOR plus 2.125% on the term loan facility (the “Term Loans”). The refinancing lowered our overall cost of borrowing and provided the financial flexibility to allow for the further development of our real estate assets.</w:t>
      </w:r>
    </w:p>
    <w:p>
      <w:pPr>
        <w:spacing w:after="0" w:line="140"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The $400.0 million capital contribution from Wynn Resorts, a portion of the remaining proceeds of our First Mortgage Notes and availability under our new credit facilities are expected to provide sufficient funds to complete and open Wynn Las Vegas. In addition, we have a $50.0 million completion guarantee balance and a $30.0 million liquidity reserve available for Wynn Las Vegas. Wynn Resorts is not a guarantor of the new financing and is not obligated to apply any of its funds to the Wynn Las Vegas project, although it has more than $300.0 million in cash that can be made available.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continues to refine the scope and design of Encore. Previously, Encore was to include a hotel tower with approximately 1,500 mini-suites, a small amount of ancillary gaming space, restaurants, a spa,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swimming pools, additional retail and approximately 30,000 square feet of meeting rooms. It was expected to cost no more than $900 million and to open in the second half of 2007. As initially planned, Encore was an addition to Wynn Las Vegas.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Due to anticipated demand for Wynn Las Vegas, continued strength in the Las Vegas market, and our desire to maximize the potential of our substantial real estate assets, we anticipate a significant increase in the scope of Encore, elevating it to the status of a free standing casino resort; one which is integrated with Wynn Las Vegas through its public space. Although the scope and design of the project have not been finalized, and remain subject to the approval of the Board of Directors, we now expect that Encore will include approximately 2,000 full suites in its hotel tower—meaning separate living rooms and bedrooms in each unit —as well as significant additional casino, convention and meeting space, additional entertainment venues, restaurants, a spa and salon, swimming pools and retail space. We currently anticipate that Encore will open in the first half of 2008.</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expect that the Company’s remaining proceeds from the Issuers’ sale of First Mortgage Notes, together with remaining availability under its existing credit facilities and cash flow from the operations of Wynn Las Vegas, will be sufficient to pay for expenditures of up to $1.4 billion on the Encore project without incurring additional debt or receiving additional capital contributions from Wynn Resorts. The availability of notes proceeds and funds under the credit agreement in excess of $100 million is subject to approval of the Encore Budget, Plans and Specifications by the majority of arrangers or lenders. Once we have finalized the scope and plans for Encore, we will seek necessary consents and approvals from our lenders and noteholders.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Our consolidated financial statements were prepared in conformity with accounting principles generally accepted in the United States of America. Certain of our accounting policies, including the estimated lives of our depreciable assets, our annual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December 31, 2004, management does not believe there are any highly uncertain matters or other underlying assumptions that would have a material effect on the statement of financial position or results of operations of the Company if actual results differ from our estimates.</w:t>
      </w:r>
    </w:p>
    <w:p>
      <w:pPr>
        <w:spacing w:after="0" w:line="92" w:lineRule="exact"/>
        <w:rPr>
          <w:sz w:val="20"/>
          <w:szCs w:val="20"/>
          <w:color w:val="auto"/>
        </w:rPr>
      </w:pPr>
    </w:p>
    <w:p>
      <w:pPr>
        <w:jc w:val="center"/>
        <w:ind w:right="240"/>
        <w:spacing w:after="0" w:line="332" w:lineRule="auto"/>
        <w:rPr>
          <w:sz w:val="20"/>
          <w:szCs w:val="20"/>
          <w:color w:val="auto"/>
        </w:rPr>
      </w:pPr>
      <w:r>
        <w:rPr>
          <w:rFonts w:ascii="Arial" w:cs="Arial" w:eastAsia="Arial" w:hAnsi="Arial"/>
          <w:sz w:val="16"/>
          <w:szCs w:val="16"/>
          <w:color w:val="auto"/>
        </w:rPr>
        <w:t>Critical accounting policies currently reflected in the consolidated financial statements primarily relate to expensing pre-opening costs as incurred, capitalizing construction costs, including portions of interest attributable to certain qualifying assets, and other policies related to our development stage status.</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construction, direct costs such as those expected to be incurred for the design and construction of the Wynn Las Vegas hotel and casino, the Wynn Las Vegas golf course and the Wynn Las Vegas water-based entertainment production, including interest, are capitalized. Accordingly, the recorded amounts of property and equipment will increase significantly. Depreciation expense related to the capitalized construction costs will not be recognized until the related assets are put in service. Consequently, upon completion of construction and commencement of operation of Wynn Las Vegas on April 28, 2005, depreciation expense recognized based on the estimated useful life of the corresponding asset will have a significant effect on the results of our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will commence operations on April 28, 2005 when Wynn Las Vegas opens to the public. However, we currently are a development stage company. As is customary for a development stage company, revenues are minimal and, consequently, we have incurred losses in each period from inception to December 31, 2004. These losses have increased commensurate with increased staff salaries and other pre-opening expenses as Wynn Las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Vegas project has progressed. The acceleration of these costs was expected and was included in the project budget. We do not expect that our operating results prior to opening Wynn Las Vegas will be indicative of operating results thereafter.</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is customary for a development stage company, the Company has not commenced principal operations and therefore revenues are not significant. Consequently, the Company has incurred losses in each period from inception to December 31, 2003. Management expects these losses to continue and increase until planned principal operations have commenced. These losses will grow due to increasing pre-opening expenses as the Wynn Las Vegas project nears completion. The acceleration of these costs is expected and was included in the project budget. The Company does not expect that its operating results prior to opening Wynn Las Vegas will be indicative of operating results thereafter.</w:t>
      </w:r>
    </w:p>
    <w:p>
      <w:pPr>
        <w:spacing w:after="0" w:line="102"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Company intends to continue the operation of the corporate aircraft once principal operations have begun. The Company expects that the revenues associated with the corporate aircraft will be immaterial compared to the revenues that will be associated with the lodging, gaming, dining and entertainment operations of Wynn Las Vegas.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for the year ended December 31, 2004 compared to the year ended December 31, 2003</w:t>
      </w:r>
    </w:p>
    <w:p>
      <w:pPr>
        <w:spacing w:after="0" w:line="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Our development operations resulted in a net loss for the year ended December 31, 2004 of approximately $161.9 million, a 914% increase over the net loss of approximately $16.0 million for the year ended December 31, 2003, due to increased development activities, such as increased staffing, and financing activities, such as the loss on early retirement of debt.</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2004, we reclassified the amounts received from certain executive officers for use of our corporate aircraft from revenues into preopening expenses to reflect these amounts as a reduction of the costs to operate our aircraft. These amounts were approximately $2.5 million, $2.7 million and $6.9 million for the years ended December 31, 2003 and 2002 and for the period from inception to December 31, 2004. Total expenses for the year ended December 31, 2004 increased approximately $27.5 million, or 145%, to $46.4 million, as compared to $19.0 million for the year ended December 31, 2003. Preopening costs increased by $24.6 million to $41.1 million for the year ended December 31, 2004, as compared to $16.4 million for 2003. The increase in pre-opening costs, which consist primarily of salaries and wages and consulting and legal fees, is directly attributable to an increase in pre-opening activities, including staffing increases, as compared to the same period in the prior year. Management expects pre-opening costs to continue to increase as the development of Wynn Las Vegas progresses. In 2004, we sold our existing corporate aircraft and purchased another aircraft. The aircraft sale resulted in a loss of approximately $550,000. In addition, depreciation expenses increased as a result of the aircraft purchases. The increased depreciation of approximately $1.7 million for 2004 compared to 2003 and the additional losses on the sale of the aircraft, are the primary components of the remaining increase in total expenses over the prior year.</w:t>
      </w:r>
    </w:p>
    <w:p>
      <w:pPr>
        <w:spacing w:after="0" w:line="109"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addition, during the year ended December 31, 2004, incidental operations relating to certain cellular tower rental income plus the loss from the brief operation of an apartment complex purchased in July 2004 for the future development of a parking facility produced an increase in the loss from incidental operations of approximately $575,000 from $425,000 to $1.0 million.</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Other income (expense), net for the year ended December 31, 2004 decreased approximately $118.5 million to an expense of approximately $115.5 million from income of approximately $3.0 million for the year ended December 31, 2003, primarily as a result of losses sustained from the early retirement of debt in both the second and fourth quarters of 2004. On June 14, 2004, we recorded a loss of approximately $25.6 million due to the early retirement of a portion of the Second Mortgage Notes. This loss is attributable to the 112% redemption premium and to write-offs of unamortized original issue discount and debt issuance costs. On December 14, 2004, as part of the refinancing discussed below (See Liquidity and Capital Resources—Refinancing), we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recorded an additional loss on the early retirement of debt totaling approximately $92.7 million. This loss reflects the tender price on approximately $237.4 million of Second Mortgage Notes plus the writeoffs of the related unamortized original issue discount and debt issuance costs. Also, during the year ended December 31, 2004 there was a $5.0 million decrease in interest expense, and an approximately $5.2 million decrease in interest income. Lower interest income is primarily attributable to the decrease in average amount of cash from the net proceeds from equity and debt financing activity as the funds were used to construct Wynn Las Vegas, while the interest expense decreased due to increased capitalization of interest expense commensurate with the progress on the construction of Wynn Las Vegas.</w:t>
      </w:r>
    </w:p>
    <w:p>
      <w:pPr>
        <w:spacing w:after="0" w:line="13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Comprehensive income decreased from a gain of $8.8 million for the year ended December 31, 2003 to a gain of approximately $1.2 million for the year ended December 31, 2004, due to the increase and decrease, respectively, in the fair value of our two interest rate swaps entered into during the second quarter of 2003 combined with (for 2004 only) the change in the fair value of two new interest rate swaps that we entered into in connection with the refinancing on December 14, 2004. When we refinanced our outstanding indebtedness, we terminated the interest rate swaps associated with our former credit facilities and entered into two new interest rate swaps to hedge the interest rate risk on $400.0 million of term loan borrowings under the new credit facilities. Although we received a cash settlement of approximately $9.6 million on terminating the former swaps, we are amortizing this amount from other comprehensive income into earnings over the original life of the former swap contracts (December 2006). Both our former and our new interest rate swaps have been designated by us as cash flow hedges in accordance with applicable accounting pronouncements. Accordingly, changes in the fair value are charged, to the extent the hedge is effective (as defined in the accounting pronouncements), directly to comprehensive income. The fair value approximates the amount we would pay or receive if these contracts were settled at the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for the year ended December 31, 2003 compared to the year ended December 31, 2002</w:t>
      </w:r>
    </w:p>
    <w:p>
      <w:pPr>
        <w:spacing w:after="0" w:line="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Our development operations resulted in a net loss for the year ended December 31, 2003, of approximately $16.0 million, an $11.1 million or 230% increase over the net loss of approximately $4.8 million for the year ended December 31, 2002, due to increased development activities.</w:t>
      </w:r>
    </w:p>
    <w:p>
      <w:pPr>
        <w:spacing w:after="0" w:line="7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2004, we reclassified the amounts received from certain executive officers for use of our corporate aircraft from revenues into preopening expenses to reflect these amounts as a reduction of the costs to operate our aircraft. These amounts were approximately $2.5 million, $2.7 million and $6.9 million for the years ended December 31, 2003 and 2002 and for the period from inception to December 31, 2004. Consequently, all periods presented were reclassified to conform to this presentation. As a result, the aircraft revenue in 2002 reflects third party charter revenue. The corporate aircraft owned by us subsequent to February 2002, when we sold our first corporate aircraft, have not been licensed for charter services. Accordingly, we no longer have third party charter revenues. Total revenues for the year ended December 31, 2003, decreased approximately $14,000 or 100% from total revenues of approximately $14,000 for the year ended December 31, 2002, primarily due to increased patronage of the art gallery and related retail store.</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Total expenses for the year ended December 31, 2003 increased approximately $14.1 million, or 290%, to $19.0 million, as compared to $4.9 million for the year ended December 31, 2002, primarily due to an approximately $13.5 million or 453% increase in pre-opening costs to $16.4 million for the year ended December 31, 2003 from $3.0 million for the year ended December 31, 2002. The increase in pre-opening costs, which consist primarily of salaries and wages, including non-recurring employee separation expenses of approximately $1.4 million, and consulting and legal fees, is directly attributable to an increase in pre-opening activities as compared to the same period in the prior year. We expect pre-opening costs to continue to increase as development of Wynn Las Vegas progresses.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Other income/(expense)—net for the year ended December 31, 2003, increased to approximately $3.0 million from approximately $22,000 of income during the year ended December 31, 2002. Interest expense for the year ended December 31, 2003 increased approximately $3.2 million, or 170%, to approximately $5.1 million over the interest expense of approximately $1.9 million for the year ended December 31, 2002, due primarily to the commitment fees related to certain of the unused outstanding debt facilities entered into in October 2002. Offsetting the increase in interest expense is an increase in interest income for the year ended December 31, 2003 of approximately $6.2 million, or 325%, to approximately $8.1 million over interest income of approximately $1.9 million for the year ended December 31, 2002, as a result of the significant increase in invested cash from the net proceeds from equity and debt financing activity.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interest rate levels and legislative and regulatory issues relating to gaming and taxes. The strength and profitability of our business after Wynn Las Vegas opens will depend on consumer demand for casino resorts, in general, and for the specific types of luxury amenities that Wynn Las Vegas will offer. Adverse changes in consumer preferences, discretionary income and general economic conditions, as well as fears of recession, reduced consumer confidence in the economy, the possibility of continued terrorist activities in the United States and elsewhere, the war in Iraq and other military conflicts in the Middle East, a resurgence of SARS or another infectious disease or a natural disaster such as the tsunami that struck southeast Asia in December 2004, could reduce customer demand for the products and services we will offer, thus imposing practical limits on pricing and harming our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At December 31, 2004, we had approximately $25.7 million of cash and cash equivalents. In addition, we had approximately $778.6 million in restricted cash and investments from the capital contributions of Wynn Resorts and the proceeds of our debt financings. The substantial majority of this amount is restricted for the development and construction of Wynn Las Vegas (including Encore) and certain other specific costs in accordance with agreements governing our debt facilities, including $698.6 million restricted for the construction, development and preopening expenses of Wynn Las Vegas and Encore, $80.0 million restricted for a Wynn Las Vegas liquidity reserve and completion guarantee ($30.0 million of which must be retained for Encore for a completion guarantee if the Encore Budget, Plans and Specifications are approved) and small amounts committed for certain sales tax and other deposits. Cash equivalents are comprised of investments in overnight money market funds. Restricted investments are kept in money market funds or relatively short-term, government-backed, marketable debt securities as required by agreements governing the Company’s debt facilities.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for Wynn Las Vegas and Encore</w:t>
      </w:r>
    </w:p>
    <w:p>
      <w:pPr>
        <w:spacing w:after="0" w:line="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As of December 31, 2004, approximately $2.0 billion of the total Wynn Las Vegas project cost, (including the cost of the land, capitalized interest, pre-opening expenses and all financing fees) had been expended or incurred. This was funded primarily from a combination of our cash on hand from contributed capital, proceeds from the issuance of our recently discharged Second Mortgage Notes, and our previous debt facilities. On December 14, 2004, as described in more detail below, we completed a series of transactions that refinanced our debt structure and raised the additional funds needed to develop Encore. The closing of the refinancing was the culmination of a series of transactions designed to facilitate the intended expansion of Wynn Las Vegas, lower our overall cost of borrowing, and achieve an enhanced degree of financial maturity. In addition, it provided us with the financial flexibility to continue to develop our real estate assets.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May 2004, we amended documents governing our former credit facilities to release from certain development and other restrictions, the approximately 20 acres owned by our affiliate, on which the remaining buildings of the former Desert Inn then stood, so that the land would be available for what is to become Encore. The land was then used to collateralize a $143.4 million borrowing (the “Land Loan”) by our affiliate under a credit agreement bearing interest at London Interbank Offered Rate (“LIBOR”) plus 5.5%. The proceeds of the Land Loan were contributed to us by our affiliate and used to fund a portion of the costs of Wynn Las Vegas and Encore.</w:t>
      </w:r>
    </w:p>
    <w:p>
      <w:pPr>
        <w:spacing w:after="0" w:line="1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Later in May 2004, Wynn Resorts completed a public offering of seven million shares of its common stock at a price of $38.75 per share, which, after underwriting discounts and commissions, generated net proceeds of approximately $268.2 million. A portion of the proceeds were contributed to us to redeem a portion of the Second Mortgage Notes, as discussed below.</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June 14, 2004, pursuant to the indenture governing the Second Mortgage Notes, the Issuers redeemed approximately $122.4 million of the $370 million in aggregate principal amount of the Second Mortgage Notes outstanding. The total price of the redemption was approximately $138.9 million, equal to 112.0% of the aggregate principal amount of the Second Mortgage Notes redeemed, plus accrued and unpaid interest thereon. In connection with the redemption, we wrote off approximately $7.0 million of the unamortized original issue discount and approximately $3.9 million of unamortized deferred financing costs associated with the Second Mortgage Notes. Accordingly, we recognized a loss on the early retirement of debt in the second quarter of 2004 of approximately $25.6 million to reflect the write-offs and the $14.7 million redemption premium.</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November and December 2004, Wynn Resorts completed the sale of 8,625,000 shares of its common stock at a price of $61.00 per share, which, after underwriting discounts and commissions, generated net proceeds of approximately $521.2 million. We received $400.0 million of the net proceeds for the development of Wynn Las Vegas and Encore.</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2004, we continued to borrow available amounts under our former credit facilities. On December 14, 2004, we completed a refinancing of our indebtedness whereby the Issuers:</w:t>
      </w:r>
    </w:p>
    <w:p>
      <w:pPr>
        <w:spacing w:after="0" w:line="3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$1.3 billion of First Mortgage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Redeemed $237.4 million of the outstanding $247.6 million of Second Mortgage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Repaid our affiliate’s outstanding $143.4 million balance on the Land Loan described above;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Repaid the outstanding $250.0 million balance of term loans under our previous credit facilities;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Repaid the outstanding $208.6 million balance of revolving credit loans under our previous credit facilities;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Repaid the outstanding $70.3 million balance of loans under our previous furniture, fixtures and equipment loan facility (the “FF&amp;E Facility”);</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Entered into a new $1.0 billion credit facility (See “New Credit Facilities”, below);</w:t>
      </w:r>
    </w:p>
    <w:p>
      <w:pPr>
        <w:spacing w:after="0" w:line="103"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Terminated the two former interest rate swap agreements hedging the interest rate risk on a total of $825.0 million of available variable-rate borrowings under our previous credit facilities; and</w:t>
      </w:r>
    </w:p>
    <w:p>
      <w:pPr>
        <w:spacing w:after="0" w:line="37"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Entered into two new interest rate swap agreements to hedge the interest rate risk on $400.0 million of term loan borrowings under the new credit facilities.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connection with this refinancing, we recorded a loss on the extinguishment of debt of approximately $92.7 million. This loss consists of the Second Mortgage Notes tender premium and associated consent fees of approximately $62.9 million, prepayment penalties on the FF&amp;E Facility of approximately $1.6 million, the writeoff of the tendered portion of the original issue discount relating to the Second Mortgage Notes of approximately $12.6 million and writeoffs of debt issue costs associated with the Second Mortgage Notes and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former debt facilities of approximately $15.6 million. The refinancing lowers our long-term interest expense and also provides the financial flexibility for the further development of our real property assets.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Also, in connection with the termination of the two former interest rate swaps noted above, we received a cash settlement of approximately $9.6 million. The gain realized from the former swaps is being amortized out of other comprehensive income into earnings through December 2006 (the life of the original swaps).</w:t>
      </w:r>
    </w:p>
    <w:p>
      <w:pPr>
        <w:spacing w:after="0" w:line="12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will fund the costs to complete Wynn Las Vegas (estimated to be approximately $670.0 million at December 31, 2004) pursuant to the Disbursement Agreement, described below (see “Disbursement Agreement”), that we entered into with the agent for the lenders under the new credit facilities and the trustee under the indenture for the First Mortgage Notes. Under the Disbursement Agreement, we will use funds in the following order of priority:</w:t>
      </w:r>
    </w:p>
    <w:p>
      <w:pPr>
        <w:spacing w:after="0" w:line="12"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First, by using any cash on hand, including restricted cash available for this purpose, until exhaustion thereof;</w:t>
      </w:r>
    </w:p>
    <w:p>
      <w:pPr>
        <w:spacing w:after="0" w:line="103" w:lineRule="exact"/>
        <w:rPr>
          <w:rFonts w:ascii="Arial" w:cs="Arial" w:eastAsia="Arial" w:hAnsi="Arial"/>
          <w:sz w:val="18"/>
          <w:szCs w:val="18"/>
          <w:color w:val="auto"/>
        </w:rPr>
      </w:pPr>
    </w:p>
    <w:p>
      <w:pPr>
        <w:ind w:left="900" w:right="460" w:hanging="446"/>
        <w:spacing w:after="0" w:line="347"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Second, by using any remaining proceeds from the First Mortgage Notes, and the proceeds of borrowings under the new credit facilities, until exhaustion of the First Mortgage Notes proceeds, with amounts funded 66.67% from notes proceeds and 33.33% from the new credit facilities;</w:t>
      </w: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 by using proceeds of additional borrowings under the new credit facilities; and</w:t>
      </w:r>
    </w:p>
    <w:p>
      <w:pPr>
        <w:spacing w:after="0" w:line="103"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Fourth, by using the funds made available to us on a gradual basis from the $50 million completion guarantee deposit account and the $30 million liquidity reserve account.</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Any construction delays or scope changes with respect to Wynn Las Vegas may result in having to utilize the completion guarantee and liquidity reserve funds or in our borrowing additional funds under the new credit facilities.</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Through December 31, 2004, we have funded approximately $26.3 million of costs associated with the design and development of Encore. Until such time as the Encore Budget, Plans and Specifications have been submitted by us and approved by a majority of the arrangers or a majority of the lenders under the new credit facilities pursuant to the terms of the disbursement agreement, the new disbursement agreement will permit disbursements of up to $100.0 million to pay for development costs for Encore. If the Encore Budget, Plans and Specifications are approved by June 30, 2005, then we expect to fund construction of Encore with remaining proceeds of the First Mortgage Notes, borrowings under our new credit facilities and future cash flows from the operations of Wynn Las Vegas. We will fund the costs of development and construction of Encore in accordance with the disbursement agreement, with funds utilized in the same order of priority as indicated above for Wynn Las Vegas. If the Encore Budget, Plans and Specifications are not approved by June 30, 2005, then the amount available under the new credit facilities, and the amount of indebtedness that the indenture for the First Mortgage Notes will permit us to incur for this purpose, will be reduced by $550.0 million.</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seek to manage the interest rate risk associated with our variable rate borrowings, through balancing fixed-rate and variable-rate borrowings and the use of derivative financial instruments. Our two new interest rate swaps have been designated as cash flow hedges of $400.0 million of term loan borrowings under our new credit facilities in accordance Statement of Financial Accounting Standards No. 133, “Accounting for Derivative Instruments and Hedging Activities” (“SFAS No. 133”). As of December 31, 2004, we recorded approximately $583,000 in other assets to reflect their fair value. The fair value approximates the amount we would receive if these contracts were settled at December 31, 2004.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Commercial Commitments</w:t>
      </w:r>
    </w:p>
    <w:p>
      <w:pPr>
        <w:spacing w:after="0" w:line="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table summarizes certain information regarding our expected long-term indebtedness and material commercial commitments based upon our best estimate at December 31, 2004 of our expected long-term indebtedness and commercial commitments (amounts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80" w:type="dxa"/>
            <w:vAlign w:val="bottom"/>
            <w:gridSpan w:val="3"/>
          </w:tcPr>
          <w:p>
            <w:pPr>
              <w:ind w:left="540"/>
              <w:spacing w:after="0"/>
              <w:rPr>
                <w:sz w:val="20"/>
                <w:szCs w:val="20"/>
                <w:color w:val="auto"/>
              </w:rPr>
            </w:pPr>
            <w:r>
              <w:rPr>
                <w:rFonts w:ascii="Arial" w:cs="Arial" w:eastAsia="Arial" w:hAnsi="Arial"/>
                <w:sz w:val="14"/>
                <w:szCs w:val="14"/>
                <w:b w:val="1"/>
                <w:bCs w:val="1"/>
                <w:color w:val="auto"/>
              </w:rPr>
              <w:t>Payments Due By Period</w:t>
            </w:r>
          </w:p>
        </w:tc>
        <w:tc>
          <w:tcPr>
            <w:tcW w:w="740" w:type="dxa"/>
            <w:vAlign w:val="bottom"/>
          </w:tcPr>
          <w:p>
            <w:pPr>
              <w:spacing w:after="0"/>
              <w:rPr>
                <w:sz w:val="15"/>
                <w:szCs w:val="15"/>
                <w:color w:val="auto"/>
              </w:rPr>
            </w:pPr>
          </w:p>
        </w:tc>
      </w:tr>
      <w:tr>
        <w:trPr>
          <w:trHeight w:val="95"/>
        </w:trPr>
        <w:tc>
          <w:tcPr>
            <w:tcW w:w="7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237"/>
        </w:trPr>
        <w:tc>
          <w:tcPr>
            <w:tcW w:w="7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3"/>
              </w:rPr>
              <w:t>Less Than</w:t>
            </w:r>
          </w:p>
        </w:tc>
        <w:tc>
          <w:tcPr>
            <w:tcW w:w="680" w:type="dxa"/>
            <w:vAlign w:val="bottom"/>
          </w:tcPr>
          <w:p>
            <w:pPr>
              <w:ind w:left="180"/>
              <w:spacing w:after="0"/>
              <w:rPr>
                <w:sz w:val="20"/>
                <w:szCs w:val="20"/>
                <w:color w:val="auto"/>
              </w:rPr>
            </w:pPr>
            <w:r>
              <w:rPr>
                <w:rFonts w:ascii="Arial" w:cs="Arial" w:eastAsia="Arial" w:hAnsi="Arial"/>
                <w:sz w:val="14"/>
                <w:szCs w:val="14"/>
                <w:b w:val="1"/>
                <w:bCs w:val="1"/>
                <w:color w:val="auto"/>
              </w:rPr>
              <w:t>1 to 3</w:t>
            </w: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4 to 5</w:t>
            </w:r>
          </w:p>
        </w:tc>
        <w:tc>
          <w:tcPr>
            <w:tcW w:w="740" w:type="dxa"/>
            <w:vAlign w:val="bottom"/>
          </w:tcPr>
          <w:p>
            <w:pPr>
              <w:jc w:val="center"/>
              <w:ind w:left="52"/>
              <w:spacing w:after="0"/>
              <w:rPr>
                <w:sz w:val="20"/>
                <w:szCs w:val="20"/>
                <w:color w:val="auto"/>
              </w:rPr>
            </w:pPr>
            <w:r>
              <w:rPr>
                <w:rFonts w:ascii="Arial" w:cs="Arial" w:eastAsia="Arial" w:hAnsi="Arial"/>
                <w:sz w:val="14"/>
                <w:szCs w:val="14"/>
                <w:b w:val="1"/>
                <w:bCs w:val="1"/>
                <w:color w:val="auto"/>
                <w:w w:val="91"/>
              </w:rPr>
              <w:t>After</w:t>
            </w:r>
          </w:p>
        </w:tc>
      </w:tr>
      <w:tr>
        <w:trPr>
          <w:trHeight w:val="174"/>
        </w:trPr>
        <w:tc>
          <w:tcPr>
            <w:tcW w:w="7480" w:type="dxa"/>
            <w:vAlign w:val="bottom"/>
          </w:tcPr>
          <w:p>
            <w:pPr>
              <w:spacing w:after="0"/>
              <w:rPr>
                <w:sz w:val="20"/>
                <w:szCs w:val="20"/>
                <w:color w:val="auto"/>
              </w:rPr>
            </w:pPr>
            <w:r>
              <w:rPr>
                <w:rFonts w:ascii="Arial" w:cs="Arial" w:eastAsia="Arial" w:hAnsi="Arial"/>
                <w:sz w:val="14"/>
                <w:szCs w:val="14"/>
                <w:b w:val="1"/>
                <w:bCs w:val="1"/>
                <w:color w:val="auto"/>
              </w:rPr>
              <w:t>Long-Term Indebtedness</w:t>
            </w: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1 Year</w:t>
            </w:r>
          </w:p>
        </w:tc>
        <w:tc>
          <w:tcPr>
            <w:tcW w:w="680" w:type="dxa"/>
            <w:vAlign w:val="bottom"/>
          </w:tcPr>
          <w:p>
            <w:pPr>
              <w:ind w:left="180"/>
              <w:spacing w:after="0"/>
              <w:rPr>
                <w:sz w:val="20"/>
                <w:szCs w:val="20"/>
                <w:color w:val="auto"/>
              </w:rPr>
            </w:pPr>
            <w:r>
              <w:rPr>
                <w:rFonts w:ascii="Arial" w:cs="Arial" w:eastAsia="Arial" w:hAnsi="Arial"/>
                <w:sz w:val="14"/>
                <w:szCs w:val="14"/>
                <w:b w:val="1"/>
                <w:bCs w:val="1"/>
                <w:color w:val="auto"/>
              </w:rPr>
              <w:t>Years</w:t>
            </w: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Years</w:t>
            </w:r>
          </w:p>
        </w:tc>
        <w:tc>
          <w:tcPr>
            <w:tcW w:w="740" w:type="dxa"/>
            <w:vAlign w:val="bottom"/>
          </w:tcPr>
          <w:p>
            <w:pPr>
              <w:jc w:val="center"/>
              <w:ind w:left="52"/>
              <w:spacing w:after="0"/>
              <w:rPr>
                <w:sz w:val="20"/>
                <w:szCs w:val="20"/>
                <w:color w:val="auto"/>
              </w:rPr>
            </w:pPr>
            <w:r>
              <w:rPr>
                <w:rFonts w:ascii="Arial" w:cs="Arial" w:eastAsia="Arial" w:hAnsi="Arial"/>
                <w:sz w:val="14"/>
                <w:szCs w:val="14"/>
                <w:b w:val="1"/>
                <w:bCs w:val="1"/>
                <w:color w:val="auto"/>
                <w:w w:val="84"/>
              </w:rPr>
              <w:t>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1576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60325</wp:posOffset>
            </wp:positionV>
            <wp:extent cx="24955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Mortgage Notes</w:t>
            </w: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Term Loans(1)</w:t>
            </w: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Mortgage Notes(2)</w:t>
            </w: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long-term indebtedness</w:t>
            </w: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$1,336.7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$1,336.7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gridSpan w:val="3"/>
          </w:tcPr>
          <w:p>
            <w:pPr>
              <w:spacing w:after="0"/>
              <w:rPr>
                <w:sz w:val="11"/>
                <w:szCs w:val="11"/>
                <w:color w:val="auto"/>
              </w:rPr>
            </w:pPr>
          </w:p>
        </w:tc>
        <w:tc>
          <w:tcPr>
            <w:tcW w:w="140" w:type="dxa"/>
            <w:vAlign w:val="bottom"/>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gridSpan w:val="20"/>
          </w:tcPr>
          <w:p>
            <w:pPr>
              <w:ind w:left="40"/>
              <w:spacing w:after="0"/>
              <w:rPr>
                <w:sz w:val="20"/>
                <w:szCs w:val="20"/>
                <w:color w:val="auto"/>
              </w:rPr>
            </w:pPr>
            <w:r>
              <w:rPr>
                <w:rFonts w:ascii="Arial" w:cs="Arial" w:eastAsia="Arial" w:hAnsi="Arial"/>
                <w:sz w:val="14"/>
                <w:szCs w:val="14"/>
                <w:b w:val="1"/>
                <w:bCs w:val="1"/>
                <w:color w:val="auto"/>
                <w:w w:val="90"/>
              </w:rPr>
              <w:t>Amount of Commitment Expiration Per Period</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660" w:type="dxa"/>
            <w:vAlign w:val="bottom"/>
            <w:tcBorders>
              <w:bottom w:val="single" w:sz="8" w:color="auto"/>
            </w:tcBorders>
            <w:gridSpan w:val="3"/>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0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Amounts</w:t>
            </w:r>
          </w:p>
        </w:tc>
        <w:tc>
          <w:tcPr>
            <w:tcW w:w="100" w:type="dxa"/>
            <w:vAlign w:val="bottom"/>
          </w:tcPr>
          <w:p>
            <w:pPr>
              <w:spacing w:after="0"/>
              <w:rPr>
                <w:sz w:val="12"/>
                <w:szCs w:val="12"/>
                <w:color w:val="auto"/>
              </w:rPr>
            </w:pPr>
          </w:p>
        </w:tc>
        <w:tc>
          <w:tcPr>
            <w:tcW w:w="7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Less Than</w:t>
            </w:r>
          </w:p>
        </w:tc>
        <w:tc>
          <w:tcPr>
            <w:tcW w:w="180" w:type="dxa"/>
            <w:vAlign w:val="bottom"/>
          </w:tcPr>
          <w:p>
            <w:pPr>
              <w:spacing w:after="0"/>
              <w:rPr>
                <w:sz w:val="12"/>
                <w:szCs w:val="12"/>
                <w:color w:val="auto"/>
              </w:rPr>
            </w:pPr>
          </w:p>
        </w:tc>
        <w:tc>
          <w:tcPr>
            <w:tcW w:w="52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1 to 3</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5"/>
          </w:tcPr>
          <w:p>
            <w:pPr>
              <w:jc w:val="right"/>
              <w:ind w:right="300"/>
              <w:spacing w:after="0" w:line="149" w:lineRule="exact"/>
              <w:rPr>
                <w:sz w:val="20"/>
                <w:szCs w:val="20"/>
                <w:color w:val="auto"/>
              </w:rPr>
            </w:pPr>
            <w:r>
              <w:rPr>
                <w:rFonts w:ascii="Arial" w:cs="Arial" w:eastAsia="Arial" w:hAnsi="Arial"/>
                <w:sz w:val="14"/>
                <w:szCs w:val="14"/>
                <w:b w:val="1"/>
                <w:bCs w:val="1"/>
                <w:color w:val="auto"/>
              </w:rPr>
              <w:t>4 to 5</w:t>
            </w:r>
          </w:p>
        </w:tc>
        <w:tc>
          <w:tcPr>
            <w:tcW w:w="120" w:type="dxa"/>
            <w:vAlign w:val="bottom"/>
          </w:tcPr>
          <w:p>
            <w:pPr>
              <w:spacing w:after="0"/>
              <w:rPr>
                <w:sz w:val="12"/>
                <w:szCs w:val="12"/>
                <w:color w:val="auto"/>
              </w:rPr>
            </w:pPr>
          </w:p>
        </w:tc>
        <w:tc>
          <w:tcPr>
            <w:tcW w:w="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After</w:t>
            </w:r>
          </w:p>
        </w:tc>
        <w:tc>
          <w:tcPr>
            <w:tcW w:w="0" w:type="dxa"/>
            <w:vAlign w:val="bottom"/>
          </w:tcPr>
          <w:p>
            <w:pPr>
              <w:spacing w:after="0"/>
              <w:rPr>
                <w:sz w:val="1"/>
                <w:szCs w:val="1"/>
                <w:color w:val="auto"/>
              </w:rPr>
            </w:pPr>
          </w:p>
        </w:tc>
      </w:tr>
      <w:tr>
        <w:trPr>
          <w:trHeight w:val="174"/>
        </w:trPr>
        <w:tc>
          <w:tcPr>
            <w:tcW w:w="7300" w:type="dxa"/>
            <w:vAlign w:val="bottom"/>
            <w:gridSpan w:val="4"/>
          </w:tcPr>
          <w:p>
            <w:pPr>
              <w:spacing w:after="0"/>
              <w:rPr>
                <w:sz w:val="20"/>
                <w:szCs w:val="20"/>
                <w:color w:val="auto"/>
              </w:rPr>
            </w:pPr>
            <w:r>
              <w:rPr>
                <w:rFonts w:ascii="Arial" w:cs="Arial" w:eastAsia="Arial" w:hAnsi="Arial"/>
                <w:sz w:val="14"/>
                <w:szCs w:val="14"/>
                <w:b w:val="1"/>
                <w:bCs w:val="1"/>
                <w:color w:val="auto"/>
              </w:rPr>
              <w:t>Other Commercial Commitments</w:t>
            </w:r>
          </w:p>
        </w:tc>
        <w:tc>
          <w:tcPr>
            <w:tcW w:w="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Committed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5"/>
                <w:szCs w:val="15"/>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9"/>
              </w:rPr>
              <w:t>Years</w:t>
            </w:r>
          </w:p>
        </w:tc>
        <w:tc>
          <w:tcPr>
            <w:tcW w:w="120" w:type="dxa"/>
            <w:vAlign w:val="bottom"/>
          </w:tcPr>
          <w:p>
            <w:pPr>
              <w:spacing w:after="0"/>
              <w:rPr>
                <w:sz w:val="15"/>
                <w:szCs w:val="15"/>
                <w:color w:val="auto"/>
              </w:rPr>
            </w:pPr>
          </w:p>
        </w:tc>
        <w:tc>
          <w:tcPr>
            <w:tcW w:w="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660" w:type="dxa"/>
            <w:vAlign w:val="bottom"/>
            <w:tcBorders>
              <w:bottom w:val="single" w:sz="8" w:color="auto"/>
            </w:tcBorders>
            <w:gridSpan w:val="3"/>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contracts(3)</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  246.2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246.2</w:t>
            </w:r>
          </w:p>
        </w:tc>
        <w:tc>
          <w:tcPr>
            <w:tcW w:w="7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Term Loans(1)</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373.4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Revolver(4)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Employment agreements(5)</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8"/>
                <w:szCs w:val="18"/>
                <w:color w:val="auto"/>
              </w:rPr>
              <w:t>13.5</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Estimated interest payments(6)</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1,015.2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8"/>
                <w:szCs w:val="18"/>
                <w:color w:val="auto"/>
              </w:rPr>
              <w:t>109.5</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221.6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219.7</w:t>
            </w:r>
          </w:p>
        </w:tc>
        <w:tc>
          <w:tcPr>
            <w:tcW w:w="2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660" w:type="dxa"/>
            <w:vAlign w:val="bottom"/>
            <w:tcBorders>
              <w:bottom w:val="single" w:sz="8" w:color="auto"/>
            </w:tcBorders>
            <w:gridSpan w:val="3"/>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gridSpan w:val="3"/>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commercial commitments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$ 1,672.6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370.8</w:t>
            </w: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$242.6</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221.4</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-2205355</wp:posOffset>
            </wp:positionV>
            <wp:extent cx="249999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9999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-172720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-172720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-172720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-172720</wp:posOffset>
            </wp:positionV>
            <wp:extent cx="198501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85010" cy="29845"/>
                    </a:xfrm>
                    <a:prstGeom prst="rect">
                      <a:avLst/>
                    </a:prstGeom>
                    <a:noFill/>
                  </pic:spPr>
                </pic:pic>
              </a:graphicData>
            </a:graphic>
          </wp:anchor>
        </w:drawing>
      </w:r>
    </w:p>
    <w:p>
      <w:pPr>
        <w:spacing w:after="0" w:line="80" w:lineRule="exact"/>
        <w:rPr>
          <w:sz w:val="20"/>
          <w:szCs w:val="20"/>
          <w:color w:val="auto"/>
        </w:rPr>
      </w:pPr>
    </w:p>
    <w:p>
      <w:pPr>
        <w:ind w:left="460" w:right="32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December 31, 2004, we had borrowed approximately $26.5 million of the available $400.0 million under the Term Loans. We borrowed all of the remaining $373.4 million by March 14, 2005. The Term Loans mature on December 14, 2011.</w:t>
      </w:r>
    </w:p>
    <w:p>
      <w:pPr>
        <w:ind w:left="460" w:right="60" w:hanging="452"/>
        <w:spacing w:after="0" w:line="28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December 14, 2004, we deposited in trust with the trustee under the Second Mortgage Notes Indenture, government securities having an aggregate face value of approximately $10.1 million (the amounts necessary to pay when due all interest payments and the redemption price on November 1, 2006), and an additional $3.0 million in cash to discharge amounts payable under the Second Mortgage Notes Indenture.</w:t>
      </w:r>
    </w:p>
    <w:p>
      <w:pPr>
        <w:spacing w:after="0" w:line="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obligations under our signed construction contracts with Marnell Corrao, Wadsworth Golf Construction Company, Bomel Construction Company, Inc., and certain other construction companies in connection with the construction of Wynn Las Vegas. We expect to satisfy some of the payment obligations under these contracts using amounts borrowed under the long-term indebtedness shown above.</w:t>
      </w:r>
    </w:p>
    <w:p>
      <w:pPr>
        <w:spacing w:after="0" w:line="2"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December 31, 2004, we have not borrowed any amounts under the Revolver. The $600.0 million available under the Revolver may be used for working capital for Wynn Las Vegas or, upon satisfaction of certain conditions, for the construction and development of Encore. The Revolver matures on December 14, 2009.</w:t>
      </w:r>
    </w:p>
    <w:p>
      <w:pPr>
        <w:spacing w:after="0" w:line="1"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have entered into employment agreements with several executive officers, other members of management, and certain key employees. These agreements generally have three to five year terms, typically indicate a base salary with specified annual increases, and often contain provisions for guaranteed bonuses. If we terminate certain executives without “cause” or if certain executives terminate employment with us for “good reason” following a “change of control” (as these terms are defined in the employment contracts), we will pay the executive a “separation payment” in a lump sum, which typically is equal to the base salary of the remaining term of the employment contract plus foregone bonuses, plus certain other payments. Amounts represent the aggregate contractual salaries and guaranteed bonuses during the periods specified in the agreements.</w:t>
      </w:r>
    </w:p>
    <w:p>
      <w:pPr>
        <w:spacing w:after="0" w:line="4" w:lineRule="exact"/>
        <w:rPr>
          <w:rFonts w:ascii="Arial" w:cs="Arial" w:eastAsia="Arial" w:hAnsi="Arial"/>
          <w:sz w:val="16"/>
          <w:szCs w:val="16"/>
          <w:color w:val="auto"/>
        </w:rPr>
      </w:pPr>
    </w:p>
    <w:p>
      <w:pPr>
        <w:ind w:left="460" w:right="20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currently existing commitments, anticipated LIBOR rates based upon expected yield curves (including the effect of our interest rate swaps) as well as expected levels of borrowings and the timing of repayments.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Credit Facilities</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December 14, 2004, Wynn Las Vegas, LLC entered into a credit agreement (the “New Credit Agreement”) and related ancillary agreements for secured revolving credit and term loan facilities in the aggregate amount of $1.0 billion. The new credit facilities consist of a revolving credit facility (the “Revolver”) in the amount of $600.0 million and a term loan facility (the “Term Loans”) in the amount of $400.0 million.</w:t>
      </w:r>
    </w:p>
    <w:p>
      <w:pPr>
        <w:spacing w:after="0" w:line="9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Revolver will terminate and be payable in full on December 14, 2009, and the Term Loans will mature on December 14, 2011. Wynn Las Vegas, LLC is required to draw half of the Term Loans by February 14, 2005 and the remaining half of the Term Loans by March 14, 2005.</w:t>
      </w:r>
    </w:p>
    <w:p>
      <w:pPr>
        <w:spacing w:after="0" w:line="72"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The amount available under the new credit facilities will be reduced by $550.0 million if the Encore Budget, Plans and Specifications have not been approved by a majority of the arrangers or a majority of the lenders under the New Credit Agreement by June 30, 2005. This may result in a reduction of availability under the Revolver, prepayment of loans under the Term Loans, or any combination of the two.</w:t>
      </w:r>
    </w:p>
    <w:p>
      <w:pPr>
        <w:spacing w:after="0" w:line="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purposes of calculating interest, loans under the new credit facilities will be designated, at the election of Wynn Las Vegas, LLC, as Eurodollar Loans or, in certain circumstances, Base Rate Loans. Eurodollar Loans under the Revolver and Term Loans are expected to bear interest at LIBOR plus 2.25% and LIBOR plus 2.125%, respectively. Interest on Eurodollar Loans is payable at the end of the applicable interest period in the case of interest periods of one, two or three months, and every three months in the case of interest periods of six months. Base Rate Loans are expected to bear interest at (a) the greater of (i) the rate most recently announced by Deutsche Bank as its “prime rate,” or (ii) the Federal Funds Rate plus 1/2 of 1% per annum; plus (b) a borrowing margin 1.25% or 1.125% under the Revolver and Term Loans, respectively. Interest on Base Rate Loans is payable quarterly in arrears.</w:t>
      </w:r>
    </w:p>
    <w:p>
      <w:pPr>
        <w:spacing w:after="0" w:line="10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After the opening of Wynn Las Vegas or, if Encore qualifies for financing under the Disbursement Agreement, after the opening of Encore, the applicable borrowing margins for revolving loans will be based on Wynn Las Vegas, LLC’s leverage ratio, ranging from 1.25% to 2.5% per annum for Eurodollar Loans and 0.25% to 1.5% per annum for Base Rate Loans. After the opening of Wynn Las Vegas or, if Encore qualifies for financing under the Disbursement Agreement, after the opening of Encore, Wynn Las Vegas, LLC will pay, quarterly in arrears, 0.75% per annum on the daily average of unborrowed availability under the revolving credit facility. After the opening of Wynn Las Vegas or, if Encore qualifies for financing under the Disbursement Agreement, after the opening of Encore, the annual fee that Wynn Las Vegas, LLC will be required to pay for unborrowed availability under the revolving credit facility will be based on Wynn Las Vegas, LLC’s leverage ratio, ranging from 0.25% to 0.50% per annum. For unborrowed amounts under the term loan facility, Wynn Las Vegas, LLC expects to pay, quarterly in arrears, 1.00% per annum on the daily average of the unborrowed amounts under the Term Loans. Letters of credit issued pursuant to the new credit facilities are expected to accrue fees at the borrowing margins payable on Eurodollar Loans as described above, plus a customary fronting fee. In addition, certain fees will be payable on the closing date to certain lenders and other parties to the New Credit Agreement.</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scheduled amortization payments, we will be required to make mandatory prepayments of indebtedness under the new credit facilities from the net proceeds of all debt offerings (other than those constituting certain permitted debt) and, subject to a reinvestment period, asset sale and insurance or condemnation proceeds, in each case with specified exceptions. After the opening of Wynn Las Vegas or, if Encore qualifies for financing under the Disbursement Agreement, after the opening of Encore, we also will be required to make mandatory repayments of indebtedness under the new credit facilities from specified percentages of excess cash flow, which percentages may decrease and/or be eliminated based on our leverage ratio. Mandatory prepayments from asset sales and insurance and condemnation proceeds will be applied to repay the Term Loans and First Mortgage Notes and, in certain events, to repay the Revolver and reduce the revolving credit commitments. Other than with respect to a 1% premium that we will be required to pay with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respect to certain repayments of Term Loans occurring prior to December 14, 2005, we will have the option to prepay all or any portion of the indebtedness under the new credit facilities at any time without premium or penalty.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Disbursement Agreement</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Disbursement Agreement sets forth our material obligations to complete the Wynn Las Vegas hotel and casino resort and, if applicable, develop, construct and complete Encore (collectively, the “Projects”) and establishes mechanics for approval of a line item budget and a schedule for the completion of construction of Wynn Las Vegas and, if and when applicable, the construction of Encore. The Disbursement Agreement also establishes the conditions to, and the relative sequencing of, the making of advances and disbursements under the new credit facilities and from the proceeds of the First Mortgage Notes, and establishes the obligations of the lenders and the administrative agent under the new credit facilities to advance and disburse, respectively, funds under the new credit facilities and the obligation of the First Mortgage Notes Trustee to release funds from the First Mortgage Notes proceeds account upon satisfaction of such conditions. The Disbursement Agreement also sets forth the mechanics for approving change orders and amendments to the construction budgets and the construction schedules for the Projects. The Disbursement Agreement includes certain representations, warranties, covenants and events of default that relate to construction of the Projects.</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Disbursement Agreement, we are permitted to use the proceeds of the First Mortgage Notes and borrowings under the new credit facilities to pay for costs related to the development, construction, outfitting and opening of the Projects (including financing costs and interest during construction) and, subject to certain limitations, corporate overhead and related costs (collectively, “Project Costs”). Except as provided in the following paragraph, the proceeds of the new credit facilities and the First Mortgage Notes will not be available to pay Project Costs related to Encore until a majority of the arrangers (by number) or a majority of the lenders under the new credit facilities (in consultation with the construction consultant) have approved, among other things, the Encore Budget, Schedule, Plans and Specifications and certain construction-related agreements (including certain material construction and design contracts), and we have satisfied certain other conditions precedent relating to Encore.</w:t>
      </w:r>
    </w:p>
    <w:p>
      <w:pPr>
        <w:spacing w:after="0" w:line="105"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Prior to the approval of the Encore Budget, Schedule, Plans and Specifications, as set forth above, the Disbursement Agreement will permit disbursements of up to $100.0 million in the aggregate from the borrowings under the new credit facilities and the proceeds of the First Mortgage Notes to pay for Project Costs related to Encore pursuant to abbreviated disbursement procedures set forth in the Disbursement Agreement. No more than $100.0 million from the proceeds of the new credit facilities and the First Mortgage Notes will be disbursed for application toward Project Costs related to Encore prior to the opening of Wynn Las Vegas. Thereafter, if the Encore Budget, Schedule, Plans and Specifications have been approved, the entire amount of the borrowings under the new credit facilities (subject to exceptions for working capital and other purposes, including amounts necessary for final completion of Wynn Las Vegas) and the remaining proceeds of the First Mortgage Notes will be available for application toward Project Costs related to Encore in accordance with the Disbursement Agreement.</w:t>
      </w:r>
    </w:p>
    <w:p>
      <w:pPr>
        <w:spacing w:after="0" w:line="9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Disbursement Agreement sets forth the order in which funds from the various sources will be made available to us. We expect that a significant portion of the funds needed to pay Project Costs in respect of Encore will come from our operating cash flows after opening of Wynn Las Vegas. Our failure to achieve operating cash flows, or obtain other funds, sufficient to fund certain of the Project Costs for Encore would prevent us from obtaining disbursements and may cause an event of default under the Disbursement Agreement and, as a result, under the Indenture and the Credit Agreement.</w:t>
      </w:r>
    </w:p>
    <w:p>
      <w:pPr>
        <w:spacing w:after="0" w:line="9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order to implement the funding of disbursements, the Disbursement Agreement calls for the maintenance of certain accounts, each of which will, subject to certain exceptions, secure our obligations under the new credit facilities and the First Mortgage Notes; provided that the secured account holding the proceeds of the First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Mortgage Notes will secure only our obligations under the First Mortgage Notes, and the secured account holding the proceeds of the new credit facilities will secure only our obligations to the lenders under the new credit facilities. The accounts will include a company’s funds account, a notes proceeds account, a bank proceeds account, a disbursement account, a cash management account, a completion guarantee deposit account and a liquidity reserve account.</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Disbursement Agreement obligates us to comply with various affirmative and negative covenants. Upon the occurrence and during the continuance of an event of default under the Disbursement Agreement, the lenders under the new credit facilities and the First Mortgage Notes Trustee will be entitled to suspend their respective obligations to make any further disbursements under the Disbursement Agreement. Provisions under the Disbursement Agreement can be amended or waived by the agent for the New Credit Facilities (acting under the Credit Agreement) without the consent of the First Mortgage Notes Trustee.</w:t>
      </w:r>
    </w:p>
    <w:p>
      <w:pPr>
        <w:spacing w:after="0" w:line="99" w:lineRule="exact"/>
        <w:rPr>
          <w:sz w:val="20"/>
          <w:szCs w:val="20"/>
          <w:color w:val="auto"/>
        </w:rPr>
      </w:pPr>
    </w:p>
    <w:p>
      <w:pPr>
        <w:jc w:val="both"/>
        <w:ind w:right="180" w:firstLine="456"/>
        <w:spacing w:after="0" w:line="290" w:lineRule="auto"/>
        <w:rPr>
          <w:sz w:val="20"/>
          <w:szCs w:val="20"/>
          <w:color w:val="auto"/>
        </w:rPr>
      </w:pPr>
      <w:r>
        <w:rPr>
          <w:rFonts w:ascii="Arial" w:cs="Arial" w:eastAsia="Arial" w:hAnsi="Arial"/>
          <w:sz w:val="16"/>
          <w:szCs w:val="16"/>
          <w:color w:val="auto"/>
        </w:rPr>
        <w:t>The Disbursement Agreement will terminate after final completion of Wynn Las Vegas or, if the Encore Budget, Schedule, Plans and Specifications have been approved and we have elected to construct it, after final completion of Encore. The Disbursement Agreement will cease to apply to Wynn Las Vegas after final completion of Wynn Las Vegas. Upon termination of the Disbursement Agreement, all amounts remaining in any Disbursement Agreement accounts other than amounts on deposit in the liquidity reserve account will be released to us, and the covenants contained in the Disbursement Agreement will cease to apply. Amounts remaining on deposit in the liquidity reserve account at substantial completion will be available to us under certain circumstances to pay debt service. Upon satisfaction of certain financial tests, amounts remaining in the liquidity reserve account will be applied to repay the revolving loans under the new credit facilities (without a reduction in revolving loan commitments thereunder).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whether through acquisition, investment or development, including the potential development of our golf course land. Any new development would require us to obtain additional financing, which could be comprised of a combination of debt and equity.</w:t>
      </w:r>
    </w:p>
    <w:p>
      <w:pPr>
        <w:spacing w:after="0" w:line="9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Furthermore, if completion of the Wynn Las Vegas or Encore projects is delayed, then our debt service obligations accruing prior to the actual opening of our respective resorts will increase correspondingly. Following the opening of Wynn Las Vegas, we expect Wynn Las Vegas to fund its operations and capital requirements from operating cash flow and remaining availability under the new credit facilities. We cannot assure you, however, that Wynn Las Vegas will generate sufficient cash flow from operations or that future borrowings available to us under the new credit facilities will be sufficient to enable us to service and repay our indebtedness and to fund its other liquidity needs. We may refinance all or a portion of our indebtedness on or before maturity. We cannot assure you that we will be able to refinance any of the indebtedness on acceptable terms or at all.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facilities that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about our long-term indebtedness as of 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61"/>
              <w:spacing w:after="0"/>
              <w:rPr>
                <w:sz w:val="20"/>
                <w:szCs w:val="20"/>
                <w:color w:val="auto"/>
              </w:rPr>
            </w:pPr>
            <w:r>
              <w:rPr>
                <w:rFonts w:ascii="Arial" w:cs="Arial" w:eastAsia="Arial" w:hAnsi="Arial"/>
                <w:sz w:val="14"/>
                <w:szCs w:val="14"/>
                <w:b w:val="1"/>
                <w:bCs w:val="1"/>
                <w:color w:val="auto"/>
              </w:rPr>
              <w:t>Face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520" w:type="dxa"/>
            <w:vAlign w:val="bottom"/>
            <w:gridSpan w:val="2"/>
          </w:tcPr>
          <w:p>
            <w:pPr>
              <w:ind w:left="300"/>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6.625% Mortgage Notes</w:t>
            </w:r>
          </w:p>
        </w:tc>
        <w:tc>
          <w:tcPr>
            <w:tcW w:w="1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3"/>
              </w:rPr>
              <w:t>December 2014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80" w:type="dxa"/>
            <w:vAlign w:val="bottom"/>
            <w:gridSpan w:val="2"/>
          </w:tcPr>
          <w:p>
            <w:pPr>
              <w:spacing w:after="0"/>
              <w:rPr>
                <w:sz w:val="20"/>
                <w:szCs w:val="20"/>
                <w:color w:val="auto"/>
              </w:rPr>
            </w:pPr>
            <w:r>
              <w:rPr>
                <w:rFonts w:ascii="Arial" w:cs="Arial" w:eastAsia="Arial" w:hAnsi="Arial"/>
                <w:sz w:val="18"/>
                <w:szCs w:val="18"/>
                <w:color w:val="auto"/>
                <w:w w:val="93"/>
              </w:rPr>
              <w:t>Term Loans, interest at LIBOR plus 2.125%, (approximately 4.575% at December 31,</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jc w:val="right"/>
              <w:ind w:right="452"/>
              <w:spacing w:after="0"/>
              <w:rPr>
                <w:sz w:val="20"/>
                <w:szCs w:val="20"/>
                <w:color w:val="auto"/>
              </w:rPr>
            </w:pPr>
            <w:r>
              <w:rPr>
                <w:rFonts w:ascii="Arial" w:cs="Arial" w:eastAsia="Arial" w:hAnsi="Arial"/>
                <w:sz w:val="18"/>
                <w:szCs w:val="18"/>
                <w:color w:val="auto"/>
              </w:rPr>
              <w:t>2004)</w:t>
            </w:r>
          </w:p>
        </w:tc>
        <w:tc>
          <w:tcPr>
            <w:tcW w:w="5200" w:type="dxa"/>
            <w:vAlign w:val="bottom"/>
          </w:tcPr>
          <w:p>
            <w:pPr>
              <w:spacing w:after="0"/>
              <w:rPr>
                <w:sz w:val="19"/>
                <w:szCs w:val="19"/>
                <w:color w:val="auto"/>
              </w:rPr>
            </w:pPr>
          </w:p>
        </w:tc>
        <w:tc>
          <w:tcPr>
            <w:tcW w:w="1520" w:type="dxa"/>
            <w:vAlign w:val="bottom"/>
            <w:gridSpan w:val="2"/>
          </w:tcPr>
          <w:p>
            <w:pPr>
              <w:ind w:left="320"/>
              <w:spacing w:after="0"/>
              <w:rPr>
                <w:sz w:val="20"/>
                <w:szCs w:val="20"/>
                <w:color w:val="auto"/>
              </w:rPr>
            </w:pPr>
            <w:r>
              <w:rPr>
                <w:rFonts w:ascii="Arial" w:cs="Arial" w:eastAsia="Arial" w:hAnsi="Arial"/>
                <w:sz w:val="18"/>
                <w:szCs w:val="18"/>
                <w:color w:val="auto"/>
                <w:w w:val="92"/>
              </w:rPr>
              <w:t>December 2011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26,564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26,564</w:t>
            </w:r>
          </w:p>
        </w:tc>
        <w:tc>
          <w:tcPr>
            <w:tcW w:w="0" w:type="dxa"/>
            <w:vAlign w:val="bottom"/>
          </w:tcPr>
          <w:p>
            <w:pPr>
              <w:spacing w:after="0"/>
              <w:rPr>
                <w:sz w:val="1"/>
                <w:szCs w:val="1"/>
                <w:color w:val="auto"/>
              </w:rPr>
            </w:pPr>
          </w:p>
        </w:tc>
      </w:tr>
      <w:tr>
        <w:trPr>
          <w:trHeight w:val="218"/>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 Second Mortgage Notes(1)</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rPr>
              <w:t>November 2010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1,336,706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1,336,175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1,331,423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80" w:type="dxa"/>
            <w:vAlign w:val="bottom"/>
            <w:tcBorders>
              <w:bottom w:val="single" w:sz="8" w:color="auto"/>
            </w:tcBorders>
          </w:tcPr>
          <w:p>
            <w:pPr>
              <w:spacing w:after="0"/>
              <w:rPr>
                <w:sz w:val="18"/>
                <w:szCs w:val="18"/>
                <w:color w:val="auto"/>
              </w:rPr>
            </w:pPr>
          </w:p>
        </w:tc>
        <w:tc>
          <w:tcPr>
            <w:tcW w:w="5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-172720</wp:posOffset>
            </wp:positionV>
            <wp:extent cx="216535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65350" cy="29845"/>
                    </a:xfrm>
                    <a:prstGeom prst="rect">
                      <a:avLst/>
                    </a:prstGeom>
                    <a:noFill/>
                  </pic:spPr>
                </pic:pic>
              </a:graphicData>
            </a:graphic>
          </wp:anchor>
        </w:drawing>
      </w:r>
    </w:p>
    <w:p>
      <w:pPr>
        <w:spacing w:after="0" w:line="80" w:lineRule="exact"/>
        <w:rPr>
          <w:sz w:val="20"/>
          <w:szCs w:val="20"/>
          <w:color w:val="auto"/>
        </w:rPr>
      </w:pPr>
    </w:p>
    <w:p>
      <w:pPr>
        <w:ind w:left="460" w:right="60" w:hanging="452"/>
        <w:spacing w:after="0" w:line="298"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December 14, 2004, we deposited in trust with the trustee under the Second Mortgage Notes Indenture, government securities having an aggregate face value of approximately $10.1 million (the amounts necessary to pay when due all interest payments and the redemption price on November 1, 2006), and an additional $3.0 million in cash to discharge amounts payable under the Second Mortgage Notes Indenture. The estimated fair value reflects the face value of the Second Mortgage Notes reflected at the 112% redemption price at November 1, 2006).</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2004 on our expected long-term indebtedness See Item 7. “Management’s Discussion and Analysis of Financial Condition and Results of Operations—Liquidity and Capital Resources”. However, we cannot predict the LIBOR rates that will be in effect in the future. Accordingly, the LIBOR rate at December 31, 2004 equal to 2.45% is used for all calculations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6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263"/>
        </w:trPr>
        <w:tc>
          <w:tcPr>
            <w:tcW w:w="63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2"/>
                <w:szCs w:val="22"/>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Thereafter</w:t>
            </w:r>
          </w:p>
        </w:tc>
        <w:tc>
          <w:tcPr>
            <w:tcW w:w="140" w:type="dxa"/>
            <w:vAlign w:val="bottom"/>
          </w:tcPr>
          <w:p>
            <w:pPr>
              <w:spacing w:after="0"/>
              <w:rPr>
                <w:sz w:val="22"/>
                <w:szCs w:val="22"/>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95"/>
        </w:trPr>
        <w:tc>
          <w:tcPr>
            <w:tcW w:w="6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250"/>
        </w:trPr>
        <w:tc>
          <w:tcPr>
            <w:tcW w:w="6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Fixed rate</w:t>
            </w:r>
          </w:p>
        </w:tc>
        <w:tc>
          <w:tcPr>
            <w:tcW w:w="400" w:type="dxa"/>
            <w:vAlign w:val="bottom"/>
          </w:tcPr>
          <w:p>
            <w:pPr>
              <w:jc w:val="right"/>
              <w:ind w:right="16"/>
              <w:spacing w:after="0"/>
              <w:rPr>
                <w:sz w:val="20"/>
                <w:szCs w:val="20"/>
                <w:color w:val="auto"/>
              </w:rPr>
            </w:pPr>
            <w:r>
              <w:rPr>
                <w:rFonts w:ascii="Arial" w:cs="Arial" w:eastAsia="Arial" w:hAnsi="Arial"/>
                <w:sz w:val="18"/>
                <w:szCs w:val="18"/>
                <w:color w:val="auto"/>
                <w:w w:val="84"/>
              </w:rPr>
              <w:t>$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 —</w:t>
            </w:r>
          </w:p>
        </w:tc>
        <w:tc>
          <w:tcPr>
            <w:tcW w:w="220" w:type="dxa"/>
            <w:vAlign w:val="bottom"/>
          </w:tcPr>
          <w:p>
            <w:pPr>
              <w:spacing w:after="0"/>
              <w:rPr>
                <w:sz w:val="18"/>
                <w:szCs w:val="18"/>
                <w:color w:val="auto"/>
              </w:rPr>
            </w:pPr>
          </w:p>
        </w:tc>
        <w:tc>
          <w:tcPr>
            <w:tcW w:w="400" w:type="dxa"/>
            <w:vAlign w:val="bottom"/>
          </w:tcPr>
          <w:p>
            <w:pPr>
              <w:jc w:val="right"/>
              <w:ind w:right="19"/>
              <w:spacing w:after="0"/>
              <w:rPr>
                <w:sz w:val="20"/>
                <w:szCs w:val="20"/>
                <w:color w:val="auto"/>
              </w:rPr>
            </w:pPr>
            <w:r>
              <w:rPr>
                <w:rFonts w:ascii="Arial" w:cs="Arial" w:eastAsia="Arial" w:hAnsi="Arial"/>
                <w:sz w:val="18"/>
                <w:szCs w:val="18"/>
                <w:color w:val="auto"/>
                <w:w w:val="84"/>
              </w:rPr>
              <w:t>$ —</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1,310.1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1,310.1</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r>
      <w:tr>
        <w:trPr>
          <w:trHeight w:val="322"/>
        </w:trPr>
        <w:tc>
          <w:tcPr>
            <w:tcW w:w="6380" w:type="dxa"/>
            <w:vAlign w:val="bottom"/>
          </w:tcPr>
          <w:p>
            <w:pPr>
              <w:spacing w:after="0"/>
              <w:rPr>
                <w:sz w:val="20"/>
                <w:szCs w:val="20"/>
                <w:color w:val="auto"/>
              </w:rPr>
            </w:pPr>
            <w:r>
              <w:rPr>
                <w:rFonts w:ascii="Arial" w:cs="Arial" w:eastAsia="Arial" w:hAnsi="Arial"/>
                <w:sz w:val="18"/>
                <w:szCs w:val="18"/>
                <w:color w:val="auto"/>
              </w:rPr>
              <w:t>Variable rate</w:t>
            </w:r>
          </w:p>
        </w:tc>
        <w:tc>
          <w:tcPr>
            <w:tcW w:w="400" w:type="dxa"/>
            <w:vAlign w:val="bottom"/>
          </w:tcPr>
          <w:p>
            <w:pPr>
              <w:jc w:val="right"/>
              <w:ind w:right="16"/>
              <w:spacing w:after="0"/>
              <w:rPr>
                <w:sz w:val="20"/>
                <w:szCs w:val="20"/>
                <w:color w:val="auto"/>
              </w:rPr>
            </w:pPr>
            <w:r>
              <w:rPr>
                <w:rFonts w:ascii="Arial" w:cs="Arial" w:eastAsia="Arial" w:hAnsi="Arial"/>
                <w:sz w:val="18"/>
                <w:szCs w:val="18"/>
                <w:color w:val="auto"/>
                <w:w w:val="84"/>
              </w:rPr>
              <w:t>$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 —</w:t>
            </w:r>
          </w:p>
        </w:tc>
        <w:tc>
          <w:tcPr>
            <w:tcW w:w="220" w:type="dxa"/>
            <w:vAlign w:val="bottom"/>
          </w:tcPr>
          <w:p>
            <w:pPr>
              <w:spacing w:after="0"/>
              <w:rPr>
                <w:sz w:val="24"/>
                <w:szCs w:val="24"/>
                <w:color w:val="auto"/>
              </w:rPr>
            </w:pPr>
          </w:p>
        </w:tc>
        <w:tc>
          <w:tcPr>
            <w:tcW w:w="400" w:type="dxa"/>
            <w:vAlign w:val="bottom"/>
          </w:tcPr>
          <w:p>
            <w:pPr>
              <w:jc w:val="right"/>
              <w:ind w:right="19"/>
              <w:spacing w:after="0"/>
              <w:rPr>
                <w:sz w:val="20"/>
                <w:szCs w:val="20"/>
                <w:color w:val="auto"/>
              </w:rPr>
            </w:pPr>
            <w:r>
              <w:rPr>
                <w:rFonts w:ascii="Arial" w:cs="Arial" w:eastAsia="Arial" w:hAnsi="Arial"/>
                <w:sz w:val="18"/>
                <w:szCs w:val="18"/>
                <w:color w:val="auto"/>
                <w:w w:val="84"/>
              </w:rPr>
              <w:t>$ —</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400.0</w:t>
            </w: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r>
    </w:tbl>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Consistent with our obligation under our former credit facilities to obtain interest rate protection for at least $325 million of borrowings thereunder, in May 2003 and June 2003, we entered into two interest rate swap arrangements to hedge the underlying interest rate risk on a total of $825 million of our expected future borrowings under our former credit facilities, which bore interest at LIBOR plus 4% and LIBOR plus 5.5%, on the former revolving credit facility and the former term loan facility, respectively, and were to mature in October 2008 and October 2009, respectively.</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December 14, 2004, concurrent with the refinancing of Wynn Las Vegas’ debt structure, we terminated the two interest rate swaps. As a result of the termination, we received a cash of approximately $9.6 million in settlement of the related asset. The balance of $9.6 million in accumulated other comprehensive income related to those interest rate swaps will be amortized as a reduction to interest expense over the original contract life of the two interest rate swaps.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Also concurrent with the refinancing, we entered into two new interest rate swap arrangements to hedge the underlying interest rate risk on a total of $400.0 million of our expected future borrowings under our new term loan facility, which bears interest at LIBOR plus 2.125%. Under each of these two new interest rate swap arrangements, we will receive payments at a variable rate of LIBOR and pay a fixed rate of 3.793% on $200 million notional amount set forth in the swap instruments from February and March 2005, respectively through December 2008. These effective dates of the two swaps were designed to correspond with the amounts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timing of our expected borrowings under the new term loan facility. The interest rate swaps are expected to be effective as hedging instruments as long as sufficient LIBOR-based borrowings are outstanding under the new term loan facility, and effectively fixes the interest rate on borrowings under the new term loan facility at approximately 5.918%. Any ineffectiveness will increase our recorded interest expense in our consolidated financial statements.</w:t>
      </w:r>
    </w:p>
    <w:p>
      <w:pPr>
        <w:spacing w:after="0" w:line="9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December 31, 2003, we recorded in other assets the fair value of the net effect of the two former interest rate swaps of approximately $8.8 million. Because there had been no ineffectiveness in the hedging relationship, the corresponding change in fair value of equal amount was reported in other comprehensive income for the year ended December 31, 2003. As of December 31, 2004, we recorded in other assets the fair value of the net effect of the two new interest rate swaps of approximately $583,000. Because there has been no ineffectiveness in the hedging relationship, the corresponding change in fair value of equal amount is reported in other comprehensive income for the year ended December 31, 2004.</w:t>
      </w:r>
    </w:p>
    <w:p>
      <w:pPr>
        <w:spacing w:after="0" w:line="10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as of December 31, 2004 and using estimated future LIBOR rates based upon implied forward rates in the yield curve: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8"/>
          </w:tcPr>
          <w:p>
            <w:pPr>
              <w:jc w:val="right"/>
              <w:ind w:right="232"/>
              <w:spacing w:after="0"/>
              <w:rPr>
                <w:sz w:val="20"/>
                <w:szCs w:val="20"/>
                <w:color w:val="auto"/>
              </w:rPr>
            </w:pPr>
            <w:r>
              <w:rPr>
                <w:rFonts w:ascii="Arial" w:cs="Arial" w:eastAsia="Arial" w:hAnsi="Arial"/>
                <w:sz w:val="14"/>
                <w:szCs w:val="14"/>
                <w:b w:val="1"/>
                <w:bCs w:val="1"/>
                <w:color w:val="auto"/>
                <w:w w:val="91"/>
              </w:rPr>
              <w:t>Expected Averages as of December 31,</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95"/>
        </w:trPr>
        <w:tc>
          <w:tcPr>
            <w:tcW w:w="34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63"/>
        </w:trPr>
        <w:tc>
          <w:tcPr>
            <w:tcW w:w="3440" w:type="dxa"/>
            <w:vAlign w:val="bottom"/>
          </w:tcPr>
          <w:p>
            <w:pPr>
              <w:spacing w:after="0"/>
              <w:rPr>
                <w:sz w:val="22"/>
                <w:szCs w:val="22"/>
                <w:color w:val="auto"/>
              </w:rPr>
            </w:pPr>
          </w:p>
        </w:tc>
        <w:tc>
          <w:tcPr>
            <w:tcW w:w="2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4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Total</w:t>
            </w:r>
          </w:p>
        </w:tc>
      </w:tr>
      <w:tr>
        <w:trPr>
          <w:trHeight w:val="95"/>
        </w:trPr>
        <w:tc>
          <w:tcPr>
            <w:tcW w:w="34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50"/>
        </w:trPr>
        <w:tc>
          <w:tcPr>
            <w:tcW w:w="34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9"/>
              </w:rPr>
              <w:t>(in millions)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$333.3</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$400.0</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$400.0</w:t>
            </w: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Average pay rate</w:t>
            </w:r>
          </w:p>
        </w:tc>
        <w:tc>
          <w:tcPr>
            <w:tcW w:w="2520" w:type="dxa"/>
            <w:vAlign w:val="bottom"/>
            <w:gridSpan w:val="3"/>
          </w:tcPr>
          <w:p>
            <w:pPr>
              <w:jc w:val="right"/>
              <w:ind w:right="200"/>
              <w:spacing w:after="0"/>
              <w:rPr>
                <w:sz w:val="20"/>
                <w:szCs w:val="20"/>
                <w:color w:val="auto"/>
              </w:rPr>
            </w:pPr>
            <w:r>
              <w:rPr>
                <w:rFonts w:ascii="Arial" w:cs="Arial" w:eastAsia="Arial" w:hAnsi="Arial"/>
                <w:sz w:val="18"/>
                <w:szCs w:val="18"/>
                <w:color w:val="auto"/>
              </w:rPr>
              <w:t>3.79%</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3.79%</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3.79%</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For the year ended December 31, 2004, certain amounts of our outstanding indebtedness for the year was based upon a variable, LIBOR rate plus a premium. A 1% increase in the LIBOR would have increased our interest cost for 2004 by approximately $1.6 million.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Wynn Las Vegas, LLC was formed on April 17, 2001 as a Nevada limited-liability company. Originally named Hotel A, LLC, its name was changed to Wynn Las Vegas, LLC on May 15, 2002. Unless the context otherwise requires, all references herein to the “Company,” “we,” “us” or “our,” or similar terms, refer to Wynn Las Vegas, LLC, a Nevada corporation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$2.7 billion destination resort and casino on the site of the former Desert Inn Resort and Casino (the “Desert Inn”) on “the Strip” in Las Vegas, Nevada, which will open to the public on April 28, 2005.</w:t>
      </w:r>
    </w:p>
    <w:p>
      <w:pPr>
        <w:spacing w:after="0" w:line="10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2004, the Company owned the one share that was issued and outstanding. At and for the period from its inception through December 31, 2004, Wynn Capital has neither any significant net assets nor any operating activity. Its sole function is to serve as the co-issuer of the mortgage notes described below. Wynn Las Vegas, LLC and Wynn Capital together are hereafter referred to as the “Issuers”.</w:t>
      </w:r>
    </w:p>
    <w:p>
      <w:pPr>
        <w:spacing w:after="0" w:line="1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October 25, 2002, Wynn Resorts completed the initial public offering of approximately $450.0 million of its common stock (before underwriting discounts and commissions), the Issuers concurrently issued $370.0 million aggregate principal amount of 12% second mortgage notes due 2010 (the “Second Mortgage Notes”) and the Company obtained commitments for approximately $1.2 billion of various credit facilities. Capital contributions from Wynn Resorts, the proceeds of the Second Mortgage Notes and borrowings under the new credit facilities were used to fund construction of Wynn Las Vegas. Also in October 2002, Valvino Lamore, LLC, Wynn Resorts’ predecessor (“Valvino”) transferred certain of its assets directly to the Company, including its 100% equity interests in both World Travel, LLC (“World Travel”) and Las Vegas Jet, LLC (“Las Vegas Jet”), companies which own and operate, respectively, the Company’s aircraft.</w:t>
      </w:r>
    </w:p>
    <w:p>
      <w:pPr>
        <w:spacing w:after="0" w:line="107" w:lineRule="exact"/>
        <w:rPr>
          <w:sz w:val="20"/>
          <w:szCs w:val="20"/>
          <w:color w:val="auto"/>
        </w:rPr>
      </w:pPr>
    </w:p>
    <w:p>
      <w:pPr>
        <w:ind w:right="220" w:firstLine="456"/>
        <w:spacing w:after="0" w:line="278" w:lineRule="auto"/>
        <w:rPr>
          <w:sz w:val="20"/>
          <w:szCs w:val="20"/>
          <w:color w:val="auto"/>
        </w:rPr>
      </w:pPr>
      <w:r>
        <w:rPr>
          <w:rFonts w:ascii="Arial" w:cs="Arial" w:eastAsia="Arial" w:hAnsi="Arial"/>
          <w:sz w:val="16"/>
          <w:szCs w:val="16"/>
          <w:color w:val="auto"/>
        </w:rPr>
        <w:t xml:space="preserve">On December 14, 2004, the Company effected a series of transactions to refinance its debt and to facilitate the development of a second casino resort known as “Encore at Wynn Las Vegas” on land adjacent to Wynn Las Vegas. These transactions included, among other things, issuance by the Issuers of $1.3 billion of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(the “First Mortgage Notes”), a tender offer for all of the outstanding Second Mortgage Notes, satisfaction and discharge of the remaining Second Mortgage Notes, and replacement of the Company’s previous credit facilities with new credit facilities.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We own and will operate Wynn Las Vegas. This new destination casino resort, which will open to the public on April 28, 2005, is the concept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Stephen A. Wynn, the Chairman of the Board and Chief Executive Officer and one of the principal stockholders of Wynn Resorts. From 1973 to 2000, Mr. Wynn was Chairman of the Board, President and Chief Executive Officer of Mirage Resorts, Incorporated and its predecessors. In that role, he was responsible for overseeing the development and operation of the Bellagio, The Mirage, Treasure Island at The Mirage and the Golden Nugget—Las Vegas in Las Vegas, Nevada, as well as the Atlantic City Golden Nugget in New Jersey and the Beau Rivage in Biloxi, Mississippi. Our management believes that Wynn Las Vegas will set a new standard of luxury and elegance for destination casino resorts in Las Vegas.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Wynn Las Vegas is located on Las Vegas Boulevard (the “Las Vegas Strip” or the “Strip”) on the site of the former Desert Inn, at the northeast corner of the intersection of the Strip and Sands Avenue, one-half block north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of The Venetian and Treasure Island at The Mirage and across the Strip from the recently expanded Fashion Show Mall. Wynn Las Vegas also is adjacent to both the Sands Expo Center and Las Vegas Convention Center, which together contain more than 3.2 million square feet of convention space. Wynn Las Vegas occupies approximately 215 acres of land, consisting of a hotel casino on 55 acres of land, a new golf course occupying approximately 142 acres of land and approximately 18 acres of land for employee parking across Sands Avenue from the hotel casino. Encore will occupy an additional 20 acres of land on the Las Vegas Strip immediately adjacent to Wynn Las Vegas.</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Las Vegas will feature 2,716 luxurious guest rooms and suites, an approximately 111,000 square foot casino, 18 dining outlets, an on-site 18-hole golf course, approximately 223,000 square feet of meeting space, an on-site Ferrari and Maserati dealership and approximately 76,290 square feet of retail space. The resort will also have two showrooms featuring live entertainment productions. The Wynn Theater will open concurrently with Wynn Las Vegas and will feature “Le Rêve, A Small Collection of Imperfect Dreams,” a water-based show produced by Franco Dragone, who created “O,” “Mystère” and the Celine Dion show. Our second showroom is expected to open during the third quarter of 2005, and will feature the 2004 Tony Award winning Broadway musical, “Avenue Q.”</w:t>
      </w:r>
    </w:p>
    <w:p>
      <w:pPr>
        <w:spacing w:after="0" w:line="10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construction of Wynn Las Vegas is nearing substantial completion and remains within the project budget. The general contractor has completed the majority of the work and is currently in the process of completing the exterior site work and interior finishes. In support of our preopening efforts, we are currently occupying portions of Wynn Las Vegas under a Temporary Certificate of Occupancy (“TCO”) issued by the Clark County Building Department, including:</w:t>
      </w:r>
    </w:p>
    <w:p>
      <w:pPr>
        <w:spacing w:after="0" w:line="4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Wynn Theater;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Meeting and convention facilities;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Warehouse and receiving;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Engineering and shop areas;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Administrative offices, the staff dining room, kitchens and other back of house support facilities..</w:t>
      </w:r>
    </w:p>
    <w:p>
      <w:pPr>
        <w:spacing w:after="0" w:line="1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been accepting room reservations by telephone since January 2005 and via the Internet since February 2005 (www.wynnlasvegas.com). We also have been booking conventions for more than a year. We and all of our key employees were approved by the Nevada Gaming Commission to conduct gaming activities in Las Vegas, Nevada on March 24, 2005.</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The Hotel. </w:t>
      </w:r>
      <w:r>
        <w:rPr>
          <w:rFonts w:ascii="Arial" w:cs="Arial" w:eastAsia="Arial" w:hAnsi="Arial"/>
          <w:sz w:val="18"/>
          <w:szCs w:val="18"/>
          <w:color w:val="auto"/>
        </w:rPr>
        <w:t>Wynn Las Vegas’ hotel tower will contain 45 floors of hotel rooms and suites on top of a five-story low-rise building housing the casino,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restaurants, retail outlets and entertainment and recreational venues. The hotel also will feature a three-story low-rise with 36 fairway villas situated along the golf course. The building has a total area of approximately 5.2 million square feet. The high-rise building is configured in the shape of a gentle arc with the focal point of the arc being the Wynn Las Vegas man-made, lake-mountain feature situated in front of the hotel. The hotel guest main arrival area features an atrium garden adjacent to the registration desk with a view of the lake-mountain feature, which provides special effects intended to entertain hotel guests and other visitors who come to the resort.</w:t>
      </w:r>
    </w:p>
    <w:p>
      <w:pPr>
        <w:spacing w:after="0" w:line="13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The 2,359 standard guest rooms will be decorated with sophisticated interior design elements and are equipped with plush comforts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large, elegant bathrooms, European linens and bedding, and flat screen televisions in both the living and bathroom areas. The standard guest rooms have a floor layout of approximately 620 square feet, which is 100 to 125 square feet more than the industry standard for a guest room. The arc-shaped design of our high-rise building will provide rooms with a view of the Las Vegas Strip, the golf course, the lake-mountain feature or the surrounding mountains. Wynn Las Vegas includes single and multiple bedroom luxury suites with superior amenities and furnishings designed to accommodate high-end hotel guests.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Many suites include private massage rooms. Wynn Las Vegas offers 270 parlor and salon suites, 45 executive suites, 36 one- and two-bedroom fairway villas, and six private-entry villas averaging approximately 7,000 square feet.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The Casino. </w:t>
      </w:r>
      <w:r>
        <w:rPr>
          <w:rFonts w:ascii="Arial" w:cs="Arial" w:eastAsia="Arial" w:hAnsi="Arial"/>
          <w:sz w:val="18"/>
          <w:szCs w:val="18"/>
          <w:color w:val="auto"/>
        </w:rPr>
        <w:t>Wynn Las Vegas will have an approximately 111,000 square foot casino located in the center of the first level of the low-rise building.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casino’s main gaming area contains an estimated 137 table games and 1,960 slot machines, a race and sports book, poker room, keno lounge, a baccarat salon and VIP gaming rooms. Our gaming limits will accommodate a full range of casino customers.</w:t>
      </w:r>
    </w:p>
    <w:p>
      <w:pPr>
        <w:spacing w:after="0" w:line="12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The Golf Course. </w:t>
      </w:r>
      <w:r>
        <w:rPr>
          <w:rFonts w:ascii="Arial" w:cs="Arial" w:eastAsia="Arial" w:hAnsi="Arial"/>
          <w:sz w:val="16"/>
          <w:szCs w:val="16"/>
          <w:color w:val="auto"/>
        </w:rPr>
        <w:t>We have constructed a world-class, 18-hole golf course at the site of the former Desert Inn golf course. When Wynn Las Vegas opens,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golf course will be the only golf course on the site of a hotel casino resort on the Las Vegas Strip. Tom Fazio and Mr. Wynn, the designers of the Shadow Creek golf course owned by MGM MIRAGE, have designed Wynn Las Vegas’ golf course, which may be played only by hotel guests of Wynn Las Vegas. The golf course will feature three lakes and a series of meandering streams that will carve their way from the west to east end of the property. The golf course will feature dramatic elevation changes and water on almost every hole. The golf course is substantially complete.</w:t>
      </w:r>
    </w:p>
    <w:p>
      <w:pPr>
        <w:spacing w:after="0" w:line="10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Restaurants, Lounges, Bars and Nightclubs. </w:t>
      </w:r>
      <w:r>
        <w:rPr>
          <w:rFonts w:ascii="Arial" w:cs="Arial" w:eastAsia="Arial" w:hAnsi="Arial"/>
          <w:sz w:val="18"/>
          <w:szCs w:val="18"/>
          <w:color w:val="auto"/>
        </w:rPr>
        <w:t>Wynn Las Vegas will have 18 food and beverage outlets, including six fine-dining restaurants and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600-seat buffet, and has engaged signature chefs to provide unique experiences to appeal to our guests. Wynn Las Vegas also will offer a full complement of lounges, bars and nightclubs.</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The Wynn Theater. </w:t>
      </w:r>
      <w:r>
        <w:rPr>
          <w:rFonts w:ascii="Arial" w:cs="Arial" w:eastAsia="Arial" w:hAnsi="Arial"/>
          <w:sz w:val="16"/>
          <w:szCs w:val="16"/>
          <w:color w:val="auto"/>
        </w:rPr>
        <w:t>The Wynn Theater in Wynn Las Vegas will offer “Le Rêve, A Small Collection of Imperfect Dreams,” Franco Dragone’s new water-based entertainment production. Mr. Dragone is the creative force behind the Bellagio’s production of “O” and Treasure Island at The Mirage’s production of “Mystère,” as well as Celine Dion’s production at the approximately 4,000-seat performing arts “Colosseum” at Caesars Palace, which opened in March of 2003.</w:t>
      </w:r>
    </w:p>
    <w:p>
      <w:pPr>
        <w:spacing w:after="0" w:line="93"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The Wynn Theater will seat approximately 2,080 guests and feature an approximately 1,000,000 gallon performance pool. The seating for the Wynn Theater extends around the performance area a full 360 degrees and no seat is farther than approximately 42 feet from the performance area. The theater is substantially complete and rehearsals commenced in January 2005.</w:t>
      </w:r>
    </w:p>
    <w:p>
      <w:pPr>
        <w:spacing w:after="0" w:line="127"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Wynn Las Vegas also will offer an art gallery displaying rare paintings from The Wynn Collection, a private collection of fine art owned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Mr. and Mrs. Wynn. The Wynn Collection consists primarily of works from 19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century European and American masters, and at various times has included works by Pierre-Auguste Renoir, Paul Cézanne, Paul Gaugin, Édouard Manet, Henri Matisse, Amedeo Modigliani, Claude Monet, Pablo Picasso, and Vincent Van Gogh. Subject to certain notice restrictions, Mr. and Mrs. Wynn will have the right to remove or replace any or all of the works of art displayed in the art gallery. Upon opening Wynn Las Vegas, we will lease The Wynn Collection from Mr. and Mrs. Wynn for an annual fee of $1. The arrangement entitles us to retain all revenues from the public display of The Wynn Collection and the related merchandising revenues, while we are responsible for all expenses incurred in exhibiting and safeguarding The Wynn Collection, including the cost of insurance (including terrorism insurance) and taxes relating to the rental of the Wynn Collection. After specified notice periods, we or Mr. and Mrs. Wynn may terminate this lease.</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The Ferrari and Maserati Dealership. </w:t>
      </w:r>
      <w:r>
        <w:rPr>
          <w:rFonts w:ascii="Arial" w:cs="Arial" w:eastAsia="Arial" w:hAnsi="Arial"/>
          <w:sz w:val="16"/>
          <w:szCs w:val="16"/>
          <w:color w:val="auto"/>
        </w:rPr>
        <w:t>Wynn Las Vegas will have on-site an authorized, full-service Ferrari and Maserati dealership, including a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maintenance facility. Currently, there are only 32 Ferrari and 45 Maserati dealerships in the United States, and our dealership will be the first in Nevada. The dealership will be located near the main entrance to the hotel. Our affiliate, Kevyn, LLC, has formed a joint venture with United Auto Group, a New York Stock Exchange-listed operator of auto dealerships whose largest shareholder is the Penske Corporation. United Auto Group is experienced in first class, exotic car dealership operations, and will be primarily responsible for the management and operation of the dealership through the joint venture. Kevyn, LLC</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and United Auto Group are both required to invest an initial $1.0 million in the joint venture for working capital, and the joint venture is required to pay market rent for the space to operate the dealership, pay for tenant improvements and allocate profits and losses equally to United Auto Group and Kevyn, LLC.</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Designs and plans for the dealership have been submitted and approved by Ferrari North America and Maserati North America. The dealership must satisfy certain financing and other ongoing conditions, including minimum working capital and net worth requirements, and we must also provide quarterly updates as to the status of construction of Wynn Las Vegas and continuously meet all capital, facility, personnel, customer satisfaction and operational standards of Ferrari North America and Maserati North America. Under the agreements with Ferrari North America and Maserati North America, Mr. Wynn may not hold less than 20% of Wynn Resorts’ issued and outstanding voting stock without the prior written approval of Ferrari North America and Maserati North America, which approval will not be unreasonably withheld. Mr. Wynn currently meets and, is expected to continue to meet, this requirement. The Dealership is required to commence operations by April 28, 2005.</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Retail Space. </w:t>
      </w:r>
      <w:r>
        <w:rPr>
          <w:rFonts w:ascii="Arial" w:cs="Arial" w:eastAsia="Arial" w:hAnsi="Arial"/>
          <w:sz w:val="18"/>
          <w:szCs w:val="18"/>
          <w:color w:val="auto"/>
        </w:rPr>
        <w:t>Wynn Las Vegas will include approximately 76,290 square feet dedicated to 31 retail shops. We have entered into leases for five retail outlets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Cartier, Chanel, Christian Dior, Graff and Louis Vuitton. We or other retailers will operate the remaining stores, including a golf shop and other shops selling, among other things, men’s clothing, women’s apparel and accessories, women’s shoes, art, watches, jewelry, sundries and proprietary Wynn Las Vegas products, either under license agreements or through joint ventures with other high-end, brand-name retailers such as Brioni, Oscar de la Renta, Jean Paul Gaultier, Anne Geddes, Judith Lieber and Jo Malone.</w:t>
      </w:r>
    </w:p>
    <w:p>
      <w:pPr>
        <w:spacing w:after="0" w:line="129"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b w:val="1"/>
          <w:bCs w:val="1"/>
          <w:i w:val="1"/>
          <w:iCs w:val="1"/>
          <w:color w:val="auto"/>
        </w:rPr>
        <w:t xml:space="preserve">Spa, Salon and Fitness Complex. </w:t>
      </w:r>
      <w:r>
        <w:rPr>
          <w:rFonts w:ascii="Arial" w:cs="Arial" w:eastAsia="Arial" w:hAnsi="Arial"/>
          <w:sz w:val="15"/>
          <w:szCs w:val="15"/>
          <w:color w:val="auto"/>
        </w:rPr>
        <w:t>Wynn Las Vegas will offer an approximately 38,000 square foot world-class spa, salon and fitness complex offering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high-end spa treatments and fitness equipment and custom label and branded skin and body treatment products, as well as clothing, accessories, and athletic wear.</w:t>
      </w:r>
    </w:p>
    <w:p>
      <w:pPr>
        <w:spacing w:after="0" w:line="4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Wynn Las Vegas will offer its guests five outdoor swimming pools and two whirlpool spas. Two swimming pools will be dedicated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exclusive use of our suite guests. All of the pool areas feature private cabanas and lush landscaping.</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Convention, Meeting and Reception Facilities. </w:t>
      </w:r>
      <w:r>
        <w:rPr>
          <w:rFonts w:ascii="Arial" w:cs="Arial" w:eastAsia="Arial" w:hAnsi="Arial"/>
          <w:sz w:val="16"/>
          <w:szCs w:val="16"/>
          <w:color w:val="auto"/>
        </w:rPr>
        <w:t>Wynn Las Vegas will feature approximately 223,000 square feet of convention, meeting and reception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space (including corridors and patio space), including a grand ballroom, a junior ballroom and meeting rooms with outdoor patios overlooking either the pool area or the golf course, as well as boardrooms and a business center. Covered patios off the meeting rooms are available as pre-function or break-out areas.</w:t>
      </w:r>
    </w:p>
    <w:p>
      <w:pPr>
        <w:spacing w:after="0" w:line="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Wedding Chapels. </w:t>
      </w:r>
      <w:r>
        <w:rPr>
          <w:rFonts w:ascii="Arial" w:cs="Arial" w:eastAsia="Arial" w:hAnsi="Arial"/>
          <w:sz w:val="18"/>
          <w:szCs w:val="18"/>
          <w:color w:val="auto"/>
        </w:rPr>
        <w:t>Wynn Las Vegas will have two intimate wedding chapels. The larger chapel may accommodate 120 guests while the smaller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accommodate 65 guests. There is also a private outdoor courtyard, which may accommodate up to 40 guests, available for pre-event cocktails, day and evening weddings, post-ceremony cake and champagne or an intimate post-event cocktail party.</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Parking. </w:t>
      </w:r>
      <w:r>
        <w:rPr>
          <w:rFonts w:ascii="Arial" w:cs="Arial" w:eastAsia="Arial" w:hAnsi="Arial"/>
          <w:sz w:val="16"/>
          <w:szCs w:val="16"/>
          <w:color w:val="auto"/>
        </w:rPr>
        <w:t>Wynn Las Vegas will have two parking garages, a surface parking lot and an underground valet parking facility for its hotel guests, other visitors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employees. We kept and expanded the former Desert Inn parking garage for Wynn Las Vegas’ use and constructed the second parking garage as well as the underground valet parking. Our parking garages will provide easy access to our hotel. The second level of the newly constructed hotel parking garage connects to a retail promenade that will lead to the casino. We also have a separate surface parking lot for employees on the 18-acre parcel across Sands Avenue adjacent to Wynn Las Vegas. In total, there are approximately 5,830 parking spaces available to guests, visitors and employees of Wynn Las Vegas. The parking garages are substantially complete and currently being used for parking by employees and construction personnel.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Entertainment Productions. </w:t>
      </w:r>
      <w:r>
        <w:rPr>
          <w:rFonts w:ascii="Arial" w:cs="Arial" w:eastAsia="Arial" w:hAnsi="Arial"/>
          <w:sz w:val="18"/>
          <w:szCs w:val="18"/>
          <w:color w:val="auto"/>
        </w:rPr>
        <w:t>Wynn Las Vegas will have two showrooms. The Wynn Theater described above will present “Le Rêve, a small collection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imperfect dreams” upon the opening of Wynn Las Vegas on April 28, 2005. The second showroom, which will be completed in the third quarter of 2005, will present the Tony-Award winning Broadway musical, “Avenue Q.”</w:t>
      </w:r>
    </w:p>
    <w:p>
      <w:pPr>
        <w:spacing w:after="0" w:line="12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 xml:space="preserve">Le Rêve. </w:t>
      </w:r>
      <w:r>
        <w:rPr>
          <w:rFonts w:ascii="Arial" w:cs="Arial" w:eastAsia="Arial" w:hAnsi="Arial"/>
          <w:sz w:val="18"/>
          <w:szCs w:val="18"/>
          <w:color w:val="auto"/>
        </w:rPr>
        <w:t>We have entered into license and production services agreements for the creation, development and production of “Le Rêve, A Small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Imperfect Dreams.” Franco Dragone is the executive producer and principal creator of the water-based show production, which is currently in rehearsal in the Wynn Theater.</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these two ten-year license and production services agreements, which have five-year renewal options, we paid Mr. Dragone’s production company a $2.0 million up-front creation fee and, upon the opening of the show, will pay a royalty of 10% of the net retail revenues and 50% of the show’s profits. We also have an option with respect to a second production for Wynn Las Vegas or for another project. We or one of our affiliates will be required to pay $1.0 million if we exercise the option.</w:t>
      </w:r>
    </w:p>
    <w:p>
      <w:pPr>
        <w:spacing w:after="0" w:line="130"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As part of the show licensing and production agreements, Wynn Resorts granted to the production company an award of 189,723 shares of restricted stock. The restricted stock will vest on June 30, 2006. However, the restricted stock will not vest, but instead will be immediately cancelled and retired, if, as of June 30, 2006, the entertainment production at Wynn Las Vegas has not commenced or has been cancelled due to any act or omission of the production company.</w:t>
      </w:r>
    </w:p>
    <w:p>
      <w:pPr>
        <w:spacing w:after="0" w:line="7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Avenue Q. </w:t>
      </w:r>
      <w:r>
        <w:rPr>
          <w:rFonts w:ascii="Arial" w:cs="Arial" w:eastAsia="Arial" w:hAnsi="Arial"/>
          <w:sz w:val="18"/>
          <w:szCs w:val="18"/>
          <w:color w:val="auto"/>
        </w:rPr>
        <w:t>We have purchased the exclusive rights to produce and present “Avenue Q” in the United States and Canada. We have already paid $2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$5 million purchase price. Another $1 million will be paid in April 2005 and the final $2 million installment will be paid immediately after opening and presenting “Avenue Q” in our second showroom expected to open in the third quarter of 2005.</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also entered into a Production Services Agreement with the producer of “Avenue Q” for the production services necessary to present the show. The initial term of the agreement is from the opening of the show through December 31, 2006, and the agreement is renewable for one-year terms if the annual Show Net Profits, as defined in the agreement, is equal to or greater than $2 million. Under the terms of the agreement, we are required to advance to the producer $2 million to fund the costs of producing “Avenue Q.” We have advanced approximately $1.1 million of these expected costs to date and will further advance an additional $900,000 in the third quarter of 2005. In addition, we will pay the producer $15,000 per performance to pay for the costs of presenting the show and we will receive rental payments amounting to 11% of the final project cost annually. Furthermore, Wynn Las Vegas will pay the producer 60% of both the Show Net Profits and Merchandise Net Profits, as defined in the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 continues to refine the scope and design of Encore. Previously, Encore was to include a hotel tower with approximately 1,500 mini-suites, a small amount of ancillary gaming space, restaurants, a spa, swimming pools, additional retail and approximately 30,000 square feet of meeting rooms. It was expected to cost no more than $900 million and to open in the second half of 2007. As initially planned, Encore was an addition to Wynn Las Vegas.</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Due to anticipated demand for Wynn Las Vegas, continued strength in the Las Vegas market, and our desire to maximize the potential of our substantial real estate assets, the Company anticipates a significant increase in the scope of Encore, elevating it to the status of a free standing casino resort; one which is integrated with Wynn Las Vegas through its public space. Although the scope and design of the project have not been finalized, and remain subject to the approval of the Board of Directors, we now expect that Encore will include approximately 2,000 full suites in its hotel tower—meaning separate living rooms and bedrooms in each unit—as well as significant additional casino, convention and meeting space, additional entertainment venues, restaurants, a spa and salon, swimming pools and retail space. We currently anticipate that Encore will open in the first half of 2008.</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Budget and Financing for Wynn Las Vegas and Encore</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Wynn Las Vegas. </w:t>
      </w:r>
      <w:r>
        <w:rPr>
          <w:rFonts w:ascii="Arial" w:cs="Arial" w:eastAsia="Arial" w:hAnsi="Arial"/>
          <w:sz w:val="16"/>
          <w:szCs w:val="16"/>
          <w:color w:val="auto"/>
        </w:rPr>
        <w:t>Wynn Design &amp; Development, LLC (“Wynn Design and Development”), a design and development subsidiary of Wynn Resorts,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responsible for the design and architecture of Wynn Las Vegas (except for the Wynn Theater, the golf course and the hotel parking garage) and for managing construction costs and risks associated with the Wynn Las Vegas project. Marnell Corrao Associates (“Marnell Corrao”) is the builder and general contractor for Wynn Las Vegas (except for the hotel parking garage and the golf course). Marnell Corrao has had extensive experience in building large Las Vegas destination resorts, including the Bellagio, The Mirage, Treasure Island at The Mirage and New York-New York Hotel and Casino.</w:t>
      </w:r>
    </w:p>
    <w:p>
      <w:pPr>
        <w:spacing w:after="0" w:line="10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Wynn Las Vegas’ project budget, excluding the incremental cost anticipated for Encore, was, as of December 31, 2004, approximately $2.7 billion, including the cost of acquiring approximately 235 acres of land, costs of design and construction, capitalized interest, pre-opening expenses, financing fees and construction contingencies. Determination of the final project cost is subject to a complete accounting after the date of final completion (as defined in the contract with the general contractor), which will occur in late 2005. Through December 31, 2004, we had funded approximately $2.0 billion of project costs primarily from a combination cash contributions from Wynn Resorts, proceeds from the issuance of our recently discharged Second Mortgage Notes and borrowings under our previous credit facilities. As of December 31, 2004, we estimated that approximately $670 million would be needed to complete Wynn Las Vegas.</w:t>
      </w:r>
    </w:p>
    <w:p>
      <w:pPr>
        <w:spacing w:after="0" w:line="10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December 2004, we received an additional contribution of $400.0 million from Wynn Resorts and we effected a series of transactions to refinance our debt and raise additional funds for Encore. These transactions included, among other things, issuance by the Issuers of $1.3 billion of First Mortgage Notes, a tender offer for all of the outstanding Second Mortgage Notes, satisfaction and discharge of the remaining Second Mortgage Notes, and replacement of our previous credit facilities with new credit facilities. The new credit facilities bear interest at LIBOR plus 2.25% on the revolving credit facility (the “Revolver”) and LIBOR plus 2.125% on the term loan facility (the “Term Loans”).</w:t>
      </w:r>
    </w:p>
    <w:p>
      <w:pPr>
        <w:spacing w:after="0" w:line="102"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In connection with the refinancing, we recorded a loss on the extinguishment of debt of approximately $92.7 million. This loss consists of the Second Mortgage Notes tender premium and associated consent fees of approximately $62.9 million, a prepayment penalty on one of the previous credit facilities of approximately $1.6 million, the writeoff of the tendered portion of the original issue discount relating to the Second Mortgage Notes of approximately $12.6 million and writeoffs of debt issue costs associated with the Second Mortgage Notes and the previous credit facilities of approximately $15.6 million. The refinancing lowered our overall cost of borrowing and also provided the financial flexibility to allow for the further development of our real estate assets.</w:t>
      </w:r>
    </w:p>
    <w:p>
      <w:pPr>
        <w:spacing w:after="0" w:line="10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$400.0 million contribution from Wynn Resorts, a portion of the remaining proceeds of our First Mortgage Notes and availability under our new credit facilities are expected to provide sufficient funds to complete and open Wynn Las Vegas. In addition, we have a $50.0 million completion guarantee balance and a $30.0 million liquidity reserve available for Wynn Las Vegas. Wynn Resorts is not a guarantor of the new financing and is not obligated to apply any of its funds to the Wynn Las Vegas project, although it has more than $300.0 million in cash that can be made available to us, if necessary.</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Of the estimated $2.7 billion total development cost for Wynn Las Vegas, the design and construction costs are budgeted to be approximately $1.6 billion, including the cost of constructing the golf course and hotel parking garage, as well as the entertainment production costs. The remaining approximately $1.1 billion of development costs includes costs such as pre-opening expenses, land acquisition costs, construction period interest, financing fees and certain furniture, fixtures and equipment, such as slot machines, computer equipment and kitchen and dining supplies.</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an effort to manage our construction risk, we entered into a guaranteed maximum price construction contract, as amended, with Marnell Corrao, guaranteeing timely construction and covering approximately $1.1 billion of the budgeted $1.6 billion design and construction cost. The $1.1 billion guaranteed maximum includes the actual construction costs, a $34.4 million lump-sum contractor’s fee, payment and performance bond costs, certain insurance and a $5.1 million owner-controlled contingency to cover, among other things, owner-created delays and scope changes.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Under certain circumstances, we will be responsible for excess costs with respect to Wynn Las Vegas. The guaranteed maximum price is subject to increases upon certain occurrences including, among other things, scope changes to the project.</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Wynn Las Vegas is currently on budget and scheduled to be completed for the grand opening on April 28, 2005. In addition to the guaranteed maximum price provisions of the construction contract, we have implemented specific mechanisms that are intended to reduce the risk of construction cost overruns and delays, including:</w:t>
      </w:r>
    </w:p>
    <w:p>
      <w:pPr>
        <w:spacing w:after="0" w:line="4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$150.0 million contractor performance and payment bond securing Marnell Corrao’s obligations under the construction contract;</w:t>
      </w:r>
    </w:p>
    <w:p>
      <w:pPr>
        <w:spacing w:after="0" w:line="103"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37" w:lineRule="exact"/>
        <w:rPr>
          <w:rFonts w:ascii="Arial" w:cs="Arial" w:eastAsia="Arial" w:hAnsi="Arial"/>
          <w:sz w:val="18"/>
          <w:szCs w:val="18"/>
          <w:color w:val="auto"/>
        </w:rPr>
      </w:pPr>
    </w:p>
    <w:p>
      <w:pPr>
        <w:ind w:left="900" w:right="400" w:hanging="446"/>
        <w:spacing w:after="0" w:line="347"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liquidated damages provision requiring Marnell Corrao to pay us $300,000 for each day the substantial completion of construction is delayed, following a five-day grace period and subject to force majeure and other permitted exceptions, up to a maximum amount of $9.0 million; and</w:t>
      </w: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construction contingency of $5.0 million.</w:t>
      </w:r>
    </w:p>
    <w:p>
      <w:pPr>
        <w:spacing w:after="0" w:line="1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2004, approximately $509.2 million of the $1.6 billion budgeted design and construction cost expenditures are not part of the Marnell Corrao guaranteed maximum price contract. These budgeted costs include:</w:t>
      </w:r>
    </w:p>
    <w:p>
      <w:pPr>
        <w:spacing w:after="0" w:line="37" w:lineRule="exact"/>
        <w:rPr>
          <w:sz w:val="20"/>
          <w:szCs w:val="20"/>
          <w:color w:val="auto"/>
        </w:rPr>
      </w:pPr>
    </w:p>
    <w:p>
      <w:pPr>
        <w:ind w:left="900" w:right="380" w:hanging="446"/>
        <w:spacing w:after="0" w:line="325"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owner-managed interior furniture, fixtures and equipment, construction of restaurant and retail spaces, including tenant allowances, signage and electronic systems, site work and exterior features, all at a budgeted cost of approximately $310.9 million;</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$70.3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entertainment production costs of approximately $34.4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$23.1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$19.9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$14.3 million;</w:t>
      </w:r>
    </w:p>
    <w:p>
      <w:pPr>
        <w:spacing w:after="0" w:line="103" w:lineRule="exact"/>
        <w:rPr>
          <w:rFonts w:ascii="Arial" w:cs="Arial" w:eastAsia="Arial" w:hAnsi="Arial"/>
          <w:sz w:val="18"/>
          <w:szCs w:val="18"/>
          <w:color w:val="auto"/>
        </w:rPr>
      </w:pPr>
    </w:p>
    <w:p>
      <w:pPr>
        <w:ind w:left="900" w:right="560" w:hanging="446"/>
        <w:spacing w:after="0" w:line="325"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construction of the hotel parking garage at a budgeted cost of approximately $11.1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contingency of approximately $5.0 million.</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Encore at Wynn Las Vegas. </w:t>
      </w:r>
      <w:r>
        <w:rPr>
          <w:rFonts w:ascii="Arial" w:cs="Arial" w:eastAsia="Arial" w:hAnsi="Arial"/>
          <w:sz w:val="16"/>
          <w:szCs w:val="16"/>
          <w:color w:val="auto"/>
        </w:rPr>
        <w:t>We expect that the portion of the proceeds from the sale of the First Mortgage Notes remaining after completion of Wynn Las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Vegas, together with remaining availability under the new credit facilities and cash flow from the operations of Wynn Las Vegas, will be sufficient to fund Encore project costs of up to $1.4 billion without incurring additional debt or receiving additional capital contributions from Wynn Resorts. We are permitted to spend up to $100.0 million from the proceeds of the First Mortgage Notes and our new credit facilities to fund costs related to Encore prior to the time the Encore Budget, Plans and Specifications are approved by a majority of the arrangers or a majority of the lenders under our new credit facilities. Availability of funds in excess of this amount and commencement of construction of Encore are subject to approval of the Encore Budget, Plans and Specifications by June 30, 2005. If this approval is not obtained prior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to June 30, 2005, availability under the credit agreement is reduced by $550 million. Once we have finalized the scope and plans for Encore, we will seek necessary consents and approvals from our lenders and noteholders.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completion of Wynn Las Vegas, if the Encore Budget, Plans and Specifications are approved, at least $30.0 million is required to be on deposit in this completion guarantee collateral account to provide contingent funds for the completion of Encore. These funds will become gradually available to us for Encore’s project costs as construction progresses. To the extent these amounts are committed for use, the Encore project budget will increase correspondingly. Encore is expected to open in the first half of 2008.</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the indenture trustee for the First Mortgage Notes and the agent of the lenders under the new credit facilities have entered into an amended and restated disbursement agreement to (i) regulate the holding and investment of the proceeds of the new credit facilities and the First Mortgage Notes as well as any capital contribution we make to Wynn Las Vegas, LLC and (ii) establish the restrictive conditions for, and sequencing of, funding construction costs and procedures for approving, and limitations and restrictions on, change orders and amendments to the construction schedule and budget.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Showcase the “Wynn Brand.” </w:t>
      </w:r>
      <w:r>
        <w:rPr>
          <w:rFonts w:ascii="Arial" w:cs="Arial" w:eastAsia="Arial" w:hAnsi="Arial"/>
          <w:sz w:val="16"/>
          <w:szCs w:val="16"/>
          <w:color w:val="auto"/>
        </w:rPr>
        <w:t>Mr. Wynn’s involvement with Wynn Las Vegas provides a distinct advantage over other gaming enterprises. We believe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Wynn is widely viewed as the premier designer, developer and operator of destination casino resorts in Las Vegas and, as such, has developed a “brand name” status. In the major destination casino resorts he has previously developed, Mr. Wynn successfully developed a formula which integrates luxurious surroundings, upscale design, distinctive entertainment and superior amenities, including fine dining and premium retail offerings, to create resorts that appeal to a variety of customers, especially high-end customers. We believe that Wynn Las Vegas is Mr. Wynn’s most innovative work to date and will set a new standard of luxury and elegance for destination casino resorts in Las Vegas, much as the Bellagio and The Mirage did when they were built by Mirage Resorts, Incorporated under the guidance of Mr. Wynn.</w:t>
      </w:r>
    </w:p>
    <w:p>
      <w:pPr>
        <w:spacing w:after="0" w:line="1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Create the Preeminent Destination Casino Resort on the Las Vegas Strip. </w:t>
      </w:r>
      <w:r>
        <w:rPr>
          <w:rFonts w:ascii="Arial" w:cs="Arial" w:eastAsia="Arial" w:hAnsi="Arial"/>
          <w:sz w:val="16"/>
          <w:szCs w:val="16"/>
          <w:color w:val="auto"/>
        </w:rPr>
        <w:t>Wynn Las Vegas represents a natural extension of the concepts Mr. Wynn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utilized in developing other major destination casino resorts. Following Mr. Wynn’s formula, we plan to attract a range of customers, including middle-market and high-end gaming patrons to Wynn Las Vegas by offering a premium level of luxury and high-quality guest rooms and suites, as well as non-gaming amenities such as a world-class golf course, fine dining, premier retail shopping and distinctive entertainment in intimate, luxurious surroundings. We believe that the level of luxury, sophistication and service we will offer at Wynn Las Vegas, together with Mr. Wynn’s experience and reputation in building and operating premier Las Vegas destination casino resorts, will appeal to international and domestic high-roller gaming patrons. In addition to the main casino, Wynn Las Vegas offers a baccarat salon and private high-limit gaming rooms designed to create a sense of comfort and exclusivity for high-end gaming customers. Wynn Las Vegas will have a sophisticated, casually elegant ambience rather than a highly themed experience like many other hotel casino resorts on the Las Vegas Strip. We believe that, over time, Wynn Las Vegas’ more generally themed casually elegant environment, together with its high-quality amenities, superior level of service and distinctive attractions, will have greater lasting appeal to customers than a resort with a particular theme and attractions based on that theme.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Wynn Las Vegas opens on April 28, 2005, it will have been almost five years since a major new hotel casino resort opened on the Las Vegas Strip.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expect that there will be a high level of anticipation for Wynn Las Vegas.</w:t>
      </w:r>
    </w:p>
    <w:p>
      <w:pPr>
        <w:spacing w:after="0" w:line="1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Capitalize on the Attractive Location of Wynn Las Vegas and Encore. </w:t>
      </w:r>
      <w:r>
        <w:rPr>
          <w:rFonts w:ascii="Arial" w:cs="Arial" w:eastAsia="Arial" w:hAnsi="Arial"/>
          <w:sz w:val="18"/>
          <w:szCs w:val="18"/>
          <w:color w:val="auto"/>
        </w:rPr>
        <w:t>Wynn Las Vegas has approximately 1,350 feet of frontage on the Las Vegas Strip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site of the former Desert Inn on the northeast corner of the intersection of the Las Vegas Strip and Sands Avenue. Wynn Las Vegas is directly across the Strip from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Fashion Show Mall, which contains premium retail stores and anchor tenants such as Neiman Marcus, Saks Fifth Avenue and Macy’s and recently underwent a substantial remodeling and expansion program. Wynn Las Vegas is also across the street from two of the nation’s largest convention centers: the Las Vegas Convention Center and the Sands Expo and Convention Center. The back of the Wynn Las Vegas property runs along Paradise Road, a major artery in the resort corridor that leads directly to and from McCarran International Airport. Encore will be immediately adjacent and connected to Wynn Las Vegas and will have approximately 900 feet of Strip frontage.</w:t>
      </w:r>
    </w:p>
    <w:p>
      <w:pPr>
        <w:spacing w:after="0" w:line="12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believe our location provides us with a distinct competitive advantage. Wynn Las Vegas will be conveniently accessible in an average of approximately four minutes from the Spring Mountain Road exit off of Interstate 15, and in an average of approximately ten minutes from McCarran International Airport. Shuttle service running along the north perimeter of the golf course will provide convention and trade show attendees and other Wynn Las Vegas visitors with quick and convenient transportation to and from the Las Vegas Convention Center. We also anticipate that Wynn Las Vegas will be connected to both the Fashion Show Mall and the Venetian Resort &amp; Casino by pedestrian bridges, which the government of Clark County, Nevada is scheduled to complete in the second quarter of 2005.</w:t>
      </w:r>
    </w:p>
    <w:p>
      <w:pPr>
        <w:spacing w:after="0" w:line="131"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b w:val="1"/>
          <w:bCs w:val="1"/>
          <w:i w:val="1"/>
          <w:iCs w:val="1"/>
          <w:color w:val="auto"/>
        </w:rPr>
        <w:t xml:space="preserve">Capitalize on Our Experienced Management Team. </w:t>
      </w:r>
      <w:r>
        <w:rPr>
          <w:rFonts w:ascii="Arial" w:cs="Arial" w:eastAsia="Arial" w:hAnsi="Arial"/>
          <w:sz w:val="15"/>
          <w:szCs w:val="15"/>
          <w:color w:val="auto"/>
        </w:rPr>
        <w:t>Mr. Wynn and his team bring significant experience in the design, development and operation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destination casino resorts. Mr. Wynn and members of his team were responsible for the design, development and operation of the Bellagio, The Mirage and Treasure Island at The Mirage. Other senior executives joined Mr. Wynn from renowned hospitality companies including Caesars Entertainment and Starwood.</w:t>
      </w:r>
    </w:p>
    <w:p>
      <w:pPr>
        <w:spacing w:after="0" w:line="7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Our marketing strategy consists of positioning Wynn Las Vegas as a full-service luxury resort and casino in the leisure, convention and tour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travel markets. We are creating general market awareness about product offerings through conventions and media, including television, radio, newspapers, magazines, the Internet, direct mail and billboards.</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will market the resorts directly to gaming customers using database marketing techniques, and traditional incentives, such as reduced room rates and complimentary meals and suites. We will offer high-roller gaming customers premium suites and special hotel services, and we will develop a guest loyalty program that will integrate all gaming, hotel, food, beverage and retail revenue generated by a particular guest and compare it against incurred expenses to determine the profitability of that guest. We will use this program to implement a rewards system that offers discounted and complimentary meals, lodging and entertainment for our guests. We will also use that information to develop an integrated database that will allow us to target specific customers for promotions that might induce them to visit Wynn Las Vegas.</w:t>
      </w:r>
    </w:p>
    <w:p>
      <w:pPr>
        <w:spacing w:after="0" w:line="1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also expect to capitalize on the substantial network of international and domestic high-roller and premium customers who are familiar with Mr. Wynn from his tenure at Mirage Resorts, Incorporated. We believe that, in operating some of the signature properties in Las Vegas, Mr. Wynn has developed a high degree of customer recognition and guest loyalty and therefore believe that Wynn Las Vegas will attract wealthy international and domestic gaming customers. Furthermore, we believe that Mr. Wynn’s reputation will attract experienced, high-level international and domestic casino marketing executives to work with the Company. We plan to have marketing executives located in local offices in Tokyo, Hong Kong, Macau, Singapore, Taiwan, Vancouver and southern California, as well as independent marketing representatives in major U.S. and foreign cities.</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will also implement cross-marketing strategies between Wynn Las Vegas and Wynn Resorts’ casino resort project currently under construction in the Macau Special Administrative Region of the People’s Republic of China (“Macau”) called “Wynn Macau”, to encourage international business between the Macau and Las Vegas markets.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Master-planned Design for Future Las Vegas Expansion. </w:t>
      </w:r>
      <w:r>
        <w:rPr>
          <w:rFonts w:ascii="Arial" w:cs="Arial" w:eastAsia="Arial" w:hAnsi="Arial"/>
          <w:sz w:val="16"/>
          <w:szCs w:val="16"/>
          <w:color w:val="auto"/>
        </w:rPr>
        <w:t>We own approximately 235 acres of land, comprised of an approximately 55-acre plot along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Strip on which Wynn Las Vegas is located, 20 adjacent acres on the Strip where Encore will be constructed, an approximately 142-acre parcel located behind the hotel for our golf course and an approximately 18-acre parcel across Sands Avenue for employee parking.</w:t>
      </w:r>
    </w:p>
    <w:p>
      <w:pPr>
        <w:spacing w:after="0" w:line="9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creating a long-range plan to develop the 142-acre golf course parcel into a large mixed-use hotel, casino and residential entertainment resort complex. The complex may include multiple waterfront hotels built around a lake offering water sports and other entertainment. The complex also may include multiple restaurants, retail offerings and entertainment venues. We have not yet developed specific plans for such a complex, and there can be no assurance that plans will be developed. We cannot predict the cost of such a development or whether we will be able to obtain the necessary financing for the development on suitable terms, if at all. In any event, it is not expected that any construction on the golf course land would begin before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Las Vegas is one of the fastest growing leisure, lodging and entertainment markets in the country, has one of the strongest and most resilient hotel markets in the country and, according to the American Gaming Association, has the highest casino gaming revenue in the United States. Major properties on the Las Vegas Strip have opened over the past ten years, including the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Mandalay Bay Resort &amp; Casino and Caesars Palace. As a result, the casino/hotel industry in Las Vegas is highly competitive. Wynn Las Vegas, which will be located on the Las Vegas Strip, will compete with these and other high-quality resorts and hotel casinos on the Las Vegas Strip and those in downtown Las Vegas, as well as a large number of hotels and motels in and near Las Vegas.</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competing properties, such as the Bellagio, Caesars Palace, Harrah’s Las Vegas,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we will and target the same demographic group as we will. We seek to differentiate Wynn Las Vegas from other major Las Vegas resorts by concentrating on our fundamental elements of design, atmosphere, personal service and level of luxury.</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Philadelphia,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 and off-track pari-mutuel wagering and card parlors. The expansion of legalized gaming to new jurisdictions throughout the United States will also increase the competition we face and will continue to do so in the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Introduction</w:t>
      </w:r>
      <w:r>
        <w:rPr>
          <w:rFonts w:ascii="Arial" w:cs="Arial" w:eastAsia="Arial" w:hAnsi="Arial"/>
          <w:sz w:val="18"/>
          <w:szCs w:val="18"/>
          <w:color w:val="auto"/>
        </w:rPr>
        <w:t>. The gaming industry is highly regulated. Gaming registrations, licenses and approvals, once obtained, can be suspended or revoked for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one of our gaming facilities, we would, to the extent permitted by law, seek to recover our investment by selling the property affected, but we cannot assure you that we would recover its full value.</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Wynn Las Vegas’ operations will be subject to the licensing and regulatory control of the Nevada Gaming Commission, the Nevada State Gaming Control Board and the Clark County Liquor and Gaming License Board, which we refer to herein collectively as the Nevada Gaming Authorities.</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These public policy concerns include, among other things:</w:t>
      </w:r>
    </w:p>
    <w:p>
      <w:pPr>
        <w:spacing w:after="0" w:line="37"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103" w:lineRule="exact"/>
        <w:rPr>
          <w:rFonts w:ascii="Arial" w:cs="Arial" w:eastAsia="Arial" w:hAnsi="Arial"/>
          <w:sz w:val="18"/>
          <w:szCs w:val="18"/>
          <w:color w:val="auto"/>
        </w:rPr>
      </w:pPr>
    </w:p>
    <w:p>
      <w:pPr>
        <w:ind w:left="900" w:right="160" w:hanging="446"/>
        <w:spacing w:after="0" w:line="325"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Wynn Las Vegas’ proposed gaming operations and our financial condition and results of operations.</w:t>
      </w:r>
    </w:p>
    <w:p>
      <w:pPr>
        <w:spacing w:after="0" w:line="118"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was recently approved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9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Las Vegas, LLC, as an issuer of the First Mortgage Notes that are expected to be registered with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Securities and Exchange Commission, was registered by the Nevada Gaming Commission as a publicly traded company, referred to as a registered company for the purposes of the Nevada Gaming Control Act. Wynn Capital, as a co-issuer of the First Mortgage Notes, was not required to be registered or licensed, but may be required to be found suitable as a lender or financing source.</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 company licensee</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and key employees as well as Wynn Resorts’ directors have been or may be required to be licensed or found suitable by the Nevada Gaming Authorities. All applications required as of the date of this report have been filed and approved.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0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Nevada Gaming Authorities were to find a Wynn Resorts director, or one of our officers,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3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Consequences of Violating Gaming Laws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the Nevada Gaming Commission decides that we have violated the Nevada Gaming Control Act or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it could limit, condition, suspend or revoke our registration and gaming licenses.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Beneficial Securities Holders. </w:t>
      </w:r>
      <w:r>
        <w:rPr>
          <w:rFonts w:ascii="Arial" w:cs="Arial" w:eastAsia="Arial" w:hAnsi="Arial"/>
          <w:sz w:val="16"/>
          <w:szCs w:val="16"/>
          <w:color w:val="auto"/>
        </w:rPr>
        <w:t>Regardless of the number of shares held, any beneficial holder of a registered company’s voting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a registered company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 of our voting securities for a limited period of time and maintain the waiver. An institutional investor will not be deemed to hold voting securities for investment purposes unless the voting securities were acquired and are held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ordinary course of business as an institutional investor and not for the purpose of causing, directly or indirectly, the election of a majority of the members of the board at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18"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103"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Consequences of Being Found Unsuitable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24"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103"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Securities Ownership. </w:t>
      </w:r>
      <w:r>
        <w:rPr>
          <w:rFonts w:ascii="Arial" w:cs="Arial" w:eastAsia="Arial" w:hAnsi="Arial"/>
          <w:sz w:val="16"/>
          <w:szCs w:val="16"/>
          <w:color w:val="auto"/>
        </w:rPr>
        <w:t>The Nevada Gaming Commission may, in its discretion, require the holder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2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0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Approval of Public Offerings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Any approval that we might receive in the future relating to such offerings will not constitute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finding, recommendation or approval by any of the Nevada Gaming Authorities as to the accuracy or adequacy of the offering memorandum or the investment merits of the securities. Any representation to the contrary is unlawful.</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Las Vegas, LLC,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While the offering of the First Mortgage Notes by the Issuers qualified as a public offering, the Nevada State Gaming Control Board Chairman, after consideration of our ruling request, issued an administrative ruling that it was not necessary to submit applications for prior approval of such offerings.</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offer by us to exchange the old notes for publicly registered new notes typically would require the review of, and prior approval by, the Nevada Gaming Commission. However, we have been approved by the Nevada Gaming Commission to make public offerings for a period of two years, subject to certain conditions (“Shelf Approval”), which would cover new notes issued after the date of the Shelf Approval. The Shelf Approval may be rescinded for good cause without prior notice upon the issuance of an interlocutory stop order by the Chairman of the Nevada State Gaming Control Board and must be renewed at the end of the two-year approval period. The Shelf Approval will apply to any affiliated company that is wholly owned by us, which is a publicly traded corporation or would thereby become a publicly traded corporation pursuant to a public offering. The Shelf Approval will not constitute a finding, recommendation or approval by the Nevada Gaming Commission as to the accuracy or adequacy of the prospectus or the investment merits of the securities offered. Any representation to the contrary is unlawful.</w:t>
      </w:r>
    </w:p>
    <w:p>
      <w:pPr>
        <w:spacing w:after="0" w:line="105"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b w:val="1"/>
          <w:bCs w:val="1"/>
          <w:i w:val="1"/>
          <w:iCs w:val="1"/>
          <w:color w:val="auto"/>
        </w:rPr>
        <w:t xml:space="preserve">Approval of Changes in Control. </w:t>
      </w:r>
      <w:r>
        <w:rPr>
          <w:rFonts w:ascii="Arial" w:cs="Arial" w:eastAsia="Arial" w:hAnsi="Arial"/>
          <w:sz w:val="15"/>
          <w:szCs w:val="15"/>
          <w:color w:val="auto"/>
        </w:rPr>
        <w:t>We must obtain prior approval of the Nevada Gaming Commission with respect to a change in control through merger,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consolidation, stock or asset acquisitions, management or consulting agreements, or any act or conduct by a person by which the person obtains control of us.</w:t>
      </w:r>
    </w:p>
    <w:p>
      <w:pPr>
        <w:spacing w:after="0" w:line="4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and corporate defense tactics affecting Nevada gaming licenses or affecting registered companies that are affiliated with the operations of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18"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Approvals may be required from the Nevada Gaming Commission before we can make exceptional repurchases of voting securities above their current market price and before a corporate acquisition opposed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4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or is under common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26"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900" w:right="200" w:hanging="446"/>
        <w:spacing w:after="0" w:line="347" w:lineRule="auto"/>
        <w:tabs>
          <w:tab w:leader="none" w:pos="9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44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26"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the control and regulation by the Clark County Liquor and Gaming Licensing Board, which has granted Wynn Las Vegas licenses for such purposes.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After Wynn Las Vegas opens on April 28, 2005, we may experience fluctuations in revenues and cash flows from month to month, however, we do not expect that our business will be unusually impacted by seasonality.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undertaken a major recruiting effort to staff Wynn Las Vegas. We have received nearly 100,000 applications for positions at Wynn Las Vegas and believe that we will be able to attract and retain a sufficient number of qualified individuals to open and operate Wynn Las Vegas. When Wynn Las Vegas opens, we expect to employ nearly 10,000 people in the U.S. Currently we have approximately 1,800 employees in the U.S. and have extended offers or selected candidates for the majority of the remaining open positions. Those employees will officially begin their employment in staggered groups to facilitate appropriate training for the opening of Wynn Las Vegas on April 28, 2005.</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Unions may seek to organize the workers at Wynn Las Vegas. Unionization could increase our labor costs. Wynn Las Vegas recently entered into an agreement with the Culinary and Bartenders Union local which allows the union to seek recognition as the exclusive bargaining agent of certain employees. If the union is successful in obtaining authorization cards from a majority of employees working in classifications customarily represented by it, then Wynn Las Vegas will be obligated to negotiate a collective bargaining agreement with the union.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most important marks are our WYNN-related trademarks and service marks. Holdings has filed applications with the U.S. Patent and Trademark Office (“PTO”), to register a variety of the WYNN-related trademarks and service marks in connection with a variety of goods and services including “WYNN LAS VEGAS.” Some of the applications are based upon ongoing use and others are based upon a bona fide intent to use the marks in the future.</w:t>
      </w:r>
    </w:p>
    <w:p>
      <w:pPr>
        <w:spacing w:after="0" w:line="9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is not registrable unless the surname has acquired “secondary meaning.” To date, Holdings has been successful in demonstrating to the PTO such secondary meaning for the Wynn name in certain of the applications based upon Mr. Wynn’s prominence as a resort developer, but we cannot assure you that Holdings will be successful with the other pending applications.</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On August 6, 2004, Holdings entered into agreements with Mr. Wynn that confirm and clarify its rights to use the “Wynn” name and Mr. Wynn’s persona in connection with our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subsidiaries and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subsidiaries and affiliates, until October 24, 2017. Holdings has entered into sublicense agreements with us relating to our use of Mr. Wynn’s name and persona, as well as other intellectual property.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8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Together with our subsidiaries, we currently own approximately 235 acres of land on or near the Las Vegas strip including the site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 Desert Inn. We own a total of approximately 75 acres of land consisting of approximately 55 acres at the northeast corner of the intersection of Las Vegas Boulevard and Sands Avenue and an additional parcel of 20 acres fronting Las Vegas Boulevard next to the Wynn Las Vegas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site on which we intend to construct Encore. Wynn Golf, LLC, our wholly-owned subsidiary, owns the approximately 142-acre golf course behind Wynn Las Vegas, which is leased to us. Wynn Sunrise, LLC, also our wholly-owned subsidiary, owns approximately 18 acres located across from the Wynn Las Vegas site at Koval Lane and Sands Avenue, which is being used for employee parking.</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Las Vegas Water Rights. </w:t>
      </w:r>
      <w:r>
        <w:rPr>
          <w:rFonts w:ascii="Arial" w:cs="Arial" w:eastAsia="Arial" w:hAnsi="Arial"/>
          <w:sz w:val="16"/>
          <w:szCs w:val="16"/>
          <w:color w:val="auto"/>
        </w:rPr>
        <w:t>We own approximately 934 acre-feet of permitted domestic and recreation water rights through our subsidiary, Wynn Golf,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irrigation of the golf course subject to proof of beneficial use and approval of the State of Nevada Division of Water Resources.</w:t>
      </w:r>
    </w:p>
    <w:p>
      <w:pPr>
        <w:spacing w:after="0" w:line="7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also own approximately 52 acre-feet of permitted (and some certificated) quasi-municipal water rights. This water is used to supply the water for the Wynn Las Vegas lake/mountain feature subject to proof of beneficial use and approval of the State of Nevada Division of Water Resources. There are significant cost savings and conservation benefits associated with using water supplied pursuant to our water rights.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20"/>
          </w:cols>
          <w:pgMar w:left="24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AFFILIATE’S OPPORTUNITY IN MACAU</w:t>
      </w:r>
    </w:p>
    <w:p>
      <w:pPr>
        <w:spacing w:after="0" w:line="164"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i w:val="1"/>
          <w:iCs w:val="1"/>
          <w:color w:val="auto"/>
        </w:rPr>
        <w:t xml:space="preserve">Overview. </w:t>
      </w:r>
      <w:r>
        <w:rPr>
          <w:rFonts w:ascii="Arial" w:cs="Arial" w:eastAsia="Arial" w:hAnsi="Arial"/>
          <w:sz w:val="15"/>
          <w:szCs w:val="15"/>
          <w:color w:val="auto"/>
        </w:rPr>
        <w:t>Our affiliate, Wynn Macau, S.A., is constructing and will own and operate Wynn Macau, Wynn Resorts’ first hotel and casino resort in Macau.</w:t>
      </w:r>
      <w:r>
        <w:rPr>
          <w:rFonts w:ascii="Arial" w:cs="Arial" w:eastAsia="Arial" w:hAnsi="Arial"/>
          <w:sz w:val="15"/>
          <w:szCs w:val="15"/>
          <w:i w:val="1"/>
          <w:iCs w:val="1"/>
          <w:color w:val="auto"/>
        </w:rPr>
        <w:t xml:space="preserve"> </w:t>
      </w:r>
      <w:r>
        <w:rPr>
          <w:rFonts w:ascii="Arial" w:cs="Arial" w:eastAsia="Arial" w:hAnsi="Arial"/>
          <w:sz w:val="15"/>
          <w:szCs w:val="15"/>
          <w:color w:val="auto"/>
        </w:rPr>
        <w:t>In June 2002, Wynn Macau, S.A. entered into a 20-year concession agreement with the government of Macau to construct and operate one or more casino gaming properties in Macau. Macau is located in southeast China bordering the South China Sea, approximately 37 miles southwest of Hong Kong. Macau has been an established gaming market for at least 40 years and, according to the Innovation Group, a gaming research company, casinos in Macau generated approximately $5.1 billion in gaming revenues in 2004. Wynn Macau, S.A. currently is one of three concessionaires permitted to operate a casino gaming business in Macau.</w:t>
      </w:r>
    </w:p>
    <w:p>
      <w:pPr>
        <w:spacing w:after="0" w:line="8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The Concession. </w:t>
      </w:r>
      <w:r>
        <w:rPr>
          <w:rFonts w:ascii="Arial" w:cs="Arial" w:eastAsia="Arial" w:hAnsi="Arial"/>
          <w:sz w:val="18"/>
          <w:szCs w:val="18"/>
          <w:color w:val="auto"/>
        </w:rPr>
        <w:t>The concession agreement requires Wynn Macau, S.A. to construct and operate one or more casino gaming properties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at a minimum, one full-service casino resort by the end of December 2006, and invest not less than a total of 4 billion patacas (approximately $480.9 million as of March 30, 2005) in Macau-related projects by June 2009. If Wynn Macau, S.A. does not invest 4 billion patacas in casino projects by June 2009, it is obligated to invest the remaining amount in projects related to its gaming operations in Macau that the Macau government approves, or in projects of public interest designated by the Macau government.</w:t>
      </w:r>
    </w:p>
    <w:p>
      <w:pPr>
        <w:spacing w:after="0" w:line="12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concession agreement requires Wynn Macau, S.A. to adhere to an agreed-upon construction schedule for the completion of the first casino resort, but the agreement provides that the deadlines in the construction schedule may be extended with governmental approval. The government of Macau may suspend construction of a casino if it determines that Wynn Macau, S.A. has failed to adequately implement the construction plans or violated the concession agreement or applicable law.</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Wynn Macau, S.A. The government of Macau also may redeem a concession starting at an established date after the entering into of a concession. With respect to Wynn Macau, S.A.’s concession, the government of Macau’s right to redeem the concession begins on June 24, 2017, and entitles Wynn Macau, S.A. to certain compensation.</w:t>
      </w:r>
    </w:p>
    <w:p>
      <w:pPr>
        <w:spacing w:after="0" w:line="130" w:lineRule="exact"/>
        <w:rPr>
          <w:sz w:val="20"/>
          <w:szCs w:val="20"/>
          <w:color w:val="auto"/>
        </w:rPr>
      </w:pPr>
    </w:p>
    <w:p>
      <w:pPr>
        <w:ind w:right="40" w:firstLine="456"/>
        <w:spacing w:after="0" w:line="347" w:lineRule="auto"/>
        <w:rPr>
          <w:sz w:val="20"/>
          <w:szCs w:val="20"/>
          <w:color w:val="auto"/>
        </w:rPr>
      </w:pPr>
      <w:r>
        <w:rPr>
          <w:rFonts w:ascii="Arial" w:cs="Arial" w:eastAsia="Arial" w:hAnsi="Arial"/>
          <w:sz w:val="15"/>
          <w:szCs w:val="15"/>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spacing w:after="0" w:line="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without justification;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1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Wynn Macau, S.A.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i w:val="1"/>
          <w:iCs w:val="1"/>
          <w:color w:val="auto"/>
        </w:rPr>
        <w:t xml:space="preserve">Development. </w:t>
      </w:r>
      <w:r>
        <w:rPr>
          <w:rFonts w:ascii="Arial" w:cs="Arial" w:eastAsia="Arial" w:hAnsi="Arial"/>
          <w:sz w:val="16"/>
          <w:szCs w:val="16"/>
          <w:color w:val="auto"/>
        </w:rPr>
        <w:t>In June 2004, Wynn Macau, S.A., entered into a 25-year land concession contract to lease approximately 16 acres of land in Macau’s inner</w:t>
      </w:r>
      <w:r>
        <w:rPr>
          <w:rFonts w:ascii="Arial" w:cs="Arial" w:eastAsia="Arial" w:hAnsi="Arial"/>
          <w:sz w:val="16"/>
          <w:szCs w:val="16"/>
          <w:i w:val="1"/>
          <w:iCs w:val="1"/>
          <w:color w:val="auto"/>
        </w:rPr>
        <w:t xml:space="preserve"> </w:t>
      </w:r>
      <w:r>
        <w:rPr>
          <w:rFonts w:ascii="Arial" w:cs="Arial" w:eastAsia="Arial" w:hAnsi="Arial"/>
          <w:sz w:val="16"/>
          <w:szCs w:val="16"/>
          <w:color w:val="auto"/>
        </w:rPr>
        <w:t>harbor area. Construction of Wynn Macau also commenced in June 2004 utilizing approximately 11 of the 16 acres. We are considering an expansion of Wynn Macau on the remaining 5 acres. Although we continue to refine the design of the resort, including potential expansion and improvements, Wynn Macau is currently expected to include approximately 600 hotel rooms, approximately 100,000 square feet of gaming space, seven restaurants, approximately 28,000 square feet of retail space, and a spa, salon and entertainment facilities. The total project budget is $704.0 million. This includes land acquisition costs of approximately $40.6 million, and construction and design costs of approximately $425.0 million.</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Design and construction of Wynn Macau is progressing on schedule and within budget. The hotel and casino resort is expected to open in the third quarter of 2006. Detailed interior design work is continuing with the majority of architectural and structural design work now complete. Construction is progressing well with piling and other in-ground activities substantially complete. Construction activities since groundbreaking include the following:</w:t>
      </w:r>
    </w:p>
    <w:p>
      <w:pPr>
        <w:spacing w:after="0" w:line="1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Piling work is complete;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Construction of basement plant and tunnel areas is substantially complete;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hotel tower structure has reached the fourth floor level;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Structural floor slabs for the Main Casino Area are approximately 90% complete;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Approximately 1,500 tons of structural steel has been erected in the main casino area and the second floor office area.</w:t>
      </w:r>
    </w:p>
    <w:p>
      <w:pPr>
        <w:spacing w:after="0" w:line="185"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development of casinos in Macau is subject to a number of uncertainties, including risks associated with doing business in foreign locations and risks associated with Macau’s developing gaming regulatory framework. The Legislative Assembly of Macau enacted legislation, effective July 1, 2004, that enables casinos operating in Macau to lawfully extend credit to gaming customers and enforce gaming debts. Wynn Macau, S.A. continues to pursue certain favorable determinations related to Macau’s tax regulations; however, we cannot ensure that Wynn Macau, S.A. will be able to obtain the desired determinations.</w:t>
      </w:r>
    </w:p>
    <w:p>
      <w:pPr>
        <w:spacing w:after="0" w:line="8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Financing and Intercompany Loan. </w:t>
      </w:r>
      <w:r>
        <w:rPr>
          <w:rFonts w:ascii="Arial" w:cs="Arial" w:eastAsia="Arial" w:hAnsi="Arial"/>
          <w:sz w:val="16"/>
          <w:szCs w:val="16"/>
          <w:color w:val="auto"/>
        </w:rPr>
        <w:t>In September 2004, Wynn Macau, S.A. obtained the financing necessary to carry out its development plans and</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the financial capacity to adequately operate its gaming business in Macau. From a combination of capital contributions and intercompany loans at an annual interest rate of 6.25%, Wynn Resorts has invested, or will invest, a total of approximately $230.0 million into the Wynn Macau project. In addition, we intend to make an intercompany loan of approximately $122.0 million at an interest rate of 7.5% to Wynn Group Asia, Inc., a wholly owned subsidiary of Wynn Resorts that is involved in the development of Wynn Macau. The loan may be funded from the proceeds of the old notes or borrowings under our new credit facilities. The remaining $352.0 million to fund the budgeted project costs will be provided in the form of a base term loan as part of a $397.0 million senior secured bank facility entered into by Wynn Macau, S.A. In addition to the base term loan and to cover any potential owner-generated cost overruns, Wynn Resorts has established a $30.0 million contingent equity funding source in the form of an intercompany loan and has available a $30.0 million contingent debt facility. The senior secured bank facility also includes a working capital facility of $15.0 million. Agreements governing the debt facilities specify the sequencing of funding sources and provide that prior to borrowing under the senior bank facility, Wynn Resorts must first utilize a majority of the cash balances funded to the Wynn Macau project.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8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are a wholly-owned subsidiary of Holdings. Holdings is a wholly-owned subsidiary of Wynn Resorts. The following table sets forth the members of the Board of Directors and our executive officers as of March 31, 2005. All directors hold their positions until their terms expire and until their respective successors are elected and qualified. Executive officers are appointed by the Board of Directors and serve at their discretion, subject to applicable employment agreements.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4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r>
      <w:tr>
        <w:trPr>
          <w:trHeight w:val="309"/>
        </w:trPr>
        <w:tc>
          <w:tcPr>
            <w:tcW w:w="3880" w:type="dxa"/>
            <w:vAlign w:val="bottom"/>
            <w:gridSpan w:val="2"/>
          </w:tcPr>
          <w:p>
            <w:pPr>
              <w:spacing w:after="0"/>
              <w:rPr>
                <w:sz w:val="20"/>
                <w:szCs w:val="20"/>
                <w:color w:val="auto"/>
              </w:rPr>
            </w:pPr>
            <w:r>
              <w:rPr>
                <w:rFonts w:ascii="Arial" w:cs="Arial" w:eastAsia="Arial" w:hAnsi="Arial"/>
                <w:sz w:val="18"/>
                <w:szCs w:val="18"/>
                <w:color w:val="auto"/>
              </w:rPr>
              <w:t>Stephen A. Wynn</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6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Kiril Sokoloff</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David R. Sisk</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Chief Financial Officer and Senior Vice President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Marc H. Rubinstein</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94"/>
              </w:rPr>
              <w:t>Senior Vice President, Secretary and General Counsel</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Arthur E. Nathan</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87"/>
              </w:rPr>
              <w:t>Senior Vice President and Chief Human Resources Officer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James E. Pettis</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Senior Vice President-Risk Management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W. Todd Nisbet</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Vice President of Finance and Treasurer</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certain information regarding the directors of Wynn Resorts and non-director executive officers of the Company.</w:t>
      </w:r>
    </w:p>
    <w:p>
      <w:pPr>
        <w:spacing w:after="0" w:line="15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has served as Chairman of the Board and Chief Executive Officer of Wynn Resorts since June 2002. From April 2000 to</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2002, Mr. Wynn was the managing member of Valvino, the Company’s predecessor and its wholly owned subsidiary. From 1973 until 2000, Mr. Wynn served as Chairman of the Board, President and Chief Executive Officer of Mirage Resorts, Incorporated, and its predecessor. Mr. Wynn is married to Elaine P. Wynn.</w:t>
      </w:r>
    </w:p>
    <w:p>
      <w:pPr>
        <w:spacing w:after="0" w:line="12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 xml:space="preserve">Kazuo Okada. </w:t>
      </w:r>
      <w:r>
        <w:rPr>
          <w:rFonts w:ascii="Arial" w:cs="Arial" w:eastAsia="Arial" w:hAnsi="Arial"/>
          <w:sz w:val="18"/>
          <w:szCs w:val="18"/>
          <w:color w:val="auto"/>
        </w:rPr>
        <w:t>Mr. Okada has served as Vice Chairman of the Board of Directors since October 2002. Mr. Okada founded Aruze Corp., a Japanese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manufacturer of pachislot and pachinko machines, amusement machines and video game software, in 1969. Aruze Corp. is the sole stockholder of Universal Distributing of Nevada, Inc. (“Universal”), a gaming machine supplier company, and is currently licensed by the Nevada Gaming Commission as a manufacturer of gaming devices and to own the shares of Universal Distributing of Nevada, Inc., a gaming machine supplier company. Mr. Okada currently serves as the Chairman and a Director of Aruze Corp. From 1969 through June 2004, Mr. Okada served as the President of Aruze Corp. Mr. Okada is a Director and the Chairman and Treasurer of Aruze USA Inc., a subsidiary of Aruze Corp and a significant stockholder of Wynn Resorts. Mr. Okada also serves as Chairman of Adores Corporation, a subsidiary of Aruze Corp. and an operator of amusement centers in Japan. In addition, Mr. Okada serves as a director of SETA Corp. in Japan.</w:t>
      </w:r>
    </w:p>
    <w:p>
      <w:pPr>
        <w:spacing w:after="0" w:line="125"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Ronald J. Kramer. </w:t>
      </w:r>
      <w:r>
        <w:rPr>
          <w:rFonts w:ascii="Arial" w:cs="Arial" w:eastAsia="Arial" w:hAnsi="Arial"/>
          <w:sz w:val="18"/>
          <w:szCs w:val="18"/>
          <w:color w:val="auto"/>
        </w:rPr>
        <w:t>Mr. Kramer has served as President of Wynn Resorts and as one of its directors since October 2002. Mr. Kramer also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Holdings from April to October 2002. From July 1999 to October 2001, Mr. Kramer was a Managing Director at Dresdner Kleinwort Wasserstein, an investment banking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firm, and at its predecessor, Wasserstein Perella &amp; Co. Mr. Kramer is a member of the board of directors of Monster Worldwide, Inc., Griffon Corporation, Lakes Entertainment, Inc. and New Valley Corporation.</w:t>
      </w:r>
    </w:p>
    <w:p>
      <w:pPr>
        <w:spacing w:after="0" w:line="11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Mr. Miller has served as a director of Wynn Resorts since October 2002. He has been a partner of the Nevada law firm of Jones Vargas</w:t>
      </w:r>
      <w:r>
        <w:rPr>
          <w:rFonts w:ascii="Arial" w:cs="Arial" w:eastAsia="Arial" w:hAnsi="Arial"/>
          <w:sz w:val="16"/>
          <w:szCs w:val="16"/>
          <w:b w:val="1"/>
          <w:bCs w:val="1"/>
          <w:color w:val="auto"/>
        </w:rPr>
        <w:t xml:space="preserve"> </w:t>
      </w:r>
      <w:r>
        <w:rPr>
          <w:rFonts w:ascii="Arial" w:cs="Arial" w:eastAsia="Arial" w:hAnsi="Arial"/>
          <w:sz w:val="16"/>
          <w:szCs w:val="16"/>
          <w:color w:val="auto"/>
        </w:rPr>
        <w:t>since January 1999. He has also been a partner in Miller &amp; Behar Strategies since January 2003. From January 1989 until January 1999, he served as Governor of the State of Nevada, and, from 1987 to 1989, he served as Lieutenant Governor of the State of Nevada. Mr. Miller also serves as a director of Zenith National Insurance Corp., Newmont Mining Corporation, International Game Technology and America West Holdings Corporation.</w:t>
      </w:r>
    </w:p>
    <w:p>
      <w:pPr>
        <w:spacing w:after="0" w:line="90" w:lineRule="exact"/>
        <w:rPr>
          <w:sz w:val="20"/>
          <w:szCs w:val="20"/>
          <w:color w:val="auto"/>
        </w:rPr>
      </w:pPr>
    </w:p>
    <w:p>
      <w:pPr>
        <w:ind w:right="320" w:firstLine="456"/>
        <w:spacing w:after="0" w:line="301"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has served as a director of Wynn Resorts since October 2002. Mr. Moran is the retired Chairman of Dyson-Kissner-Moran</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 private investment 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member of the board of directors of Critical Mass Ventures.</w:t>
      </w:r>
    </w:p>
    <w:p>
      <w:pPr>
        <w:spacing w:after="0" w:line="90" w:lineRule="exact"/>
        <w:rPr>
          <w:sz w:val="20"/>
          <w:szCs w:val="20"/>
          <w:color w:val="auto"/>
        </w:rPr>
      </w:pPr>
    </w:p>
    <w:p>
      <w:pPr>
        <w:jc w:val="both"/>
        <w:ind w:right="36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has served as a director of Wynn Resorts since December 2002. Mr. Shoemaker is currently retired and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First Boston Inc. and First Boston Corp. from April 1983 until his retirement in January 1989, at the time of its sale to Credit Suisse Bank. Mr. Shoemaker is a member of the board of directors of Hanover Compressor Co., Frontier Bank and Huntsman Chemical Co.</w:t>
      </w:r>
    </w:p>
    <w:p>
      <w:pPr>
        <w:spacing w:after="0" w:line="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Kiril Sokoloff. </w:t>
      </w:r>
      <w:r>
        <w:rPr>
          <w:rFonts w:ascii="Arial" w:cs="Arial" w:eastAsia="Arial" w:hAnsi="Arial"/>
          <w:sz w:val="18"/>
          <w:szCs w:val="18"/>
          <w:color w:val="auto"/>
        </w:rPr>
        <w:t>Mr. Sokoloff has served as a director since May 2004. Mr. Sokoloff is the President of 13D Research Inc., an independent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firm he founded in 1983. In 2002, Mr. Sokoloff founded and is currently the Chairman of Bluespan a company engaged in the research and production of wireless applications for consumer use, and in 2004, he founded and is currently the Co-Chairman of Healthsearches.org, a company involved in providing healthcare information over the Internet.</w:t>
      </w:r>
    </w:p>
    <w:p>
      <w:pPr>
        <w:spacing w:after="0" w:line="123"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D. Boone Wayson. </w:t>
      </w:r>
      <w:r>
        <w:rPr>
          <w:rFonts w:ascii="Arial" w:cs="Arial" w:eastAsia="Arial" w:hAnsi="Arial"/>
          <w:sz w:val="18"/>
          <w:szCs w:val="18"/>
          <w:color w:val="auto"/>
        </w:rPr>
        <w:t>Mr. Wayson has served as a director of Wynn Resorts since August 2003. Mr. Wayson has been a principal of Wayson’s Properties,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a real estate development and holding company, since 1970. He also serves as an officer and/or director of other real estate and business ventures. From 2000 through May 2003, Mr. Wayson served as a member of the board of directors of MGM MIRAGE and from 1987 through May 2000, he served as a member of the board of directors of Mirage Resorts, Incorporated.</w:t>
      </w:r>
    </w:p>
    <w:p>
      <w:pPr>
        <w:spacing w:after="0" w:line="123"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Elaine P. Wynn. </w:t>
      </w:r>
      <w:r>
        <w:rPr>
          <w:rFonts w:ascii="Arial" w:cs="Arial" w:eastAsia="Arial" w:hAnsi="Arial"/>
          <w:sz w:val="16"/>
          <w:szCs w:val="16"/>
          <w:color w:val="auto"/>
        </w:rPr>
        <w:t>Mrs. Wynn has served as a director for Wynn Resorts since October 2002, and is an active collaborator in the creation of Wynn Las Vegas</w:t>
      </w:r>
      <w:r>
        <w:rPr>
          <w:rFonts w:ascii="Arial" w:cs="Arial" w:eastAsia="Arial" w:hAnsi="Arial"/>
          <w:sz w:val="16"/>
          <w:szCs w:val="16"/>
          <w:b w:val="1"/>
          <w:bCs w:val="1"/>
          <w:color w:val="auto"/>
        </w:rPr>
        <w:t xml:space="preserve"> </w:t>
      </w:r>
      <w:r>
        <w:rPr>
          <w:rFonts w:ascii="Arial" w:cs="Arial" w:eastAsia="Arial" w:hAnsi="Arial"/>
          <w:sz w:val="16"/>
          <w:szCs w:val="16"/>
          <w:color w:val="auto"/>
        </w:rPr>
        <w:t>Resort and Country Club. In addition to her corporate responsibilities, she has also served as Co-Chairperson of the Greater Las Vegas Inner-City Games Foundation since 1996 and currently serves on the Executive Board of the Consortium for Policy Research in Education and the Council to Establish Academic Standards in Nevada. Mrs. Wynn served as a director for Mirage Resorts, Incorporated from 1976 until 2000. Mrs. Wynn is married to Stephen A. Wynn.</w:t>
      </w:r>
    </w:p>
    <w:p>
      <w:pPr>
        <w:spacing w:after="0" w:line="90"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Stanley R. Zax. </w:t>
      </w:r>
      <w:r>
        <w:rPr>
          <w:rFonts w:ascii="Arial" w:cs="Arial" w:eastAsia="Arial" w:hAnsi="Arial"/>
          <w:sz w:val="18"/>
          <w:szCs w:val="18"/>
          <w:color w:val="auto"/>
        </w:rPr>
        <w:t>Mr. Zax has served as a director of Wynn Resorts since October 2002. Since 1977, Mr. Zax has served as Chairman of the Board, and,</w:t>
      </w:r>
      <w:r>
        <w:rPr>
          <w:rFonts w:ascii="Arial" w:cs="Arial" w:eastAsia="Arial" w:hAnsi="Arial"/>
          <w:sz w:val="18"/>
          <w:szCs w:val="18"/>
          <w:b w:val="1"/>
          <w:bCs w:val="1"/>
          <w:color w:val="auto"/>
        </w:rPr>
        <w:t xml:space="preserve"> </w:t>
      </w:r>
      <w:r>
        <w:rPr>
          <w:rFonts w:ascii="Arial" w:cs="Arial" w:eastAsia="Arial" w:hAnsi="Arial"/>
          <w:sz w:val="18"/>
          <w:szCs w:val="18"/>
          <w:color w:val="auto"/>
        </w:rPr>
        <w:t>since 1978, has also served as President and CEO of Zenith National Insurance Corp. Zenith National Insurance Corp. and Zenith Insurance Company, its wholly owned subsidiary, are engaged in the workers compensation insurance and reinsurance business.</w:t>
      </w:r>
    </w:p>
    <w:p>
      <w:pPr>
        <w:spacing w:after="0" w:line="119"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has served as a director of Wynn Resorts since October 2002. Mr. Zeman is chairman of Lan Kwai Fong Holdings Limited, a</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engaged in property investment and development, since July 1996. Mr. Zeman is also chairman of Ocean Park, a major theme park in Hong Kong, as well as the Chairman of Sweetpea Entertainment Inc. and After Dark Films, movie production companies based in Los Angeles. In 2001, he was appointed a Justice of the Peace in Hong Kong and, in 2004, he was awarded the Gold Bauhinia Star by the Chief Executive of Hong Kong.</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serves as Chief Executive Officer and President of the Company, a position he has held since June 2002. Mr. Schorr also</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the Chief Operating Officer of Wynn Resorts, President of Wynn Design &amp; Development, LLC., and as an officer of several of the Company’s subsidiaries. From June 2000 through April 2001, Mr. Schorr served as Chief Operating Officer of Valvino. From January 1997 through May 2000, Mr. Schorr served as President of The Mirage Casino-Hotel, a gaming company and then a wholly owned subsidiary of Mirage Resorts, Incorporated.</w:t>
      </w:r>
    </w:p>
    <w:p>
      <w:pPr>
        <w:spacing w:after="0" w:line="9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David R. Sisk. </w:t>
      </w:r>
      <w:r>
        <w:rPr>
          <w:rFonts w:ascii="Arial" w:cs="Arial" w:eastAsia="Arial" w:hAnsi="Arial"/>
          <w:sz w:val="18"/>
          <w:szCs w:val="18"/>
          <w:color w:val="auto"/>
        </w:rPr>
        <w:t>Mr. Sisk is the Senior Vice President and Chief Financial Officer of the Company, a position he has held since October 2003. From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1999 to October 2003, Mr. Sisk was the Senior Vice President, Treasurer and Chief Financial Officer of Caesars Palace, a subsidiary of Caesars Entertainment, Inc.</w:t>
      </w:r>
    </w:p>
    <w:p>
      <w:pPr>
        <w:spacing w:after="0" w:line="11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Marc H. Rubinstein. </w:t>
      </w:r>
      <w:r>
        <w:rPr>
          <w:rFonts w:ascii="Arial" w:cs="Arial" w:eastAsia="Arial" w:hAnsi="Arial"/>
          <w:sz w:val="18"/>
          <w:szCs w:val="18"/>
          <w:color w:val="auto"/>
        </w:rPr>
        <w:t>Mr. Rubinstein serves as Senior Vice President, General Counsel and Secretary of the Company, a position he has held since</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2002. Mr. Rubinstein has also served as Senior Vice President, General Counsel and Secretary of Wynn Resorts since September 2002. Since April 2001, Mr. Rubinstein has also served as Senior Vice President-General Counsel of Wynn Resorts Holdings and since June 2000, as Senior Vice President-General Counsel of Valvino. Before joining the Wynn organization, Mr. Rubinstein served as Senior Vice President-General Counsel &amp; Secretary of Desert Palace, Inc., a gaming company that did business as Caesars Palace and was a wholly owned subsidiary of Caesars World, Inc and of the Sheraton Desert Inn Corporation, a gaming company that did business as The Desert Inn, then a wholly owned subsidiary of ITT Sheraton Corp. (and later of Starwood Hotels &amp; Resorts Worldwide, Inc.).</w:t>
      </w:r>
    </w:p>
    <w:p>
      <w:pPr>
        <w:spacing w:after="0" w:line="128"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Arthur Nathan</w:t>
      </w:r>
      <w:r>
        <w:rPr>
          <w:rFonts w:ascii="Arial" w:cs="Arial" w:eastAsia="Arial" w:hAnsi="Arial"/>
          <w:sz w:val="18"/>
          <w:szCs w:val="18"/>
          <w:color w:val="auto"/>
        </w:rPr>
        <w:t>. Mr. Nathan has served as the Senior Vice President—Chief Human Resources Officer of the Company since January 2003. From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2000 to January 2003, Mr. Nathan worked for Pricewaterhouse Coopers in new product development and consulted with clients on HR practices. From 1983 to October 2000, Mr. Nathan held various human resource positions with the Golden Nugget in Atlantic City, The Mirage, Treasure Island at The Mirage and Bellagio.</w:t>
      </w:r>
    </w:p>
    <w:p>
      <w:pPr>
        <w:spacing w:after="0" w:line="123"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James E. Petttis. </w:t>
      </w:r>
      <w:r>
        <w:rPr>
          <w:rFonts w:ascii="Arial" w:cs="Arial" w:eastAsia="Arial" w:hAnsi="Arial"/>
          <w:sz w:val="18"/>
          <w:szCs w:val="18"/>
          <w:color w:val="auto"/>
        </w:rPr>
        <w:t>Mr. Pettis has served as the Senior Vice President-Risk Management of the Company since June 2000. Mr. Pettis served in various risk</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capacities from 1980 to June 2000, at Mirage Resorts and its predecessor, Golden Nugget, Inc.</w:t>
      </w:r>
    </w:p>
    <w:p>
      <w:pPr>
        <w:spacing w:after="0" w:line="10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W. Todd Nisbet. </w:t>
      </w:r>
      <w:r>
        <w:rPr>
          <w:rFonts w:ascii="Arial" w:cs="Arial" w:eastAsia="Arial" w:hAnsi="Arial"/>
          <w:sz w:val="18"/>
          <w:szCs w:val="18"/>
          <w:color w:val="auto"/>
        </w:rPr>
        <w:t>Mr. Nisbet has served as Assistant Secretary of the Company since August 2004. Mr. Nisbet has also served as Executive Vice President-Project Director of Wynn Design &amp; Development, LLC an affiliate of wholly owned subsidiary of the Company, since July 2000. From 1999 to 2000, Mr. Nisbet served as Vice President Operations of Marnell Corrao Associates, Inc., a design/build firm and, from 1995 to 1999, Mr. Nisbet was Senior Project Manager at Marnell Corrao.</w:t>
      </w:r>
    </w:p>
    <w:p>
      <w:pPr>
        <w:spacing w:after="0" w:line="123" w:lineRule="exact"/>
        <w:rPr>
          <w:sz w:val="20"/>
          <w:szCs w:val="20"/>
          <w:color w:val="auto"/>
        </w:rPr>
      </w:pPr>
    </w:p>
    <w:p>
      <w:pPr>
        <w:ind w:right="640" w:firstLine="456"/>
        <w:spacing w:after="0" w:line="339" w:lineRule="auto"/>
        <w:rPr>
          <w:sz w:val="20"/>
          <w:szCs w:val="20"/>
          <w:color w:val="auto"/>
        </w:rPr>
      </w:pPr>
      <w:r>
        <w:rPr>
          <w:rFonts w:ascii="Arial" w:cs="Arial" w:eastAsia="Arial" w:hAnsi="Arial"/>
          <w:sz w:val="16"/>
          <w:szCs w:val="16"/>
          <w:b w:val="1"/>
          <w:bCs w:val="1"/>
          <w:color w:val="auto"/>
        </w:rPr>
        <w:t xml:space="preserve">Scott Peterson. </w:t>
      </w:r>
      <w:r>
        <w:rPr>
          <w:rFonts w:ascii="Arial" w:cs="Arial" w:eastAsia="Arial" w:hAnsi="Arial"/>
          <w:sz w:val="16"/>
          <w:szCs w:val="16"/>
          <w:color w:val="auto"/>
        </w:rPr>
        <w:t>Mr. Peterson has served as the Vice President of Finance and Treasurer since joining the Company in 2000. From April 1993 until</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2000, Mr. Peterson worked in various financial positions at Treasure Island at The Mirage and Bellagio.</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sets forth the compensation paid or accrued by the Company to the Chief Executive Officer of the Company and to each of the four most highly compensated executive officers of the Company (other than the Chief Executive Officer) (collectively, the “Named Executive Officers”), for services rendered to the Company and its affiliates in all capacities during the last completed fiscal year.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Long-Term</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4"/>
          </w:tcPr>
          <w:p>
            <w:pPr>
              <w:ind w:left="240"/>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NNUAL</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OMPENSATION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Compensation Awards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5"/>
              </w:rPr>
              <w:t>Restricted Stock</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Bonus</w:t>
            </w:r>
          </w:p>
        </w:tc>
        <w:tc>
          <w:tcPr>
            <w:tcW w:w="620" w:type="dxa"/>
            <w:vAlign w:val="bottom"/>
          </w:tcPr>
          <w:p>
            <w:pPr>
              <w:spacing w:after="0"/>
              <w:rPr>
                <w:sz w:val="12"/>
                <w:szCs w:val="12"/>
                <w:color w:val="auto"/>
              </w:rPr>
            </w:pPr>
          </w:p>
        </w:tc>
        <w:tc>
          <w:tcPr>
            <w:tcW w:w="18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Award(s)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404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30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3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3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ind w:left="1180"/>
              <w:spacing w:after="0"/>
              <w:rPr>
                <w:sz w:val="20"/>
                <w:szCs w:val="20"/>
                <w:color w:val="auto"/>
              </w:rPr>
            </w:pPr>
            <w:r>
              <w:rPr>
                <w:rFonts w:ascii="Arial" w:cs="Arial" w:eastAsia="Arial" w:hAnsi="Arial"/>
                <w:sz w:val="14"/>
                <w:szCs w:val="14"/>
                <w:b w:val="1"/>
                <w:bCs w:val="1"/>
                <w:color w:val="auto"/>
                <w:w w:val="79"/>
              </w:rPr>
              <w:t>($</w:t>
            </w:r>
          </w:p>
        </w:tc>
        <w:tc>
          <w:tcPr>
            <w:tcW w:w="620" w:type="dxa"/>
            <w:vAlign w:val="bottom"/>
          </w:tcPr>
          <w:p>
            <w:pPr>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5"/>
              </w:rPr>
              <w:t>Compensation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D. Schorr</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Executive Officer and President</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(2)</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David R. Sisk</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w w:val="97"/>
              </w:rPr>
              <w:t>Chief Financial Officer and Senior Vice President</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9"/>
              </w:rPr>
              <w:t>2004</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350,000</w:t>
            </w:r>
          </w:p>
        </w:tc>
        <w:tc>
          <w:tcPr>
            <w:tcW w:w="5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Sr. Vice President, Secretary, and General</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Counsel</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5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Arthur E. Nathan</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Senior Vice President and Chief Human</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Resources Officer</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9"/>
              </w:rPr>
              <w:t>2004</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300,000</w:t>
            </w:r>
          </w:p>
        </w:tc>
        <w:tc>
          <w:tcPr>
            <w:tcW w:w="5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35,000</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E. Pettis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President—Risk Management</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5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following amounts are included in All Other Compensation: (i) the Company’s matching contributions made in fiscal year 2004 to Wynn Resorts’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401(k) Plan, as follows: Marc D. Schorr ($6,150), David R. Sisk ($6,150), Marc H. Rubinstein ($5,738), Arthur E. Nathan ($6,150) and James E. Pettis</w:t>
      </w:r>
    </w:p>
    <w:p>
      <w:pPr>
        <w:spacing w:after="0" w:line="32" w:lineRule="exact"/>
        <w:rPr>
          <w:rFonts w:ascii="Arial" w:cs="Arial" w:eastAsia="Arial" w:hAnsi="Arial"/>
          <w:sz w:val="16"/>
          <w:szCs w:val="16"/>
          <w:color w:val="auto"/>
        </w:rPr>
      </w:pPr>
    </w:p>
    <w:p>
      <w:pPr>
        <w:ind w:left="460" w:right="180"/>
        <w:spacing w:after="0" w:line="250" w:lineRule="auto"/>
        <w:rPr>
          <w:rFonts w:ascii="Arial" w:cs="Arial" w:eastAsia="Arial" w:hAnsi="Arial"/>
          <w:sz w:val="16"/>
          <w:szCs w:val="16"/>
          <w:color w:val="auto"/>
        </w:rPr>
      </w:pPr>
      <w:r>
        <w:rPr>
          <w:rFonts w:ascii="Arial" w:cs="Arial" w:eastAsia="Arial" w:hAnsi="Arial"/>
          <w:sz w:val="18"/>
          <w:szCs w:val="18"/>
          <w:color w:val="auto"/>
        </w:rPr>
        <w:t>($6,150) and (ii) executive life insurance premiums paid in 2004, as follows: Marc D. Schorr ($4,493), David R. Sisk ($25), Marc Rubinstein ($145), and Arthur E. Nathan ($686).</w:t>
      </w:r>
    </w:p>
    <w:p>
      <w:pPr>
        <w:ind w:left="460" w:right="60" w:hanging="452"/>
        <w:spacing w:after="0" w:line="290"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December 11, 2002, Mr. Schorr was granted 189,723 shares of restricted stock of Wynn Resorts, which will vest in its entirety on May 31, 2005. As of December 31, 2004, the value of Mr. Schorr’s restricted stock grant was $12,696,263 based on a closing price of $66.92 per share on December 31, 2004. There are no voting rights associated with any unvested shares and any distributions or dividends with respect to unvested shares are held by Wynn Resorts and are released only upon vesting. On December 27, 2004, subject to certain conditions, the Compensation Committee of the Board of Directors approved a grant to Mr. Schorr of 125,000 shares of restricted stock for services rendered during 2004. This grant became effective on February 3, 2005. 20% of this grant will vest on December 15th of each of the next five years, beginning with December 15, 2005.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year ended December 31, 2004, none of the Named Executive Officers received an option to purchase shares of common stock of the Company or any parent or subsidiary of the Company. For the year ended December 31, 2004, no SARs were granted.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Option Values</w:t>
      </w:r>
    </w:p>
    <w:p>
      <w:pPr>
        <w:spacing w:after="0" w:line="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following table provides information related to options to purchase common stock of the Company or any parent or subsidiary of the Company held by the Named Executive Officers at December 31, 2004. None of the Named Executive Officers exercised options to purchase common stock of the Company or any parent or subsidiary of the Company during the year ended December 31, 2004. All stock options in the table below reflect options to purchase common stock of Wynn Resorts.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 FY-END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 Options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In-the-Money Options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at December 31, 2004</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at 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820" w:type="dxa"/>
            <w:vAlign w:val="bottom"/>
          </w:tcPr>
          <w:p>
            <w:pPr>
              <w:jc w:val="right"/>
              <w:ind w:right="1"/>
              <w:spacing w:after="0"/>
              <w:rPr>
                <w:sz w:val="20"/>
                <w:szCs w:val="20"/>
                <w:color w:val="auto"/>
              </w:rPr>
            </w:pPr>
            <w:r>
              <w:rPr>
                <w:rFonts w:ascii="Arial" w:cs="Arial" w:eastAsia="Arial" w:hAnsi="Arial"/>
                <w:sz w:val="14"/>
                <w:szCs w:val="14"/>
                <w:b w:val="1"/>
                <w:bCs w:val="1"/>
                <w:color w:val="auto"/>
                <w:w w:val="92"/>
              </w:rPr>
              <w:t>Exercisable</w:t>
            </w:r>
          </w:p>
        </w:tc>
        <w:tc>
          <w:tcPr>
            <w:tcW w:w="4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Unexercisable</w:t>
            </w:r>
          </w:p>
        </w:tc>
        <w:tc>
          <w:tcPr>
            <w:tcW w:w="440" w:type="dxa"/>
            <w:vAlign w:val="bottom"/>
          </w:tcPr>
          <w:p>
            <w:pPr>
              <w:spacing w:after="0"/>
              <w:rPr>
                <w:sz w:val="22"/>
                <w:szCs w:val="22"/>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Exercisable</w:t>
            </w:r>
          </w:p>
        </w:tc>
        <w:tc>
          <w:tcPr>
            <w:tcW w:w="22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2,576,000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7,728,000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David R. Sisk</w:t>
            </w:r>
          </w:p>
        </w:tc>
        <w:tc>
          <w:tcPr>
            <w:tcW w:w="820" w:type="dxa"/>
            <w:vAlign w:val="bottom"/>
          </w:tcPr>
          <w:p>
            <w:pPr>
              <w:jc w:val="right"/>
              <w:spacing w:after="0"/>
              <w:rPr>
                <w:sz w:val="20"/>
                <w:szCs w:val="20"/>
                <w:color w:val="auto"/>
              </w:rPr>
            </w:pPr>
            <w:r>
              <w:rPr>
                <w:rFonts w:ascii="Arial" w:cs="Arial" w:eastAsia="Arial" w:hAnsi="Arial"/>
                <w:sz w:val="18"/>
                <w:szCs w:val="18"/>
                <w:color w:val="auto"/>
              </w:rPr>
              <w:t>18,750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56,250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879,938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2,639,813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670,875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Arthur E. Nathan</w:t>
            </w:r>
          </w:p>
        </w:tc>
        <w:tc>
          <w:tcPr>
            <w:tcW w:w="820" w:type="dxa"/>
            <w:vAlign w:val="bottom"/>
          </w:tcPr>
          <w:p>
            <w:pPr>
              <w:jc w:val="right"/>
              <w:spacing w:after="0"/>
              <w:rPr>
                <w:sz w:val="20"/>
                <w:szCs w:val="20"/>
                <w:color w:val="auto"/>
              </w:rPr>
            </w:pPr>
            <w:r>
              <w:rPr>
                <w:rFonts w:ascii="Arial" w:cs="Arial" w:eastAsia="Arial" w:hAnsi="Arial"/>
                <w:sz w:val="18"/>
                <w:szCs w:val="18"/>
                <w:color w:val="auto"/>
              </w:rPr>
              <w:t>6,250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18,750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322,000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Pettis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670,875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40" w:hanging="452"/>
        <w:spacing w:after="0" w:line="256"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Options are “in-the-money” if, on December 31, 2004, the market price of Wynn Resorts’ common stock exceeded the exercise price of such options. The value of such options is calculated by determining the difference between the aggregate market price of Wynn Resorts’ common stock covered by the options on December 31, 2004, and the aggregate exercise price of such options. The market price of Wynn Resorts stock on December 31, 2004 was $66.92.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or the Company has entered into employment agreements with each of the Named Executive Officers:</w:t>
      </w:r>
    </w:p>
    <w:p>
      <w:pPr>
        <w:spacing w:after="0" w:line="77" w:lineRule="exact"/>
        <w:rPr>
          <w:sz w:val="20"/>
          <w:szCs w:val="20"/>
          <w:color w:val="auto"/>
        </w:rPr>
      </w:pPr>
    </w:p>
    <w:p>
      <w:pPr>
        <w:ind w:left="900" w:right="14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Schorr’s employment agreement is effective as of October 25, 2002, and has a term of five years. Mr. Schorr’s employment agreement provides for an annual base salary of $750,000 for the first year and $1,000,000 for the remainder of his term.</w:t>
      </w:r>
    </w:p>
    <w:p>
      <w:pPr>
        <w:spacing w:after="0" w:line="37"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Sisk’s employment agreement is effective as of October 27, 2003, and has a term of four years, providing for an annual base salary of $350,000 each year.</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Rubinstein’s employment agreement is effective as of October 25, 2002, and has a term of five years. Mr. Rubinstein’s employment agreement provides for an annual base salary of $360,000 for each year of his term.</w:t>
      </w:r>
    </w:p>
    <w:p>
      <w:pPr>
        <w:spacing w:after="0" w:line="37"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Nathan’s employment agreement is effective as of January 6, 2003, and has a term of four years. Mr. Nathan’s employment agreement provides for an annual base salary of $300,000 for each year of his term.</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Pettis’ employment agreement is effective as of December 16, 2002, and has a term of five years. Mr. Pettis’ employment agreement provides for an annual base salary of $200,000 for each year of his term.</w:t>
      </w:r>
    </w:p>
    <w:p>
      <w:pPr>
        <w:spacing w:after="0" w:line="118"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other terms of the employment agreements are similar for each Named Executive Officer, except as noted below. Each executive is eligible to receive a bonus and an increase in base salary at such times and in such amounts as our Board of Directors, in its sole and exclusive discretion, may determine. Each executive will (i) be entitled to participate, to the extent that he or she is otherwise eligible, in all employee benefit plans that we maintain for our executives, and</w:t>
      </w:r>
    </w:p>
    <w:p>
      <w:pPr>
        <w:spacing w:after="0" w:line="1" w:lineRule="exact"/>
        <w:rPr>
          <w:sz w:val="20"/>
          <w:szCs w:val="20"/>
          <w:color w:val="auto"/>
        </w:rPr>
      </w:pPr>
    </w:p>
    <w:p>
      <w:pPr>
        <w:ind w:left="5620" w:right="1000" w:hanging="5612"/>
        <w:spacing w:after="0" w:line="433" w:lineRule="auto"/>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receive reimbursement for reasonable business expenses (including entertainment, promotional, gift and travel expenses and club memberships). 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If Wynn Resorts terminates Marc Schorr’s employment agreement for “cause,” or if Mr. Schorr terminates his employment upon Wynn Resorts’ material breach of his employment agreement or for “good reason” following a “change of control” (as these terms are defined in his employment contracts), Wynn Resorts will pay Mr. Schorr a separation payment in a lump sum equal to the following:</w:t>
      </w:r>
    </w:p>
    <w:p>
      <w:pPr>
        <w:spacing w:after="0" w:line="46" w:lineRule="exact"/>
        <w:rPr>
          <w:sz w:val="20"/>
          <w:szCs w:val="20"/>
          <w:color w:val="auto"/>
        </w:rPr>
      </w:pPr>
    </w:p>
    <w:p>
      <w:pPr>
        <w:ind w:left="1140" w:hanging="237"/>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executive’s base salary for the remainder of the term of the employment agreement, but not for less than one year;</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bonus that the executive received for the preceding bonus period, projected over the remainder of the term (but not less than the preceding bonus that was paid),</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 salary and any accrued but unpaid vacation pay through the termination date;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amount necessary to reimburse the executive for any golden parachute excise tax the executive incurs under Internal Revenue Code Section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4999.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Mr. Nathan is terminated for any reason, we will pay Mr. Nathan his base salary and any accrued but unpaid vacation pay through his termination date.</w:t>
      </w:r>
    </w:p>
    <w:p>
      <w:pPr>
        <w:spacing w:after="0" w:line="18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With the exception of Messrs. Schorr and Nathan, if we or Wynn Resorts terminate any of the other Named Executive Officers employment agreement for “cause,” or if executive terminates his employment upon our Wynn Resorts’ material breach of his employment agreement or for “good reason” following a “change of control” (as these terms are defined in his employment contracts), we or Wynn Resorts, as the case may be, will pay the executive a separation payment equal to:</w:t>
      </w:r>
    </w:p>
    <w:p>
      <w:pPr>
        <w:spacing w:after="0" w:line="49" w:lineRule="exact"/>
        <w:rPr>
          <w:sz w:val="20"/>
          <w:szCs w:val="20"/>
          <w:color w:val="auto"/>
        </w:rPr>
      </w:pPr>
    </w:p>
    <w:p>
      <w:pPr>
        <w:ind w:left="1140" w:hanging="237"/>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twelve months of the executive’s base salary;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amount equal to the bonus previously paid to the executive in the preceding bonus period;</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 salary and any accrued but unpaid vacation pay through the termination date;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amount necessary to reimburse the executive for any golden parachute excise tax the executive incurs under Internal Revenue Code Section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4999.</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Upon employment termination and in addition to the separation payment set forth above, the Named Executive Officers other than Mr. Nathan, will also be entitled to health benefits coverage for the executive and his dependents under the same arrangements under which the executive was covered immediately before his termination, until the earlier of (i) the expiration of the period for which the separation payment is paid or (ii) the date the executive becomes covered under another group health plan not maintained by us.</w:t>
      </w:r>
    </w:p>
    <w:p>
      <w:pPr>
        <w:spacing w:after="0" w:line="13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the employment of Messrs. Schorr, Sisk, Rubinstein or Pettis is terminated for any reason, other than as described above, before the expiration of the term (e.g., because of the executive’s death, disability, discharge for cause or revocation of gaming license), we or Wynn Resorts, as the case may be, will pay the executive only his base salary and any accrued but unpaid vacation pay through his termination date.</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will also provide to Mr. Schorr and his family the right to personal use of our aircraft, and have entered into a time-sharing agreement with him that requires, among other things, that he pay to us his and his family’s share of the direct costs that we incur in operating the aircraft, up to an amount determined by using the Internal Revenue Service Standard Industry Fare Level (SIFL) tables.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Directors who are not employees of Wynn Resorts received a monthly fee of $4,000 for services as a director. Directors who serve on the Audit Committee, the Compensation Committee of the Board of Directors or the Nominating &amp; Corporate Governance Committee of the Board of Directors receive an additional monthly fee of $1,000 per committee ($2,000 for committee chairman). All directors are reimbursed for expenses connected with attendance at meetings of the Board of Directors.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Each non-employee director, other than non-employee directors who beneficially own more than five percent of Wynn Resorts’ issued and outstanding common stock, has received an immediately exercisable option grant for 10,000 shares of Wynn Resorts’ common stock upon their initial appointment to the Board of Directors. Concurrent with his appointment to the Board of Directors on May 4, 2004, Mr. Sokoloff received such immediately exercisable option grant for 10,000 shares of the Company’s common stock with a per share exercise price of $40.00, the market value of Wynn Resorts’ common stock as of May 4, 2004. In addition, on May 4, 2004, each member of the Board of Directors, other than Messrs. Wynn, Okada, Kramer and Sokoloff and Mrs. Wynn, received an option to purchase 10,000 shares of Wynn Resorts’ common stock. This option grant vests pro rata over a four year period and has a per share exercise price of $40.00, the market value of the Company’s common stock as of May 4, 2004.</w:t>
      </w:r>
    </w:p>
    <w:p>
      <w:pPr>
        <w:spacing w:after="0" w:line="10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Robert J. Miller, a member of the Board of Directors, also receives a $25,000 annual retainer for his service as the Chairman of Wynn Resorts’ Gaming Compliance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members of the Compensation Committee during 2004 were the following non-management directors: Messrs. Moran, Miller, Shoemaker and Zax. No interlocking relationship exists between the Board of Directors or Compensation Committee and the board of directors or compensation committee of any other company, nor has any interlocking relationship existed in the past.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own all of the issued and outstanding capital stock of Capital Corp. Each of the other additional registrants are our wholly owned subsidiaries.</w:t>
      </w:r>
    </w:p>
    <w:p>
      <w:pPr>
        <w:spacing w:after="0" w:line="18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are a wholly owned subsidiary of Holdings. Holdings is a wholly-owned subsidiary of Wynn Resorts. The following table sets forth, as of March 30, 2005, certain information regarding the shares of Wynn Resorts’ common stock beneficially owned by: (i) each director and nominee for director; (ii) each stockholder who is known by the Company to beneficially own in excess of 5% of the outstanding shares of Wynn Resorts’ common stock based on information reported on Forms 13D or 13G filed with the SEC; (iii) each of the executive officers of the Company named in the Summary Compensation Table; and (iv) all executive officers of the Company, and directors and director nominees of Wynn Resorts, as a group.</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1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1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Of Shares (1)</w:t>
            </w: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19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28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 (2)</w:t>
            </w:r>
          </w:p>
        </w:tc>
        <w:tc>
          <w:tcPr>
            <w:tcW w:w="780" w:type="dxa"/>
            <w:vAlign w:val="bottom"/>
          </w:tcPr>
          <w:p>
            <w:pPr>
              <w:jc w:val="right"/>
              <w:ind w:right="55"/>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A. Wynn (3)(4)(5)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24,549,222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Kazuo Okada (3)(6)</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24,549,222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Aruze USA, Inc. (3)(6)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24,549,222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7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AXA Financial, Inc(7)</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1290 Avenue of the Americas</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New York, New York 10104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5,761,099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Baron Capital Group, Inc.(8)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8,009,489</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767 Fifth Avenue</w:t>
            </w: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New York, NY 10 153</w:t>
            </w:r>
          </w:p>
        </w:tc>
        <w:tc>
          <w:tcPr>
            <w:tcW w:w="7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Marsico Capital Management, LLC (9)</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13,729,913</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1200 17th Street, Suite 1600</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Denver, Colorado 80202</w:t>
            </w: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J. Kramer (10)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516,646</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Robert J. Miller (11)</w:t>
            </w:r>
          </w:p>
        </w:tc>
        <w:tc>
          <w:tcPr>
            <w:tcW w:w="780" w:type="dxa"/>
            <w:vAlign w:val="bottom"/>
          </w:tcPr>
          <w:p>
            <w:pPr>
              <w:jc w:val="right"/>
              <w:spacing w:after="0"/>
              <w:rPr>
                <w:sz w:val="20"/>
                <w:szCs w:val="20"/>
                <w:color w:val="auto"/>
              </w:rPr>
            </w:pPr>
            <w:r>
              <w:rPr>
                <w:rFonts w:ascii="Arial" w:cs="Arial" w:eastAsia="Arial" w:hAnsi="Arial"/>
                <w:sz w:val="18"/>
                <w:szCs w:val="18"/>
                <w:color w:val="auto"/>
              </w:rPr>
              <w:t>12,500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A. Moran (11)(12)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133,500</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Alvin V. Shoemaker (11)</w:t>
            </w:r>
          </w:p>
        </w:tc>
        <w:tc>
          <w:tcPr>
            <w:tcW w:w="780" w:type="dxa"/>
            <w:vAlign w:val="bottom"/>
          </w:tcPr>
          <w:p>
            <w:pPr>
              <w:jc w:val="right"/>
              <w:spacing w:after="0"/>
              <w:rPr>
                <w:sz w:val="20"/>
                <w:szCs w:val="20"/>
                <w:color w:val="auto"/>
              </w:rPr>
            </w:pPr>
            <w:r>
              <w:rPr>
                <w:rFonts w:ascii="Arial" w:cs="Arial" w:eastAsia="Arial" w:hAnsi="Arial"/>
                <w:sz w:val="18"/>
                <w:szCs w:val="18"/>
                <w:color w:val="auto"/>
              </w:rPr>
              <w:t>21,500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Kiril Sokoloff (13)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D. Boone Wayson (14)</w:t>
            </w:r>
          </w:p>
        </w:tc>
        <w:tc>
          <w:tcPr>
            <w:tcW w:w="780" w:type="dxa"/>
            <w:vAlign w:val="bottom"/>
          </w:tcPr>
          <w:p>
            <w:pPr>
              <w:jc w:val="right"/>
              <w:spacing w:after="0"/>
              <w:rPr>
                <w:sz w:val="20"/>
                <w:szCs w:val="20"/>
                <w:color w:val="auto"/>
              </w:rPr>
            </w:pPr>
            <w:r>
              <w:rPr>
                <w:rFonts w:ascii="Arial" w:cs="Arial" w:eastAsia="Arial" w:hAnsi="Arial"/>
                <w:sz w:val="18"/>
                <w:szCs w:val="18"/>
                <w:color w:val="auto"/>
              </w:rPr>
              <w:t>62,500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Elaine P. Wynn (5)(15)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24,549,222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Stanley R. Zax (11)(16)</w:t>
            </w:r>
          </w:p>
        </w:tc>
        <w:tc>
          <w:tcPr>
            <w:tcW w:w="780" w:type="dxa"/>
            <w:vAlign w:val="bottom"/>
          </w:tcPr>
          <w:p>
            <w:pPr>
              <w:jc w:val="right"/>
              <w:spacing w:after="0"/>
              <w:rPr>
                <w:sz w:val="20"/>
                <w:szCs w:val="20"/>
                <w:color w:val="auto"/>
              </w:rPr>
            </w:pPr>
            <w:r>
              <w:rPr>
                <w:rFonts w:ascii="Arial" w:cs="Arial" w:eastAsia="Arial" w:hAnsi="Arial"/>
                <w:sz w:val="18"/>
                <w:szCs w:val="18"/>
                <w:color w:val="auto"/>
              </w:rPr>
              <w:t>712,500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Allan Zeman (11)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Marc D. Schorr (17)</w:t>
            </w:r>
          </w:p>
        </w:tc>
        <w:tc>
          <w:tcPr>
            <w:tcW w:w="780" w:type="dxa"/>
            <w:vAlign w:val="bottom"/>
          </w:tcPr>
          <w:p>
            <w:pPr>
              <w:jc w:val="right"/>
              <w:spacing w:after="0"/>
              <w:rPr>
                <w:sz w:val="20"/>
                <w:szCs w:val="20"/>
                <w:color w:val="auto"/>
              </w:rPr>
            </w:pPr>
            <w:r>
              <w:rPr>
                <w:rFonts w:ascii="Arial" w:cs="Arial" w:eastAsia="Arial" w:hAnsi="Arial"/>
                <w:sz w:val="18"/>
                <w:szCs w:val="18"/>
                <w:color w:val="auto"/>
              </w:rPr>
              <w:t>530,723</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R. Sisk (18).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Marc H. Rubinstein (19).</w:t>
            </w:r>
          </w:p>
        </w:tc>
        <w:tc>
          <w:tcPr>
            <w:tcW w:w="780" w:type="dxa"/>
            <w:vAlign w:val="bottom"/>
          </w:tcPr>
          <w:p>
            <w:pPr>
              <w:jc w:val="right"/>
              <w:spacing w:after="0"/>
              <w:rPr>
                <w:sz w:val="20"/>
                <w:szCs w:val="20"/>
                <w:color w:val="auto"/>
              </w:rPr>
            </w:pPr>
            <w:r>
              <w:rPr>
                <w:rFonts w:ascii="Arial" w:cs="Arial" w:eastAsia="Arial" w:hAnsi="Arial"/>
                <w:sz w:val="18"/>
                <w:szCs w:val="18"/>
                <w:color w:val="auto"/>
              </w:rPr>
              <w:t>12,510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Arthur E. Nathan (20).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James E. Pettis (19).</w:t>
            </w:r>
          </w:p>
        </w:tc>
        <w:tc>
          <w:tcPr>
            <w:tcW w:w="780" w:type="dxa"/>
            <w:vAlign w:val="bottom"/>
          </w:tcPr>
          <w:p>
            <w:pPr>
              <w:jc w:val="right"/>
              <w:spacing w:after="0"/>
              <w:rPr>
                <w:sz w:val="20"/>
                <w:szCs w:val="20"/>
                <w:color w:val="auto"/>
              </w:rPr>
            </w:pPr>
            <w:r>
              <w:rPr>
                <w:rFonts w:ascii="Arial" w:cs="Arial" w:eastAsia="Arial" w:hAnsi="Arial"/>
                <w:sz w:val="18"/>
                <w:szCs w:val="18"/>
                <w:color w:val="auto"/>
              </w:rPr>
              <w:t>13,500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 Todd Nisbet (21)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214,723</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Scott Peterson (22)</w:t>
            </w:r>
          </w:p>
        </w:tc>
        <w:tc>
          <w:tcPr>
            <w:tcW w:w="780" w:type="dxa"/>
            <w:vAlign w:val="bottom"/>
          </w:tcPr>
          <w:p>
            <w:pPr>
              <w:jc w:val="right"/>
              <w:spacing w:after="0"/>
              <w:rPr>
                <w:sz w:val="20"/>
                <w:szCs w:val="20"/>
                <w:color w:val="auto"/>
              </w:rPr>
            </w:pPr>
            <w:r>
              <w:rPr>
                <w:rFonts w:ascii="Arial" w:cs="Arial" w:eastAsia="Arial" w:hAnsi="Arial"/>
                <w:sz w:val="18"/>
                <w:szCs w:val="18"/>
                <w:color w:val="auto"/>
              </w:rPr>
              <w:t>7,500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(18 persons) (23)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51,390,296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right="60" w:hanging="572"/>
        <w:spacing w:after="0" w:line="302" w:lineRule="auto"/>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This table is based upon information supplied by officers of the Company, directors, nominees for director and principal stockholders of Wynn Resorts as well as Wynn Resorts’ transfer agent, and contained in Schedules 13D and 13G filed with the SEC. Unless otherwise indicated in the footnotes to this table and subject to community property laws, where applicable, the Company believes each of the stockholders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60" w:right="60"/>
        <w:spacing w:after="0" w:line="290" w:lineRule="auto"/>
        <w:rPr>
          <w:sz w:val="20"/>
          <w:szCs w:val="20"/>
          <w:color w:val="auto"/>
        </w:rPr>
      </w:pPr>
      <w:r>
        <w:rPr>
          <w:rFonts w:ascii="Arial" w:cs="Arial" w:eastAsia="Arial" w:hAnsi="Arial"/>
          <w:sz w:val="16"/>
          <w:szCs w:val="16"/>
          <w:color w:val="auto"/>
        </w:rPr>
        <w:t>named in this table has sole voting and investment power with respect to the shares indicated as beneficially owned. Applicable percentages are based on 99,292,044 shares of Wynn Resorts’ common stock outstanding as of March 20, 2005, adjusted as required by the rules promulgated by the SEC.</w:t>
      </w:r>
    </w:p>
    <w:p>
      <w:pPr>
        <w:spacing w:after="0" w:line="1" w:lineRule="exact"/>
        <w:rPr>
          <w:sz w:val="20"/>
          <w:szCs w:val="20"/>
          <w:color w:val="auto"/>
        </w:rPr>
      </w:pPr>
    </w:p>
    <w:p>
      <w:pPr>
        <w:ind w:left="580" w:right="240" w:hanging="572"/>
        <w:spacing w:after="0" w:line="254"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200" w:hanging="572"/>
        <w:spacing w:after="0" w:line="281" w:lineRule="auto"/>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Stockholders Agreement, dated April 11, 2002, by and among Stephen A. Wynn, Aruze USA, Inc. (“Aruze USA”) and Baron Asset Fund. Under this agreement, Mr. Wynn and Aruze USA have agreed to vote their shares of Wynn Resorts’ common stock for a slate of directors, a majority of which, including at least two independent directors, will be designated by Mr. Wynn, and the remaining members of which will be designated by Aruze USA.</w:t>
      </w:r>
    </w:p>
    <w:p>
      <w:pPr>
        <w:spacing w:after="0" w:line="2" w:lineRule="exact"/>
        <w:rPr>
          <w:rFonts w:ascii="Arial" w:cs="Arial" w:eastAsia="Arial" w:hAnsi="Arial"/>
          <w:sz w:val="16"/>
          <w:szCs w:val="16"/>
          <w:color w:val="auto"/>
        </w:rPr>
      </w:pPr>
    </w:p>
    <w:p>
      <w:pPr>
        <w:ind w:left="580" w:right="20" w:hanging="572"/>
        <w:spacing w:after="0" w:line="281" w:lineRule="auto"/>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Does not include shares held by Aruze USA, which may be deemed to be beneficially owned by Mr. Wynn by virtue of the Buy-Sell Agreement, dated as of June 13, 2002, by and among Stephen A. Wynn, Mr. Okada, Aruze USA and Aruze Corp. that permits Mr. Wynn to acquire Aruze USA’s shares of Wynn Resorts’ common stock upon certain events related to licensing under Nevada gaming laws.</w:t>
      </w:r>
    </w:p>
    <w:p>
      <w:pPr>
        <w:spacing w:after="0" w:line="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1,000,000 shares, in the aggregate, of Wynn Resorts’ common stock held in four grantor retained annuity trusts created by Stephen A. Wynn and Elaine P. Wynn. Mr. Wynn is the trustee of each of these trusts.</w:t>
      </w:r>
    </w:p>
    <w:p>
      <w:pPr>
        <w:ind w:left="580" w:right="24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a Japanese corporation. Mr. Okada has a controlling interest in Aruze Corp. and is a director of that company. The information provided is based upon a Schedule 13D, dated October 30, 2002, filed by Aruze USA Inc., Aruze Corp. and Kazuo Okada.</w:t>
      </w:r>
    </w:p>
    <w:p>
      <w:pPr>
        <w:spacing w:after="0" w:line="1" w:lineRule="exact"/>
        <w:rPr>
          <w:rFonts w:ascii="Arial" w:cs="Arial" w:eastAsia="Arial" w:hAnsi="Arial"/>
          <w:sz w:val="18"/>
          <w:szCs w:val="18"/>
          <w:color w:val="auto"/>
        </w:rPr>
      </w:pPr>
    </w:p>
    <w:p>
      <w:pPr>
        <w:jc w:val="both"/>
        <w:ind w:left="580" w:right="8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AXA Financial, Inc. (“AFI”) is deemed to have beneficial ownership of these shares, which are held by subsidiaries of AFI. The information provided is based upon a Schedule 13G, dated February 15, 2005, filed by AFI and its affiliates: AXA Assurance I.A.R.D Mutuelle; AXA Assurance Vie Mutuelle; AXA Courtage Assurance Mutuelle; and AXA.</w:t>
      </w:r>
    </w:p>
    <w:p>
      <w:pPr>
        <w:spacing w:after="0" w:line="1" w:lineRule="exact"/>
        <w:rPr>
          <w:rFonts w:ascii="Arial" w:cs="Arial" w:eastAsia="Arial" w:hAnsi="Arial"/>
          <w:sz w:val="18"/>
          <w:szCs w:val="18"/>
          <w:color w:val="auto"/>
        </w:rPr>
      </w:pPr>
    </w:p>
    <w:p>
      <w:pPr>
        <w:ind w:left="580" w:hanging="572"/>
        <w:spacing w:after="0" w:line="281" w:lineRule="auto"/>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Baron Capital Group, Inc. (“BCG”) is deemed to have beneficial ownership of these shares, which are held by BCG or entities that it controls. BCG disclaims beneficial ownership of the shares held by its controlled entities (or the investment advisory clients thereof) to the extent that persons other than BCG hold such shares. The information provided is based upon a Schedule 13G/A, dated February 11, 2005, filed by BCG and its affiliates: Bamco, Inc.; Baron Capital Management, Inc.; and Ronald Baron. The Schedule 13G/A filed with the SEC does not indicate whether such share number includes shares issuable upon the conversion of Wynn Resorts’ convertible debentures.</w:t>
      </w:r>
    </w:p>
    <w:p>
      <w:pPr>
        <w:spacing w:after="0" w:line="3"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The information provided is based upon a Schedule 13G/A, dated February 11, 2005, filed by Marsico. The Schedule 13G/A filed with the SEC does not indicate whether such share number includes shares issuable upon the conversion of Wynn Resorts’ convertible debentures.</w:t>
      </w:r>
    </w:p>
    <w:p>
      <w:pPr>
        <w:spacing w:after="0" w:line="1" w:lineRule="exact"/>
        <w:rPr>
          <w:rFonts w:ascii="Arial" w:cs="Arial" w:eastAsia="Arial" w:hAnsi="Arial"/>
          <w:sz w:val="18"/>
          <w:szCs w:val="18"/>
          <w:color w:val="auto"/>
        </w:rPr>
      </w:pPr>
    </w:p>
    <w:p>
      <w:pPr>
        <w:ind w:left="580" w:hanging="572"/>
        <w:spacing w:after="0" w:line="281" w:lineRule="auto"/>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(i) 189,723 shares of restricted stock granted pursuant to Wynn Resorts’ 2002 Stock Incentive Plan and subject to a Restricted Stock Agreement which provides that such grant will vest in its entirety on May 31, 2005, or upon the earlier death or disability of Mr. Kramer; (ii) 150,000 shares of restricted stock granted pursuant to Wynn Resorts’ 2002 Stock Incentive Plan and subject to a Restricted Stock Agreement which provides that such grant will vest pro rata over a five year period commencing on December 15, 2005, or upon the earlier death or disability of Mr. Kramer; (iii) 100,000 shares subject to an immediately exercisable option to purchase Wynn Resorts’ common stock granted pursuant to Wynn Resorts’ 2002 Stock Incentive Plan at an exercise price of $14.91; and (iv) 7,615 shares of Wynn Resorts’ common stock held by Mr. Kramer’s children, for which Mr. Kramer’s spouse is the custodian and Mr. Kramer disclaims beneficial ownership.</w:t>
      </w:r>
    </w:p>
    <w:p>
      <w:pPr>
        <w:spacing w:after="0" w:line="4" w:lineRule="exact"/>
        <w:rPr>
          <w:rFonts w:ascii="Arial" w:cs="Arial" w:eastAsia="Arial" w:hAnsi="Arial"/>
          <w:sz w:val="16"/>
          <w:szCs w:val="16"/>
          <w:color w:val="auto"/>
        </w:rPr>
      </w:pPr>
    </w:p>
    <w:p>
      <w:pPr>
        <w:ind w:left="580" w:right="100" w:hanging="572"/>
        <w:spacing w:after="0" w:line="254"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(i) 10,000 shares of the Company’s common stock subject to an immediately exercisable option to purchase Wynn Resorts’ common stock granted pursuant to Wynn Resorts’ 2002 Stock Incentive Plan at an exercise price of $13.74; and (ii) 2,500 shares of Wynn Resorts’ common stock subject to an immediately exercisable option to purchase Wynn Resorts’ common stock granted pursuant to Wynn Resorts’ 2002 Stock Incentive Plan at an exercise price of $40.00.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80" w:hanging="572"/>
        <w:spacing w:after="0" w:line="286"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(i) 120,000 shares of Wynn Resorts’ common stock held by Texas Gulf Partners in which Mr. Moran is a partner; and (ii) 1,000 shares of Wynn Resorts’ common stock held by the Carol Moran Trust for the benefit of Mr. Moran’s wife, for which Mr. Moran disclaims beneficial ownership.</w:t>
      </w:r>
    </w:p>
    <w:p>
      <w:pPr>
        <w:ind w:left="580" w:right="12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10,000 shares of Wynn Resorts’ common stock subject to an immediately exercisable option to purchase Wynn Resorts’ common stock granted pursuant to Wynn Resorts’ 2002 Stock Incentive Plan at an exercise price of $40.00.</w:t>
      </w:r>
    </w:p>
    <w:p>
      <w:pPr>
        <w:ind w:left="580" w:right="120" w:hanging="572"/>
        <w:spacing w:after="0" w:line="281"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(i) 10,000 shares subject to an immediately exercisable option to purchase Wynn Resorts’ common stock granted pursuant to Wynn Resorts’ 2002 Stock Incentive Plan at an exercise price of $15.63; (ii) 2,500 shares of Wynn Resorts’ common stock subject to an immediately exercisable option to purchase Wynn Resorts’ common stock granted pursuant to Wynn Resorts’ 2002 Stock Incentive Plan at an exercise price of $40.00.</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24,549,222 shares of Wynn Resorts’ common stock registered in the name of Mrs. Wynn’s husband, Stephen A. Wynn.</w:t>
      </w:r>
    </w:p>
    <w:p>
      <w:pPr>
        <w:spacing w:after="0" w:line="9" w:lineRule="exact"/>
        <w:rPr>
          <w:rFonts w:ascii="Arial" w:cs="Arial" w:eastAsia="Arial" w:hAnsi="Arial"/>
          <w:sz w:val="18"/>
          <w:szCs w:val="18"/>
          <w:color w:val="auto"/>
        </w:rPr>
      </w:pPr>
    </w:p>
    <w:p>
      <w:pPr>
        <w:ind w:left="580" w:right="24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700,000 shares of Wynn Resorts’ common stock held by Zenith Insurance Company, a wholly owned subsidiary of Zenith National Insurance Corp., of which Mr. Zax is President and Chairman of the Board. Mr. Zax disclaims beneficial ownership of the shares held by Zenith Insurance Company.</w:t>
      </w:r>
    </w:p>
    <w:p>
      <w:pPr>
        <w:spacing w:after="0" w:line="1" w:lineRule="exact"/>
        <w:rPr>
          <w:rFonts w:ascii="Arial" w:cs="Arial" w:eastAsia="Arial" w:hAnsi="Arial"/>
          <w:sz w:val="18"/>
          <w:szCs w:val="18"/>
          <w:color w:val="auto"/>
        </w:rPr>
      </w:pPr>
    </w:p>
    <w:p>
      <w:pPr>
        <w:ind w:left="580" w:right="40" w:hanging="572"/>
        <w:spacing w:after="0" w:line="300" w:lineRule="auto"/>
        <w:tabs>
          <w:tab w:leader="none" w:pos="5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Includes (i) 189,723 shares of restricted stock granted pursuant to Wynn Resorts’ 2002 Stock Incentive Plan and subject to a Restricted Stock Agreement which provides that such grant will vest in its entirety on May 31, 2005, or upon the earlier death or disability of Mr. Schorr; (ii) 125,000 shares of restricted stock granted pursuant to Wynn Resorts’ 2002 Stock Incentive Plan and subject to a Restricted Stock Agreement which provides that such grant will vest pro rata over a five year period commencing on December 15, 2005, or upon the earlier death or disability of Mr. Schorr; (iii) 100,000 shares subject to an immediately exercisable option to purchase Wynn Resorts’ common stock granted pursuant to Wynn Resorts’ 2002 Stock Incentive Plan at an exercise price of $15.40 per share; and (iv) 116,000 shares of Wynn Resorts’ common stock held in trust for the benefit of Mr. Schorr and his wife.</w:t>
      </w:r>
    </w:p>
    <w:p>
      <w:pPr>
        <w:spacing w:after="0" w:line="2" w:lineRule="exact"/>
        <w:rPr>
          <w:rFonts w:ascii="Arial" w:cs="Arial" w:eastAsia="Arial" w:hAnsi="Arial"/>
          <w:sz w:val="15"/>
          <w:szCs w:val="15"/>
          <w:color w:val="auto"/>
        </w:rPr>
      </w:pPr>
    </w:p>
    <w:p>
      <w:pPr>
        <w:ind w:left="580" w:right="16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18,750 shares subject to an immediately exercisable option to purchase Wynn Resorts’ common stock granted pursuant to Wynn Resorts’ 2002 Stock Incentive Plan at an exercise price of $19.99 per share.</w:t>
      </w:r>
    </w:p>
    <w:p>
      <w:pPr>
        <w:ind w:left="580" w:right="16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12,500 shares subject to an immediately exercisable option to purchase Wynn Resorts’ common stock granted pursuant to Wynn Resorts’ 2002 Stock Incentive Plan at an exercise price of $13.25 per share.</w:t>
      </w:r>
    </w:p>
    <w:p>
      <w:pPr>
        <w:ind w:left="580" w:right="16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12,500 shares subject to an immediately exercisable option to purchase Wynn Resorts’ common stock granted pursuant to Wynn Resorts’ 2002 Stock Incentive Plan at an exercise price of $15.40 per share.</w:t>
      </w:r>
    </w:p>
    <w:p>
      <w:pPr>
        <w:ind w:left="58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 189,723 shares of restricted stock granted pursuant to Wynn Resorts’ 2002 Stock Incentive Plan and subject to a Restricted Stock Agreement which provides that such grant will vest in its entirety on May 31, 2005, or upon the earlier death or disability of Mr. Nisbet; and (ii) 25,000 shares subject to an immediately exercisable option to purchase Wynn Resorts’ common stock granted pursuant to Wynn Resorts’ 2002 Stock Incentive Plan at an exercise price of $15.40 per share.</w:t>
      </w:r>
    </w:p>
    <w:p>
      <w:pPr>
        <w:spacing w:after="0" w:line="1" w:lineRule="exact"/>
        <w:rPr>
          <w:rFonts w:ascii="Arial" w:cs="Arial" w:eastAsia="Arial" w:hAnsi="Arial"/>
          <w:sz w:val="18"/>
          <w:szCs w:val="18"/>
          <w:color w:val="auto"/>
        </w:rPr>
      </w:pPr>
    </w:p>
    <w:p>
      <w:pPr>
        <w:ind w:left="580" w:right="32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7,500 shares subject to immediately exercisable options granted pursuant to Wynn Resorts’ 2002 Stock Incentive Plan at an exercise price of $13.25 per share.</w:t>
      </w: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Also includes 360,000 shares subject to immediately exercisable options granted pursuant to the Company’s 2002 Stock Incentive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Until it was closed on May 6, 2004, Holdings operated an art gallery at the former Desert Inn displaying The Wynn Collection, a collection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artwork owned by Mr. and Mrs. Wynn. Under the terms of the Art Rental and Licensing Agreement under which The Wynn Collection was exhibited at the time the art gallery was closed, Mr. and Mrs. Wynn leased The Wynn Collection to Holdings for an annual fee of one dollar ($1), and Holdings was entitled to retain all revenues from the public display of The Wynn Collection and the related merchandising revenues. Holdings was responsible for all expenses incurred in exhibiting and safeguarding The Wynn Collection, including the cost of insurance (including terrorism insurance) and taxes relating to the rental of The Wynn Collection.</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August 6, 2004, the Art Rental and Licensing Agreement was amended to set forth the terms and conditions under which the Company will exhibit The Wynn Collection at Wynn Las Vegas effective upon the opening of the new resort. The terms of the amended Art Rental and Licensing Agreement are substantially the same as the terms under which the Holdings most recently had displayed The Wynn Collection in the gallery in the former Desert Inn, including an annual rental of one dollar ($1) for all of the leased works.</w:t>
      </w:r>
    </w:p>
    <w:p>
      <w:pPr>
        <w:spacing w:after="0" w:line="12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Villa Lease</w:t>
      </w:r>
      <w:r>
        <w:rPr>
          <w:rFonts w:ascii="Arial" w:cs="Arial" w:eastAsia="Arial" w:hAnsi="Arial"/>
          <w:sz w:val="16"/>
          <w:szCs w:val="16"/>
          <w:color w:val="auto"/>
        </w:rPr>
        <w:t>. On December 29, 2004, the Company entered into an agreement with Mr. Wynn for the lease of a villa suite in the Wynn Las Vegas resort to</w:t>
      </w:r>
      <w:r>
        <w:rPr>
          <w:rFonts w:ascii="Arial" w:cs="Arial" w:eastAsia="Arial" w:hAnsi="Arial"/>
          <w:sz w:val="16"/>
          <w:szCs w:val="16"/>
          <w:b w:val="1"/>
          <w:bCs w:val="1"/>
          <w:color w:val="auto"/>
        </w:rPr>
        <w:t xml:space="preserve"> </w:t>
      </w:r>
      <w:r>
        <w:rPr>
          <w:rFonts w:ascii="Arial" w:cs="Arial" w:eastAsia="Arial" w:hAnsi="Arial"/>
          <w:sz w:val="16"/>
          <w:szCs w:val="16"/>
          <w:color w:val="auto"/>
        </w:rPr>
        <w:t>Mr. and Mrs. Wynn as their personal residence. The agreement becomes effective on the earlier of the date that Mr. and Mrs. Wynn first occupy the suite or the initial opening of Wynn Las Vegas to the public. The term of the agreement continues from year to year unless terminated on at least 90 days’ written notice prior to the end of any lease year, or upon the death of Mr. Wynn. Rent will be determined each year by the Audit Committee and will be based on the fair market value of the use of the suite accommodations. The Audit Committee has determined, based upon a third party appraisal, that the rental for the first lease year will be $580,000. All services for, and maintenance of, the suite are included in the rental, with certain exceptions.</w:t>
      </w:r>
    </w:p>
    <w:p>
      <w:pPr>
        <w:spacing w:after="0" w:line="9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Aircraft Arrangements. </w:t>
      </w:r>
      <w:r>
        <w:rPr>
          <w:rFonts w:ascii="Arial" w:cs="Arial" w:eastAsia="Arial" w:hAnsi="Arial"/>
          <w:sz w:val="18"/>
          <w:szCs w:val="18"/>
          <w:color w:val="auto"/>
        </w:rPr>
        <w:t>Messrs. Wynn, Kramer and Schorr have time-sharing agreements with the Company covering their personal use of Company-owned aircraft that require each executive to pay the Company his and his family’s share of the direct costs that incurred in operating the aircraft, up to an amount determined by using the Internal Revenue Service Standard Industry Fare Level (SIFL) tables. During 2004, the following amounts were paid to the Company pursuant to these timesharing arrangements: Stephen A. Wynn ($207,299); Mr. Kramer ($11,953); and Mr. Schorr ($42,854). In the event that direct costs in operating the aircraft exceed the amounts determined by using the SIFL method, such additional costs are paid for by the Company. Pursuant to the provisions of the American Jobs Creation Act of 2004, such additional costs incurred after October 22, 2004, are not eligible to be claimed as a deduction for United States federal income tax purposes.</w:t>
      </w:r>
    </w:p>
    <w:p>
      <w:pPr>
        <w:spacing w:after="0" w:line="128"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Reimbursable Costs. </w:t>
      </w:r>
      <w:r>
        <w:rPr>
          <w:rFonts w:ascii="Arial" w:cs="Arial" w:eastAsia="Arial" w:hAnsi="Arial"/>
          <w:sz w:val="18"/>
          <w:szCs w:val="18"/>
          <w:color w:val="auto"/>
        </w:rPr>
        <w:t>We periodically incur costs on Mr. Wynn’s and certain other officers’ behalf, including costs with respect to personal use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aircraft, household employees, personal legal fees, construction work and other personal purchases. Mr. Wynn and other officers have deposits with the Company to prepay any such items. These deposits are replenished on an ongoing basis as needed. At December 31, 2004, the Company’s net liability to Mr. Wynn and other officers was approximately $71,000.</w:t>
      </w:r>
    </w:p>
    <w:p>
      <w:pPr>
        <w:spacing w:after="0" w:line="123"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b w:val="1"/>
          <w:bCs w:val="1"/>
          <w:color w:val="auto"/>
        </w:rPr>
        <w:t xml:space="preserve">Management Agreement. </w:t>
      </w:r>
      <w:r>
        <w:rPr>
          <w:rFonts w:ascii="Arial" w:cs="Arial" w:eastAsia="Arial" w:hAnsi="Arial"/>
          <w:sz w:val="15"/>
          <w:szCs w:val="15"/>
          <w:color w:val="auto"/>
        </w:rPr>
        <w:t>On December 14, 2004, the Company, certain of its subsidiaries and Wynn Resorts entered into a management agreement under</w:t>
      </w:r>
      <w:r>
        <w:rPr>
          <w:rFonts w:ascii="Arial" w:cs="Arial" w:eastAsia="Arial" w:hAnsi="Arial"/>
          <w:sz w:val="15"/>
          <w:szCs w:val="15"/>
          <w:b w:val="1"/>
          <w:bCs w:val="1"/>
          <w:color w:val="auto"/>
        </w:rPr>
        <w:t xml:space="preserve"> </w:t>
      </w:r>
      <w:r>
        <w:rPr>
          <w:rFonts w:ascii="Arial" w:cs="Arial" w:eastAsia="Arial" w:hAnsi="Arial"/>
          <w:sz w:val="15"/>
          <w:szCs w:val="15"/>
          <w:color w:val="auto"/>
        </w:rPr>
        <w:t>which Wynn Resorts provides management and advisory services to the Company in connection with the Company’s Wynn Las Vegas and Encore projects. The services provided by Wynn Resorts include the use of certain of its executive officers, including Messrs. Schorr and Rubinstein. The Company has agreed to pay Wynn Resorts, as compensation for the services to be rendered under the management agreement, a yearly management fee equal to one and one-half percent</w:t>
      </w:r>
    </w:p>
    <w:p>
      <w:pPr>
        <w:spacing w:after="0" w:line="3"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(1.5%) of the net revenues of the Company (as determined in accordance with generally accepted accounting principles as applicable to companies in the gaming business), payable semi-annually in arrears. Accrual of such fee shall commence upon the opening of Wynn Las Vegas.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EXCHANGE OFFER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terms and conditions detailed in this prospectus, we will accept for exchange old notes that are properly tendered on or prior to the expiration</w:t>
      </w:r>
    </w:p>
    <w:p>
      <w:pPr>
        <w:spacing w:after="0" w:line="38"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date and not withdrawn as permitted below. When we refer to the term expiration date, we mean 5:00 p.m., New York City time, , 2005, the 21st business day following the date of this prospectus. We may, however, in our sole discretion, extend the period of time that the exchange offer is open. In such event, the term expiration date means the latest time and date to which the exchange offer is extended.</w:t>
      </w:r>
    </w:p>
    <w:p>
      <w:pPr>
        <w:spacing w:after="0" w:line="13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the date of this prospectus, $1.3 billion principal amount of old notes are outstanding. We are sending this prospectus, together with the letter of transmittal, to all holders of old notes that we are aware of on the date of this prospectus.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Old notes tendered in the exchange offer must be in denominations of principal amount of $1,000 and any integral multiple thereof.</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of the exchange offer specified under “—Conditions to the Exchange Offer.”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upon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on or prior to the expiration date. In addition, either:</w:t>
      </w:r>
    </w:p>
    <w:p>
      <w:pPr>
        <w:spacing w:after="0" w:line="21"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along with the letter of transmittal, or</w:t>
      </w:r>
    </w:p>
    <w:p>
      <w:pPr>
        <w:spacing w:after="0" w:line="103" w:lineRule="exact"/>
        <w:rPr>
          <w:rFonts w:ascii="Arial" w:cs="Arial" w:eastAsia="Arial" w:hAnsi="Arial"/>
          <w:sz w:val="18"/>
          <w:szCs w:val="18"/>
          <w:color w:val="auto"/>
        </w:rPr>
      </w:pPr>
    </w:p>
    <w:p>
      <w:pPr>
        <w:ind w:left="900" w:right="80" w:hanging="446"/>
        <w:spacing w:after="0" w:line="298"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89 must be received by the exchange agent prior to the expiration date, with the letter of transmittal or an agent’s message in place of the letter of transmittal, or the holder must comply with the guaranteed delivery procedures described below.</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37" w:lineRule="exact"/>
        <w:rPr>
          <w:sz w:val="20"/>
          <w:szCs w:val="20"/>
          <w:color w:val="auto"/>
        </w:rPr>
      </w:pPr>
    </w:p>
    <w:p>
      <w:pPr>
        <w:ind w:left="90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 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in our sole discretion, duly executed by the registered holders with the signature thereon guaranteed by an Eligible Institution.</w:t>
      </w:r>
    </w:p>
    <w:p>
      <w:pPr>
        <w:spacing w:after="0" w:line="13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or the exchange agent in our sole discretion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judgment or our counsel’s,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0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7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77" w:lineRule="exact"/>
        <w:rPr>
          <w:sz w:val="20"/>
          <w:szCs w:val="20"/>
          <w:color w:val="auto"/>
        </w:rPr>
      </w:pPr>
    </w:p>
    <w:p>
      <w:pPr>
        <w:ind w:left="900" w:right="1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20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the holder is not engaged in or does not intend to engage in a distribution of the new notes.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1"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could not rely on the applicable interpretations of the staff of the SEC;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2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resale of such new notes. See “Plan of Distribution.” The letter of transmittal states that by so acknowledging and by delivering a prospectus, a broker-dealer will not be deemed to admit that it is an “underwriter” within the meaning of the Securities 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notes. See “—Conditions to the Exchange Offer.” For purposes of the exchange offer, we will be deemed to have accepted properly tendered old notes for exchange if and when we give oral (confirmed in writing) or written notice to the exchange agent.</w:t>
      </w:r>
    </w:p>
    <w:p>
      <w:pPr>
        <w:spacing w:after="0" w:line="9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 Accordingly, holders of new notes on the record date for the first interest payment date following the consummation of the exchange offer will received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00"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85"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book-entry procedures described below, the non-exchanged old notes will be credited to an account maintained with DTC, as promptly as practicable after the expiration or termination of the exchange offer.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 agent’s message in lieu thereof, with any required signature guarantees and any other required documents, must, in any case, be transmitted to and received by the exchange agent at the address set forth under “—Exchange Agent” on or prior to the expiration date or the guaranteed delivery procedures described below must be complied with.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37" w:lineRule="exact"/>
        <w:rPr>
          <w:sz w:val="20"/>
          <w:szCs w:val="20"/>
          <w:color w:val="auto"/>
        </w:rPr>
      </w:pPr>
    </w:p>
    <w:p>
      <w:pPr>
        <w:ind w:left="900" w:hanging="446"/>
        <w:spacing w:after="0" w:line="290"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received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23"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one of the addresses set forth under “—Exchange Agent.” This notice must specify:</w:t>
      </w:r>
    </w:p>
    <w:p>
      <w:pPr>
        <w:spacing w:after="0" w:line="37"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103"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29"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on or prior to the expiration date.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83" w:lineRule="exact"/>
        <w:rPr>
          <w:sz w:val="20"/>
          <w:szCs w:val="20"/>
          <w:color w:val="auto"/>
        </w:rPr>
      </w:pPr>
    </w:p>
    <w:p>
      <w:pPr>
        <w:ind w:right="20" w:firstLine="456"/>
        <w:spacing w:after="0" w:line="325"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acceptance of such old notes:</w:t>
      </w:r>
    </w:p>
    <w:p>
      <w:pPr>
        <w:spacing w:after="0" w:line="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103"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103"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18"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conditions stated above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qualification of the indenture under the Trust Indenture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651-495-8158</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5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expenses, including fees and expenses of the trustee under the indenture relating to the new notes, filing fees, blue sky fees and printing and distribution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will not make any payment to brokers, dealers or others soliciting acceptances of the exchange offer.</w:t>
      </w:r>
    </w:p>
    <w:p>
      <w:pPr>
        <w:spacing w:after="0" w:line="1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83"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We will record the new notes at the same carrying value as the old notes, as reflected in our accounting records on the date of the exchange. Accordingly, we will not recognize any gain or loss for accounting purposes. The expenses of the exchange offer will be amortized over the term of the new notes.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8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If you do not exchange your old notes for new notes in the exchange offer, your old notes will continue to be subject to the provisions of the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 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 any purchaser of new notes who is one of our “affiliates” as defined in Rule 405 under the Securities Act or who intends to participate in the exchange offer for the purpose of distributing the new notes:</w:t>
      </w:r>
    </w:p>
    <w:p>
      <w:pPr>
        <w:spacing w:after="0" w:line="48"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103"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7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NEW NOTES</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You can find the definitions of certain terms used in this description under the subheading “Certain Definitions.” In this description: (1) the words “Wynn Las Vegas” refers to Wynn Las Vegas, LLC and not to any of its subsidiaries, (2) the words “Wynn Capital” refers to Wynn Capital Corp. and not to any of its subsidiaries, (3) the word “Issuers” refers collectively to Wynn Las Vegas and Wynn Capital and not to any of their respective subsidiaries, and (4) the words “we,” “us” and “our” refer to Wynn Las Vegas and its subsidiaries.</w:t>
      </w:r>
    </w:p>
    <w:p>
      <w:pPr>
        <w:spacing w:after="0" w:line="13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Issuers will issue the new notes under an indenture, dated as of December 14, 2004, among the Issuers, as joint and several obligors, the Guarantors and U.S. Bank National Association, as trustee. This is the same indenture under which the old notes were issued. The terms of the new notes will include those stated in the indenture and those made part of the indenture by reference to the Trust Indenture Act of 1939, as amended. The Collateral Documents referred to under the caption “—Security Interests” define the terms of the collateral that will secure the notes.</w:t>
      </w:r>
    </w:p>
    <w:p>
      <w:pPr>
        <w:spacing w:after="0" w:line="99"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99" w:lineRule="exact"/>
        <w:rPr>
          <w:sz w:val="20"/>
          <w:szCs w:val="20"/>
          <w:color w:val="auto"/>
        </w:rPr>
      </w:pPr>
    </w:p>
    <w:p>
      <w:pPr>
        <w:ind w:right="980" w:firstLine="456"/>
        <w:spacing w:after="0" w:line="375" w:lineRule="auto"/>
        <w:rPr>
          <w:sz w:val="20"/>
          <w:szCs w:val="20"/>
          <w:color w:val="auto"/>
        </w:rPr>
      </w:pPr>
      <w:r>
        <w:rPr>
          <w:rFonts w:ascii="Arial" w:cs="Arial" w:eastAsia="Arial" w:hAnsi="Arial"/>
          <w:sz w:val="18"/>
          <w:szCs w:val="18"/>
          <w:color w:val="auto"/>
        </w:rPr>
        <w:t xml:space="preserve">The registered holder of a note will be treated as the owner of it for all purposes. Only registered holders will have rights under the indenture. </w:t>
      </w:r>
      <w:r>
        <w:rPr>
          <w:rFonts w:ascii="Arial" w:cs="Arial" w:eastAsia="Arial" w:hAnsi="Arial"/>
          <w:sz w:val="18"/>
          <w:szCs w:val="18"/>
          <w:b w:val="1"/>
          <w:bCs w:val="1"/>
          <w:color w:val="auto"/>
        </w:rPr>
        <w:t>The New Notes Versus the Old Notes</w:t>
      </w:r>
    </w:p>
    <w:p>
      <w:pPr>
        <w:spacing w:after="0" w:line="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new notes are substantially identical to the old notes except that the transfer restrictions and registration rights relating to the old notes do not apply to the new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New Notes and the Note Guarantees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The Issuers</w:t>
      </w:r>
      <w:r>
        <w:rPr>
          <w:rFonts w:ascii="Arial" w:cs="Arial" w:eastAsia="Arial" w:hAnsi="Arial"/>
          <w:sz w:val="16"/>
          <w:szCs w:val="16"/>
          <w:color w:val="auto"/>
        </w:rPr>
        <w:t>. Wynn Las Vegas is constructing and will own and operate the Wynn Las Vegas hotel and casino resort. Wynn Capital is a Wholly Owned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of Wynn Las Vegas, incorporated to serve as a corporate co-issuer of the Second Mortgage Notes, and will serve as a corporate co-issuer of the notes in order to facilitate this exchange offer. We believe that certain prospective investors in the new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notes should not expect Wynn Capital to participate in servicing principal, interest or other amounts required to be paid on the new notes.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notes:</w:t>
      </w:r>
    </w:p>
    <w:p>
      <w:pPr>
        <w:spacing w:after="0" w:line="77"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$1.3 billion;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will mature on December 1, 2014;</w:t>
      </w:r>
    </w:p>
    <w:p>
      <w:pPr>
        <w:spacing w:after="0" w:line="103" w:lineRule="exact"/>
        <w:rPr>
          <w:rFonts w:ascii="Arial" w:cs="Arial" w:eastAsia="Arial" w:hAnsi="Arial"/>
          <w:sz w:val="18"/>
          <w:szCs w:val="18"/>
          <w:color w:val="auto"/>
        </w:rPr>
      </w:pPr>
    </w:p>
    <w:p>
      <w:pPr>
        <w:ind w:left="900" w:hanging="446"/>
        <w:spacing w:after="0" w:line="22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payable in arrears each June 1 and December 1, commencing June 1, 2005;</w:t>
      </w:r>
    </w:p>
    <w:p>
      <w:pPr>
        <w:spacing w:after="0" w:line="62" w:lineRule="exact"/>
        <w:rPr>
          <w:rFonts w:ascii="Arial" w:cs="Arial" w:eastAsia="Arial" w:hAnsi="Arial"/>
          <w:sz w:val="18"/>
          <w:szCs w:val="18"/>
          <w:color w:val="auto"/>
        </w:rPr>
      </w:pPr>
    </w:p>
    <w:p>
      <w:pPr>
        <w:ind w:left="900" w:hanging="446"/>
        <w:spacing w:after="0" w:line="325"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will be redeemable at our option at any time prior to December 1, 2007 in an amount up to 35% of the aggregate principal amount of the notes issued under the indenture at a redemption price of 106.625% with the proceeds of one or more Qualified Equity Offerings;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December 1, 2009, at a premium declining ratably to par;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45" w:lineRule="exact"/>
        <w:rPr>
          <w:rFonts w:ascii="Arial" w:cs="Arial" w:eastAsia="Arial" w:hAnsi="Arial"/>
          <w:sz w:val="18"/>
          <w:szCs w:val="18"/>
          <w:color w:val="auto"/>
        </w:rPr>
      </w:pPr>
    </w:p>
    <w:p>
      <w:pPr>
        <w:ind w:left="900" w:right="220" w:hanging="446"/>
        <w:spacing w:after="0" w:line="306"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notes will be guaranteed by certain of Wynn Las Vegas’ direct subsidiaries. These subsidiaries are:</w:t>
      </w:r>
    </w:p>
    <w:p>
      <w:pPr>
        <w:spacing w:after="0" w:line="77"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Las Vegas Jet, LLC, which leases a corporate aircraft from World Travel, LLC, and operates the aircraft under federal aviation regulations, Part 91;</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World Travel, LLC, which holds the beneficial interest in a trust that owns the corporate aircraft and leases it to Las Vegas Jet, LLC;</w:t>
      </w:r>
    </w:p>
    <w:p>
      <w:pPr>
        <w:spacing w:after="0" w:line="103"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Wynn Sunrise, LLC, which owns the Koval Land, which consists of approximately 18 acres of land located across from the Projects on Koval Lane and Sands Avenue which we intend to use for employee parking and other ancillary uses;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Wynn Show Performers, LLC, which has contracts with show performers who will perform at the Entertainment Facility; and</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Wynn Golf, LLC, which owns the Golf Course Land, the Water Rights related to the Golf Course Land and sixty-five residential lots adjacent to the Golf Course Land.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only subsidiary that is not a Guarantor is the Completion Guarantor, which is an Unrestricted Subsidiary of Wynn Las Vegas.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Security and Ranking. </w:t>
      </w:r>
      <w:r>
        <w:rPr>
          <w:rFonts w:ascii="Arial" w:cs="Arial" w:eastAsia="Arial" w:hAnsi="Arial"/>
          <w:sz w:val="18"/>
          <w:szCs w:val="18"/>
          <w:color w:val="auto"/>
        </w:rPr>
        <w:t>The new notes and the Guarantees:</w:t>
      </w:r>
    </w:p>
    <w:p>
      <w:pPr>
        <w:spacing w:after="0" w:line="77"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103" w:lineRule="exact"/>
        <w:rPr>
          <w:rFonts w:ascii="Arial" w:cs="Arial" w:eastAsia="Arial" w:hAnsi="Arial"/>
          <w:sz w:val="18"/>
          <w:szCs w:val="18"/>
          <w:color w:val="auto"/>
        </w:rPr>
      </w:pPr>
    </w:p>
    <w:p>
      <w:pPr>
        <w:ind w:left="900" w:right="80" w:hanging="446"/>
        <w:spacing w:after="0" w:line="310" w:lineRule="auto"/>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will be secured, in the case of the notes, by a perfected first priority lien on (1) certain of the net proceeds of the offering of the old notes deposited into the Secured Account, pending release to fund disbursement requests under the Disbursement Agreement, (2) substantially all of the existing and future assets of Wynn Las Vegas including the Projects, the amounts on deposit from time to time in the Liquidity Reserve Account, pledged Equity Interests in our Restricted Subsidiaries, all other real property held by Wynn Las Vegas and certain personal property, including items of furniture, fixture and equipment located within the Projects, but excluding gaming and liquor licenses and other assets in which the grant of a security interest is restricted by law and any proceeds held in a secured account at Wynn Las Vegas drawn or incurred under the Credit Agreement from time to time, pending release to fund disbursement requests under the Disbursement Agreement, (3) all amounts on deposit from time to time in the Completion Guarantor’s completion guarantee deposit account and (4) the pledged Equity Interests held by Wynn Resorts Holdings in Wynn Las Vegas;</w:t>
      </w:r>
    </w:p>
    <w:p>
      <w:pPr>
        <w:spacing w:after="0" w:line="13" w:lineRule="exact"/>
        <w:rPr>
          <w:rFonts w:ascii="Arial" w:cs="Arial" w:eastAsia="Arial" w:hAnsi="Arial"/>
          <w:sz w:val="15"/>
          <w:szCs w:val="15"/>
          <w:color w:val="auto"/>
        </w:rPr>
      </w:pPr>
    </w:p>
    <w:p>
      <w:pPr>
        <w:ind w:left="900" w:hanging="446"/>
        <w:spacing w:after="0" w:line="255"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will be secured, in the case of the Guarantees, by a perfected first priority lien on substantially all of the Guarantors’ existing and future assets, all items of furniture, fixture and equipment owned by the Guarantors, and at least initially, the Golf Course Land, Water Rights for the Golf Course Land, sixty-five residential lots adjacent to the Golf Course Land owned by Wynn Golf, LLC, Wynn Las Vegas’ water entertainment features and certain specified Phase I Key Project Documents, but excluding the Aircraft Assets in certain circumstances and gaming and liquor licenses and other assets in which the grant of a security interest is prohibited by law;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Wynn Las Vegas’ borrowings of up to $1.0 billion under the Credit Agreement, which borrowings will be secured by a perfected first priority lien on the same assets as are subject to the lien securing the notes and the Guarantees, other than the proceeds of the offering of old notes held in the Secured Account;</w:t>
      </w:r>
    </w:p>
    <w:p>
      <w:pPr>
        <w:spacing w:after="0" w:line="45"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remaining Second Mortgage Notes, any other subordinated Indebtedness and the related guarantees thereon;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trustee has entered into an amended and restated intercreditor agreement to govern the relations between the noteholders, the lenders under the Credit Agreement and the collateral agent with respect to the Collateral (the “</w:t>
      </w:r>
      <w:r>
        <w:rPr>
          <w:rFonts w:ascii="Arial" w:cs="Arial" w:eastAsia="Arial" w:hAnsi="Arial"/>
          <w:sz w:val="16"/>
          <w:szCs w:val="16"/>
          <w:i w:val="1"/>
          <w:iCs w:val="1"/>
          <w:color w:val="auto"/>
        </w:rPr>
        <w:t>Intercreditor Agreement</w:t>
      </w:r>
      <w:r>
        <w:rPr>
          <w:rFonts w:ascii="Arial" w:cs="Arial" w:eastAsia="Arial" w:hAnsi="Arial"/>
          <w:sz w:val="16"/>
          <w:szCs w:val="16"/>
          <w:color w:val="auto"/>
        </w:rPr>
        <w:t>”). The Intercreditor Agreement imposes restrictions on the enforcement of remedies with respect to the Collateral securing the notes and the Guarantees under specified circumstances. See “Intercreditor Agreement.”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indenture provides that if (i) the lenders under the Credit Agreement release their first priority security interest in all of the Collateral, (ii) the Phase II Completion Date has occurred, (iii) no Second Mortgage Notes remain outstanding or the indenture governing the Second Mortgage Notes has been satisfied and discharged and (iv) 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noteholders’ first priority security interest in all of the Collateral will also be released. See “—Security—Release of Collateral.”</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indenture provides that the noteholders’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notes then outstanding.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Issuers will issue up to $1.3 billion in aggregate principal amount of new notes pursuant to this exchange offer. The Issuers may issue additional notes under the indenture from time to time after this exchange offer. Any issuance of additional notes is subject to all of the covenants in the indenture, including the covenant described below under the caption “—Certain Covenants—Incurrence of Indebtedness and Issuance of Disqualified Stock.” The notes and any additional notes subsequently issued under the indenture will be treated as a single class for all purposes under the indenture, including, without limitation, waivers, amendments, redemptions and offers to purchase. The Issuers will issue notes in denominations of $1,000 and integral multiples of $1,000. The notes will mature on December 1, 2014.</w:t>
      </w:r>
    </w:p>
    <w:p>
      <w:pPr>
        <w:spacing w:after="0" w:line="131" w:lineRule="exact"/>
        <w:rPr>
          <w:sz w:val="20"/>
          <w:szCs w:val="20"/>
          <w:color w:val="auto"/>
        </w:rPr>
      </w:pPr>
    </w:p>
    <w:p>
      <w:pPr>
        <w:ind w:right="20" w:firstLine="456"/>
        <w:spacing w:after="0" w:line="272" w:lineRule="auto"/>
        <w:rPr>
          <w:sz w:val="20"/>
          <w:szCs w:val="20"/>
          <w:color w:val="auto"/>
        </w:rPr>
      </w:pPr>
      <w:r>
        <w:rPr>
          <w:rFonts w:ascii="Arial" w:cs="Arial" w:eastAsia="Arial" w:hAnsi="Arial"/>
          <w:sz w:val="16"/>
          <w:szCs w:val="16"/>
          <w:color w:val="auto"/>
        </w:rPr>
        <w:t xml:space="preserve">Interest on the notes accrues at the rate of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per annum and is payable semi-annually in arrears on June 1 and December 1, commencing on June 1, 2005. Interest on overdue principal and interest and Liquidated Damages, if any, will accrue at a rate that is 1% higher than the then applicable interest rate on the notes. The Issuers will make each interest payment to the holders of record on the immediately preceding May 15 and November 15.</w:t>
      </w:r>
    </w:p>
    <w:p>
      <w:pPr>
        <w:spacing w:after="0" w:line="11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Interest on the notes accrues from the date of original issuance or, if interest has already been paid, from the date it was most recently paid. Interest will be computed on the basis of a 360-day year comprised of twelve 30-day months.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 holder of notes has given wire transfer instructions to the Issuers, the Issuers will pay all principal, interest and premium and Liquidated Damages, if any, on that holder’s notes in accordance with those instructions. All other payments on the notes will be made at the office or agency of the paying agent and registrar within the City and State of New York unless the Issuers elect to make interest payments by check mailed to the noteholders at their address set forth in the register of 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is currently acting as paying agent and registrar. The Issuers may change the paying agent or registrar without prior notice to the holders of the notes, and either or both of the Issuers or any of their respective Subsidiaries may act as paying agent or registrar.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due on transfer. The Issuers will not be required to transfer or exchange any note selected for redemption. Also, the Issuers will not be required to transfer or exchange any note for a period of 15 days before a selection of notes to be redeemed.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Guarantees are joint and several obligations of the Guarantors. The obligations of each Guarantor under its Note Guarantee are limited as necessary to prevent such Guarantee from constituting a fraudulent conveyance under applicable law. See “Risk Factors—Risks Related to the Offering and the Notes.” Federal and state statutes allow courts, under specific circumstances, to void guarantees and require noteholders to return payments received from us or the Guarantors.</w:t>
      </w:r>
    </w:p>
    <w:p>
      <w:pPr>
        <w:spacing w:after="0" w:line="13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Guarantees are secured by substantially all of the assets of the Guarantors (other than the Aircraft Assets) as more fully described below under the caption “—Security—Security for the Note Guarantees.”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70" w:lineRule="exact"/>
        <w:rPr>
          <w:sz w:val="20"/>
          <w:szCs w:val="20"/>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300" w:firstLine="421"/>
        <w:spacing w:after="0" w:line="306" w:lineRule="auto"/>
        <w:tabs>
          <w:tab w:leader="none" w:pos="1579"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12" w:lineRule="exact"/>
        <w:rPr>
          <w:rFonts w:ascii="Arial" w:cs="Arial" w:eastAsia="Arial" w:hAnsi="Arial"/>
          <w:sz w:val="16"/>
          <w:szCs w:val="16"/>
          <w:color w:val="auto"/>
        </w:rPr>
      </w:pPr>
    </w:p>
    <w:p>
      <w:pPr>
        <w:ind w:left="1580" w:hanging="239"/>
        <w:spacing w:after="0"/>
        <w:tabs>
          <w:tab w:leader="none" w:pos="15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Guarantees</w:t>
      </w:r>
    </w:p>
    <w:p>
      <w:pPr>
        <w:spacing w:after="0" w:line="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Guarantee of a Guarantor and the security interests granted by that Guarantor to secure its Guarantee will be released:</w:t>
      </w:r>
    </w:p>
    <w:p>
      <w:pPr>
        <w:spacing w:after="0" w:line="37" w:lineRule="exact"/>
        <w:rPr>
          <w:sz w:val="20"/>
          <w:szCs w:val="20"/>
          <w:color w:val="auto"/>
        </w:rPr>
      </w:pPr>
    </w:p>
    <w:p>
      <w:pPr>
        <w:ind w:left="460" w:right="40" w:firstLine="443"/>
        <w:spacing w:after="0" w:line="254"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lenders under the Credit Agreement release the guarantees by such Guarantor under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49" w:lineRule="exact"/>
        <w:rPr>
          <w:rFonts w:ascii="Arial" w:cs="Arial" w:eastAsia="Arial" w:hAnsi="Arial"/>
          <w:sz w:val="18"/>
          <w:szCs w:val="18"/>
          <w:color w:val="auto"/>
        </w:rPr>
      </w:pPr>
    </w:p>
    <w:p>
      <w:pPr>
        <w:ind w:left="1160" w:hanging="257"/>
        <w:spacing w:after="0"/>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w:t>
      </w:r>
    </w:p>
    <w:p>
      <w:pPr>
        <w:spacing w:after="0" w:line="38" w:lineRule="exact"/>
        <w:rPr>
          <w:rFonts w:ascii="Arial" w:cs="Arial" w:eastAsia="Arial" w:hAnsi="Arial"/>
          <w:sz w:val="16"/>
          <w:szCs w:val="16"/>
          <w:color w:val="auto"/>
        </w:rPr>
      </w:pPr>
    </w:p>
    <w:p>
      <w:pPr>
        <w:ind w:left="460"/>
        <w:spacing w:after="0" w:line="255" w:lineRule="auto"/>
        <w:rPr>
          <w:rFonts w:ascii="Arial" w:cs="Arial" w:eastAsia="Arial" w:hAnsi="Arial"/>
          <w:sz w:val="16"/>
          <w:szCs w:val="16"/>
          <w:color w:val="auto"/>
        </w:rPr>
      </w:pPr>
      <w:r>
        <w:rPr>
          <w:rFonts w:ascii="Arial" w:cs="Arial" w:eastAsia="Arial" w:hAnsi="Arial"/>
          <w:sz w:val="18"/>
          <w:szCs w:val="18"/>
          <w:color w:val="auto"/>
        </w:rPr>
        <w:t>consolidation) to a Person that is not (either before or after giving effect to such transaction) an Issuer or a Restricted Subsidiary of Wynn Las Vegas, if the sale or other disposition is made in compliance with the “Asset Sale” provisions of the indenture, and if, after giving effect to such sale or other disposition, such Guarantor is an Immaterial Subsidiary;</w:t>
      </w:r>
    </w:p>
    <w:p>
      <w:pPr>
        <w:spacing w:after="0" w:line="49" w:lineRule="exact"/>
        <w:rPr>
          <w:rFonts w:ascii="Arial" w:cs="Arial" w:eastAsia="Arial" w:hAnsi="Arial"/>
          <w:sz w:val="16"/>
          <w:szCs w:val="16"/>
          <w:color w:val="auto"/>
        </w:rPr>
      </w:pPr>
    </w:p>
    <w:p>
      <w:pPr>
        <w:ind w:left="460" w:right="200" w:firstLine="443"/>
        <w:spacing w:after="0" w:line="259"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 provisions of the indenture;</w:t>
      </w:r>
    </w:p>
    <w:p>
      <w:pPr>
        <w:spacing w:after="0" w:line="45"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Wynn Las Vegas designates any Restricted Subsidiary that is a Guarantor to be an Unrestricted Subsidiary in accordance with the applicable provisions of the indenture; or</w:t>
      </w:r>
    </w:p>
    <w:p>
      <w:pPr>
        <w:spacing w:after="0" w:line="37"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See “—Repurchase at the Option of Holders—Asset Sale” and “—Certain Covenants—Designation of Restricted and Unrestricted Subsidiaries.”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the release of any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12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addition to the release of the Guarantee by Wynn Golf, LLC pursuant to the provisions described above, the security interests of the noteholders in the Golf Course Land and certain portion of the Golf Course Land owned by Wynn Golf, LLC may be released under the circumstances described below under the captions “—Security—Release of Golf Course Land,” “—Release of Portions of the Golf Course Land,” and “—Release of Homesite Acreage.”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New Notes</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notes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secured by, among other things:</w:t>
      </w:r>
    </w:p>
    <w:p>
      <w:pPr>
        <w:spacing w:after="0" w:line="37" w:lineRule="exact"/>
        <w:rPr>
          <w:sz w:val="20"/>
          <w:szCs w:val="20"/>
          <w:color w:val="auto"/>
        </w:rPr>
      </w:pPr>
    </w:p>
    <w:p>
      <w:pPr>
        <w:ind w:left="460" w:right="320" w:firstLine="443"/>
        <w:spacing w:after="0" w:line="268"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remaining net proceeds of the offering of old notes deposited into the Secured Account held at Wynn Las Vegas, pending release to fund disbursement requests under the Disbursement Agreement;</w:t>
      </w:r>
    </w:p>
    <w:p>
      <w:pPr>
        <w:spacing w:after="0" w:line="37" w:lineRule="exact"/>
        <w:rPr>
          <w:rFonts w:ascii="Arial" w:cs="Arial" w:eastAsia="Arial" w:hAnsi="Arial"/>
          <w:sz w:val="18"/>
          <w:szCs w:val="18"/>
          <w:color w:val="auto"/>
        </w:rPr>
      </w:pPr>
    </w:p>
    <w:p>
      <w:pPr>
        <w:ind w:left="460" w:right="600" w:firstLine="443"/>
        <w:spacing w:after="0" w:line="268"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other existing and future assets, including the Phase I Land, all improvements constructed as part of the Phase I Project, the Phase II</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Land, all improvements constructed as part of the Phase II Project, all other real property held by Wynn Las Vegas, certain personal property, including items of furniture, fixture and equipment located within the Projects, and the Phase I Key Project Documents to which the Issuers are party, other than gaming and liquor licenses and other assets in which the grant of a security interest is prohibited by law and any proceeds held in a secured account at Wynn Las Vegas drawn or incurred under the Credit Agreement from time to time, pending release to fund disbursement requests under the Disbursement Agreement;</w:t>
      </w:r>
    </w:p>
    <w:p>
      <w:pPr>
        <w:spacing w:after="0" w:line="48" w:lineRule="exact"/>
        <w:rPr>
          <w:sz w:val="20"/>
          <w:szCs w:val="20"/>
          <w:color w:val="auto"/>
        </w:rPr>
      </w:pPr>
    </w:p>
    <w:p>
      <w:pPr>
        <w:jc w:val="both"/>
        <w:ind w:left="460" w:right="420" w:firstLine="443"/>
        <w:spacing w:after="0" w:line="256"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funds on deposit in the Completion Guarantee Deposit Account from time to time held at the Completion Guarantor to support the initial $50.0 million guarantee (which amount is subject to reduction with respect to the Phase II Project) by the Completion Guarantor of the completion in full of the construction and opening of the Projects, subject to disbursement pursuant to the Disbursement Agreement;</w:t>
      </w:r>
    </w:p>
    <w:p>
      <w:pPr>
        <w:spacing w:after="0" w:line="48"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$30.0 million in funds deposited into the Liquidity Reserve Account held at Wynn Las Vegas to support completion of the construction and opening of the Phase I Project and the payment of debt service on the notes and the loans under the Credit Agreement, subject to disbursement pursuant to the Disbursement Agreement;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Resorts Holdings in Wynn Las Vegas; and</w:t>
      </w:r>
    </w:p>
    <w:p>
      <w:pPr>
        <w:spacing w:after="0" w:line="76"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the Issuers in any of their respective existing or future Restricted Subsidiaries, including the Equity Interests held by Wynn Las Vegas in Wynn Capital, Completion Guarantor, Las Vegas Jet, LLC, World Travel, LLC, Wynn Sunrise, LLC, Wynn Show Performers, LLC, and Wynn Golf, LLC.</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Under Nevada Gaming Laws, a gaming licensee is not permitted to grant a security interest in any gaming or other license issued by the Nevada Gaming Authorities. As a result, the notes will not be secured by any such gaming or liquor licenses.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Secured Account</w:t>
      </w:r>
      <w:r>
        <w:rPr>
          <w:rFonts w:ascii="Arial" w:cs="Arial" w:eastAsia="Arial" w:hAnsi="Arial"/>
          <w:sz w:val="16"/>
          <w:szCs w:val="16"/>
          <w:color w:val="auto"/>
        </w:rPr>
        <w:t>. Pending application to the Projects, $730.1 million of the net proceeds of the offering of the old notes were deposited in a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of Wynn Las Vegas (the “</w:t>
      </w:r>
      <w:r>
        <w:rPr>
          <w:rFonts w:ascii="Arial" w:cs="Arial" w:eastAsia="Arial" w:hAnsi="Arial"/>
          <w:sz w:val="16"/>
          <w:szCs w:val="16"/>
          <w:i w:val="1"/>
          <w:iCs w:val="1"/>
          <w:color w:val="auto"/>
        </w:rPr>
        <w:t>Secured Account</w:t>
      </w:r>
      <w:r>
        <w:rPr>
          <w:rFonts w:ascii="Arial" w:cs="Arial" w:eastAsia="Arial" w:hAnsi="Arial"/>
          <w:sz w:val="16"/>
          <w:szCs w:val="16"/>
          <w:color w:val="auto"/>
        </w:rPr>
        <w:t>”) by a securities intermediary. The Secured Account, as well as certain other collateral accounts, is governed by a control agreement (the “</w:t>
      </w:r>
      <w:r>
        <w:rPr>
          <w:rFonts w:ascii="Arial" w:cs="Arial" w:eastAsia="Arial" w:hAnsi="Arial"/>
          <w:sz w:val="16"/>
          <w:szCs w:val="16"/>
          <w:i w:val="1"/>
          <w:iCs w:val="1"/>
          <w:color w:val="auto"/>
        </w:rPr>
        <w:t>Secured Account Agreement</w:t>
      </w:r>
      <w:r>
        <w:rPr>
          <w:rFonts w:ascii="Arial" w:cs="Arial" w:eastAsia="Arial" w:hAnsi="Arial"/>
          <w:sz w:val="16"/>
          <w:szCs w:val="16"/>
          <w:color w:val="auto"/>
        </w:rPr>
        <w:t>”) entered into among Wynn Las Vegas, the securities intermediary and the collateral agent. The funds in the Secured Account are required to be invested in Permitted Securities at the direction of Wynn Las Vegas. The collateral agent, for the benefit of the trustee and the holders of the notes, has a perfected first priority security interest in the funds and Permitted Securities held in the Secured Account. The lenders under the Credit Agreement do not have any security interest in the Secured Account or the funds held in it.</w:t>
      </w:r>
    </w:p>
    <w:p>
      <w:pPr>
        <w:spacing w:after="0" w:line="10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Release of funds from the Secured Account is subject to satisfaction or waiver of the conditions to funding each disbursement request contained in the Disbursement Agreement. If those conditions have been satisfied or waived, the Disbursement Agent will transfer the necessary funds to the disbursement account created under the Disbursement Agreement. Those funds will then be disbursed to or as directed by Wynn Las Vegas in accordance with the Disbursement Agreement. See “Disbursement Agreement.”</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Completion Guarantee Deposit Account</w:t>
      </w:r>
      <w:r>
        <w:rPr>
          <w:rFonts w:ascii="Arial" w:cs="Arial" w:eastAsia="Arial" w:hAnsi="Arial"/>
          <w:sz w:val="16"/>
          <w:szCs w:val="16"/>
          <w:color w:val="auto"/>
        </w:rPr>
        <w:t>. Wynn Completion Guarantor, LLC, one of Wynn Las Vegas’ Unrestricted Subsidiaries (the “</w:t>
      </w:r>
      <w:r>
        <w:rPr>
          <w:rFonts w:ascii="Arial" w:cs="Arial" w:eastAsia="Arial" w:hAnsi="Arial"/>
          <w:sz w:val="16"/>
          <w:szCs w:val="16"/>
          <w:i w:val="1"/>
          <w:iCs w:val="1"/>
          <w:color w:val="auto"/>
        </w:rPr>
        <w:t>Completion Guarantor</w:t>
      </w:r>
      <w:r>
        <w:rPr>
          <w:rFonts w:ascii="Arial" w:cs="Arial" w:eastAsia="Arial" w:hAnsi="Arial"/>
          <w:sz w:val="16"/>
          <w:szCs w:val="16"/>
          <w:color w:val="auto"/>
        </w:rPr>
        <w:t>”) has provided a $50.0 million Completion Guarantee in favor of the trustee (for the benefit of the holders of the notes) and the administrative agent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benefit of the lenders under the Credit Agreement). The Completion Guarantor will, subject to a $50.0 million cap (as such amount may be reduced as described below), guarantee final completion of the Phase I Project and, if applicable, the Phase II Project. In October 2002, the Completion Guarantor deposited $50.0 million into a collateral account (the “</w:t>
      </w:r>
      <w:r>
        <w:rPr>
          <w:rFonts w:ascii="Arial" w:cs="Arial" w:eastAsia="Arial" w:hAnsi="Arial"/>
          <w:sz w:val="16"/>
          <w:szCs w:val="16"/>
          <w:i w:val="1"/>
          <w:iCs w:val="1"/>
          <w:color w:val="auto"/>
        </w:rPr>
        <w:t>Completion Guarantee Deposit Account</w:t>
      </w:r>
      <w:r>
        <w:rPr>
          <w:rFonts w:ascii="Arial" w:cs="Arial" w:eastAsia="Arial" w:hAnsi="Arial"/>
          <w:sz w:val="16"/>
          <w:szCs w:val="16"/>
          <w:color w:val="auto"/>
        </w:rPr>
        <w:t>”) to support its obligations under the Completion Guarantee. Funds in the Completion Guarantee Deposit Account must be held in cash and/or Permitted Securities until such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funds are applied to pay costs of the Projects (or otherwise released in accordance with the Disbursement Agreement). The collateral agent has a first priority security interest in the funds in the Completion Guarantee Deposit Account for the benefit of the lenders under the Credit Agreement and the holders of the notes. If the Phase II Project Budget and Phase II Plans and Specifications are approved, then upon the later of (i) Phase I Completion of the Phase I Project (excluding the Entertainment Facility and the fairway villas) and (ii) the approval of the Phase II Project Budget and Phase II Plans and Specifications, no less than $30.0 million will be required to be on deposit in the Completion Guarantee Deposit Account for utilization with respect to the Phase II Project. Amounts in the Completion Guarantee Deposit Account may be applied to the costs of the Projects in accordance with the Disbursement Agreement. Pursuant to the disbursement agreement, funds in the Completion Guarantee Deposit Account will become available to us to pay (i) the costs of the Phase I Project, including cost overruns, on a gradual basis pursuant to a formula set forth in the Disbursement Agreement and (ii) if applicable, the costs of the Phase II Project, including cost overruns, on a gradual basis pursuant to a formula set forth in the Disbursement Agreement only after fifty percent of the construction work for the Phase II Project has been completed. Upon the Completion Guarantee Release Date, any amounts then remaining in the Completion Guarantee Deposit Account will be released to Wynn Las Vegas, after reserving necessary amounts for completion of punchlist items and disputed claims. Upon final completion of the Phase I Project or, if implemented, the Phase II Project, all remaining funds in the Completion Guarantee Deposit Account will be released to Wynn Las Vegas and the Completion Guarantor will be dissolved. See “Disbursement Agreement—Completion Guarantee Deposit Account.”</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Liquidity Reserve Account</w:t>
      </w:r>
      <w:r>
        <w:rPr>
          <w:rFonts w:ascii="Arial" w:cs="Arial" w:eastAsia="Arial" w:hAnsi="Arial"/>
          <w:sz w:val="16"/>
          <w:szCs w:val="16"/>
          <w:color w:val="auto"/>
        </w:rPr>
        <w:t>. In October 2002, Wynn Las Vegas deposited $30.0 million into a liquidity reserve account (the “</w:t>
      </w:r>
      <w:r>
        <w:rPr>
          <w:rFonts w:ascii="Arial" w:cs="Arial" w:eastAsia="Arial" w:hAnsi="Arial"/>
          <w:sz w:val="16"/>
          <w:szCs w:val="16"/>
          <w:i w:val="1"/>
          <w:iCs w:val="1"/>
          <w:color w:val="auto"/>
        </w:rPr>
        <w:t>Liquidity Reserve Account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Funds in the Liquidity Reserve Account must be held in cash and/or Permitted Securities until such funds are applied to pay costs of the Phase I Project or otherwise released in accordance with the disbursement agreement and the credit agreement. The Liquidity Reserve Account secures final completion of the Phase I Project. The collateral agent has a first priority security interest in the funds in the Liquidity Reserve Account for the benefit of the lenders under the Credit Agreement and the holders of the notes. Amounts in the Liquidity Reserve Account may be applied to the costs of the Phase I Project, including cost overruns, in accordance with the Disbursement Agreement. Upon Phase I Completion of the Phase I Project (excluding the Entertainment Facility and the fairway villas), any amounts then remaining in the Liquidity Reserve Account will, to the extent funds are not otherwise available from operations, be used solely to pay debt service under the Credit Agreement and/or the notes. Once the actual Consolidated EBITDA of Wynn Las Vegas and its Restricted Subsidiaries for the period of two full consecutive fiscal quarters of Wynn Las Vegas after the Phase I Opening Date equals or exceeds certain specified Consolidated EBITDA levels, any amounts then remaining in the Liquidity Reserve Account, if any, must be used to reduce the amounts then outstanding under the revolving loans under the Credit Agreement without reducing the corresponding commitments under the Credit Agreement (but the release date may not be earlier than the later of December 31, 2005 and the Phase I Project Final Completion Date). See “Disbursement Agreement—Liquidity Reserve Account.”</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Note Guarantees</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Subject to liens permitted by the Collateral Documents, and to the extent permitted by Gaming Laws and other applicable laws, the Note Guarantees are secured by, among other things:</w:t>
      </w:r>
    </w:p>
    <w:p>
      <w:pPr>
        <w:spacing w:after="0" w:line="37" w:lineRule="exact"/>
        <w:rPr>
          <w:sz w:val="20"/>
          <w:szCs w:val="20"/>
          <w:color w:val="auto"/>
        </w:rPr>
      </w:pPr>
    </w:p>
    <w:p>
      <w:pPr>
        <w:ind w:left="460" w:right="240" w:firstLine="443"/>
        <w:spacing w:after="0" w:line="259"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Golf Course Land, the Water Rights related to the Golf Course Land, sixty-five residential lots adjacent to the Golf Course Land owned by Wynn Golf, LLC and Wynn Las Vegas’ water entertainment features, subject, in the case of the Golf Course Land, to release as described below under the caption “—Release of Golf Course Land”; and</w:t>
      </w:r>
    </w:p>
    <w:p>
      <w:pPr>
        <w:spacing w:after="0" w:line="45" w:lineRule="exact"/>
        <w:rPr>
          <w:rFonts w:ascii="Arial" w:cs="Arial" w:eastAsia="Arial" w:hAnsi="Arial"/>
          <w:sz w:val="18"/>
          <w:szCs w:val="18"/>
          <w:color w:val="auto"/>
        </w:rPr>
      </w:pPr>
    </w:p>
    <w:p>
      <w:pPr>
        <w:ind w:left="460" w:right="160" w:firstLine="443"/>
        <w:spacing w:after="0" w:line="294" w:lineRule="auto"/>
        <w:tabs>
          <w:tab w:leader="none" w:pos="11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a perfected first priority security interest in substantially all of the other existing and future assets (other than gaming and liquor licenses) of the Guarantors, including, the rights of any Guarantor under the Phase I Key Project Documents to which it is a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Note Guarantee of World Travel, LLC will not initially be secured by the Aircraft Assets. In the event that financing in an amount equal to at least 50%, but not more than 100%, of the Fair Market Value of the Aircraft has not been completed within 180 days after the date of the indenture, the indenture will require us to convey to the trustee, for the benefit of the noteholders, a security interest in the Aircraft Assets, which will then become part of the Collateral.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security interests in all of the Collateral, including the Golf Course Land, may be released so long as:</w:t>
      </w:r>
    </w:p>
    <w:p>
      <w:pPr>
        <w:spacing w:after="0" w:line="77" w:lineRule="exact"/>
        <w:rPr>
          <w:sz w:val="20"/>
          <w:szCs w:val="20"/>
          <w:color w:val="auto"/>
        </w:rPr>
      </w:pPr>
    </w:p>
    <w:p>
      <w:pPr>
        <w:ind w:left="460" w:right="20" w:firstLine="443"/>
        <w:spacing w:after="0" w:line="255"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lenders under the Credit Agreement release their first priority security interest in all of the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Phase II Completion Date has occurred;</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Second Mortgage Notes remain outstanding or the indenture under which the Second Mortgage Notes were issued has been satisfied and discharged; and</w:t>
      </w:r>
    </w:p>
    <w:p>
      <w:pPr>
        <w:spacing w:after="0" w:line="37"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the Holders’ security interest in all or substantially all of the Collateral may be released at any time with the consent of the Holders of 95% of the aggregate principal amount of notes then outstanding.</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notes and the Guarantors’ obligations under their respective Note Guarantees on an equal and ratable basis so long as such other Indebtedness is so secured.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Golf Course Land</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security interests in all of the Golf Course Land (and the related Water Rights) may be released so long as (1) no Default or Event of Default exists or is continuing immediately prior to or after giving effect to such release, (2) the lenders under the Credit Agreement concurrently release their first priority security interest in the Golf Course Land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(3) the Phase II Completion Date has occurred and (4) both immediately prior to the release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security interest, and after giving pro forma effect to such release, Wynn Las Vegas’ and its Restricted Subsidiaries’ total debt does not exceed 6.5 times Consolidated EBITDA for the four full fiscal quarters immediately preceding such release. Notwithstanding the foregoing, if Wynn Las Vegas incurs debt to finance the project costs related to the building of a project on the Golf Course Land (the “</w:t>
      </w:r>
      <w:r>
        <w:rPr>
          <w:rFonts w:ascii="Arial" w:cs="Arial" w:eastAsia="Arial" w:hAnsi="Arial"/>
          <w:sz w:val="16"/>
          <w:szCs w:val="16"/>
          <w:i w:val="1"/>
          <w:iCs w:val="1"/>
          <w:color w:val="auto"/>
        </w:rPr>
        <w:t>Phase III Project</w:t>
      </w:r>
      <w:r>
        <w:rPr>
          <w:rFonts w:ascii="Arial" w:cs="Arial" w:eastAsia="Arial" w:hAnsi="Arial"/>
          <w:sz w:val="16"/>
          <w:szCs w:val="16"/>
          <w:color w:val="auto"/>
        </w:rPr>
        <w: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notes.</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Portions of the Golf Course Land</w:t>
      </w:r>
    </w:p>
    <w:p>
      <w:pPr>
        <w:spacing w:after="0" w:line="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security interests granted by Wynn Golf, LLC in approximately 20 acres of the Golf Course Land will be released if the lenders under the Credit Agreement concurrently release their first priority security interest in such Golf Course Land, so long as no Default or Event of Default exists or is continuing immediately prior to or after giving effect to such release.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noteholders’ security interest in approximately 20 acres of the Golf Course Land, Wynn Las Vegas or any of the Restricted Subsidiaries grants a security interest in any or all of such portions to secure such refinancing Indebtedness or any guarantee thereof, such Person will concurrently grant a first priority security interest in such portions of the Golf Course Land in favor of the trustee to secure the notes (or, if such Person is a Guarantor, its Guarantee of the notes). That security interest in favor of the trustee will be a first priority security interest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interest in favor of the lenders under the Credit Agreement, subject only to other Permitted Liens and the terms of the Intercreditor Agreement.</w:t>
      </w:r>
    </w:p>
    <w:p>
      <w:pPr>
        <w:spacing w:after="0" w:line="11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provides that the lenders will release their security interests in approximately 20 acres of the Golf Course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the development of those released parcels as residential or other non-gaming related developments not interfere with the operation of the Golf Course Land or otherwise impair the overall value of the property. The lenders under the Credit Agreement may amend or waive any of their conditions to the release of their security interests without the consent of the noteholders and may determine to release their liens under different circumstances, which would nevertheless result in the automatic release of the first priority liens by the noteholders.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Homesite Acreage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security interests in approximately two acres of the Golf Course Land will be released in order to permit the construction of a personal residence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Stephen A. Wynn, so long as:</w:t>
      </w:r>
    </w:p>
    <w:p>
      <w:pPr>
        <w:spacing w:after="0" w:line="70" w:lineRule="exact"/>
        <w:rPr>
          <w:sz w:val="20"/>
          <w:szCs w:val="20"/>
          <w:color w:val="auto"/>
        </w:rPr>
      </w:pPr>
    </w:p>
    <w:p>
      <w:pPr>
        <w:ind w:left="1140" w:hanging="237"/>
        <w:spacing w:after="0"/>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released Golf Course Land prior to the release of the security interests shall not be less than the then Fair Market Value of that portion of the Golf Course Land,</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purchase price is paid directly to Wynn Golf,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firstLine="443"/>
        <w:spacing w:after="0" w:line="325" w:lineRule="auto"/>
        <w:tabs>
          <w:tab w:leader="none" w:pos="1147"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1" w:lineRule="exact"/>
        <w:rPr>
          <w:rFonts w:ascii="Arial" w:cs="Arial" w:eastAsia="Arial" w:hAnsi="Arial"/>
          <w:sz w:val="16"/>
          <w:szCs w:val="16"/>
          <w:color w:val="auto"/>
        </w:rPr>
      </w:pPr>
    </w:p>
    <w:p>
      <w:pPr>
        <w:ind w:left="1140" w:hanging="237"/>
        <w:spacing w:after="0"/>
        <w:tabs>
          <w:tab w:leader="none" w:pos="11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portions of the Golf Course Land to be released by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70" w:lineRule="exact"/>
        <w:rPr>
          <w:rFonts w:ascii="Arial" w:cs="Arial" w:eastAsia="Arial" w:hAnsi="Arial"/>
          <w:sz w:val="16"/>
          <w:szCs w:val="16"/>
          <w:color w:val="auto"/>
        </w:rPr>
      </w:pPr>
    </w:p>
    <w:p>
      <w:pPr>
        <w:ind w:left="460" w:right="160" w:firstLine="443"/>
        <w:spacing w:after="0" w:line="306" w:lineRule="auto"/>
        <w:tabs>
          <w:tab w:leader="none" w:pos="1117" w:val="left"/>
        </w:tabs>
        <w:numPr>
          <w:ilvl w:val="1"/>
          <w:numId w:val="78"/>
        </w:numPr>
        <w:rPr>
          <w:rFonts w:ascii="Arial" w:cs="Arial" w:eastAsia="Arial" w:hAnsi="Arial"/>
          <w:sz w:val="16"/>
          <w:szCs w:val="16"/>
          <w:color w:val="auto"/>
        </w:rPr>
      </w:pPr>
      <w:r>
        <w:rPr>
          <w:rFonts w:ascii="Arial" w:cs="Arial" w:eastAsia="Arial" w:hAnsi="Arial"/>
          <w:sz w:val="16"/>
          <w:szCs w:val="16"/>
          <w:color w:val="auto"/>
        </w:rPr>
        <w:t>no Points of Diversion with respect to any water permits held by us or any of our Restricted Subsidiaries or otherwise utilized or expected to utilized with respect to the Projects, wells associated therewith or rights-of-way necessary for the transportation to the Golf Course Land or the Wynn Las Vegas water entertainment features of water drawn or to be drawn pursuant to water permits, are located on the released Golf Course Land,</w:t>
      </w:r>
    </w:p>
    <w:p>
      <w:pPr>
        <w:spacing w:after="0" w:line="12"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Wynn Las Vegas and Wynn Golf, LLC, as the case may be, shall have taken all actions required pursuant to the covenant described below under the caption “—Certain Covenants—Additional Collateral; Acquisition of Assets or Property” with respect to any assets or property acquired pursuant to clause (f) above,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Wynn Las Vegas and/or Wynn Golf, LLC delivers an officers’ certificate to the trustee confirming that the conditions in clauses (a), (b), (c), (d),</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and (f) above have been satisfied.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At any time prior to December 1, 2007, the Issuers may, on any one or more occasions, redeem up to 35% of the aggregate principal amount of notes issued under the indenture at a redemption price of 106.625%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redemption occurs within 60 days of the date of the closing of such Qualified Equity Offering.</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notes will not be redeemable at the Issuers’ option prior to December 1, 2009</w:t>
      </w:r>
      <w:r>
        <w:rPr>
          <w:rFonts w:ascii="Arial" w:cs="Arial" w:eastAsia="Arial" w:hAnsi="Arial"/>
          <w:sz w:val="18"/>
          <w:szCs w:val="18"/>
          <w:i w:val="1"/>
          <w:iCs w:val="1"/>
          <w:color w:val="auto"/>
        </w:rPr>
        <w:t>.</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or after December 1, 2009,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December 1 of the years indicated below, subject to the rights of holders of notes on the relevant record date to receive interest on the relevant interest payment date:</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101.104%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2012 and thereafter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notes or portions thereof called for redemption on the applicable redemption date.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49" w:lineRule="exact"/>
        <w:rPr>
          <w:sz w:val="20"/>
          <w:szCs w:val="20"/>
          <w:color w:val="auto"/>
        </w:rPr>
      </w:pPr>
    </w:p>
    <w:p>
      <w:pPr>
        <w:ind w:left="46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70" w:lineRule="exact"/>
        <w:rPr>
          <w:rFonts w:ascii="Arial" w:cs="Arial" w:eastAsia="Arial" w:hAnsi="Arial"/>
          <w:sz w:val="16"/>
          <w:szCs w:val="16"/>
          <w:color w:val="auto"/>
        </w:rPr>
      </w:pPr>
    </w:p>
    <w:p>
      <w:pPr>
        <w:ind w:left="920" w:right="140" w:firstLine="421"/>
        <w:spacing w:after="0" w:line="268" w:lineRule="auto"/>
        <w:tabs>
          <w:tab w:leader="none" w:pos="1588"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76" w:lineRule="exact"/>
        <w:rPr>
          <w:rFonts w:ascii="Arial" w:cs="Arial" w:eastAsia="Arial" w:hAnsi="Arial"/>
          <w:sz w:val="18"/>
          <w:szCs w:val="18"/>
          <w:color w:val="auto"/>
        </w:rPr>
      </w:pPr>
    </w:p>
    <w:p>
      <w:pPr>
        <w:ind w:left="2160" w:hanging="212"/>
        <w:spacing w:after="0"/>
        <w:tabs>
          <w:tab w:leader="none" w:pos="216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76" w:lineRule="exact"/>
        <w:rPr>
          <w:rFonts w:ascii="Arial" w:cs="Arial" w:eastAsia="Arial" w:hAnsi="Arial"/>
          <w:sz w:val="18"/>
          <w:szCs w:val="18"/>
          <w:color w:val="auto"/>
        </w:rPr>
      </w:pPr>
    </w:p>
    <w:p>
      <w:pPr>
        <w:ind w:left="2200" w:hanging="252"/>
        <w:spacing w:after="0"/>
        <w:tabs>
          <w:tab w:leader="none" w:pos="220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w:t>
      </w:r>
    </w:p>
    <w:p>
      <w:pPr>
        <w:spacing w:after="0" w:line="77" w:lineRule="exact"/>
        <w:rPr>
          <w:sz w:val="20"/>
          <w:szCs w:val="20"/>
          <w:color w:val="auto"/>
        </w:rPr>
      </w:pPr>
    </w:p>
    <w:p>
      <w:pPr>
        <w:ind w:left="1500" w:right="280"/>
        <w:spacing w:after="0" w:line="259" w:lineRule="auto"/>
        <w:rPr>
          <w:sz w:val="20"/>
          <w:szCs w:val="20"/>
          <w:color w:val="auto"/>
        </w:rPr>
      </w:pPr>
      <w:r>
        <w:rPr>
          <w:rFonts w:ascii="Arial" w:cs="Arial" w:eastAsia="Arial" w:hAnsi="Arial"/>
          <w:sz w:val="18"/>
          <w:szCs w:val="18"/>
          <w:color w:val="auto"/>
        </w:rPr>
        <w:t>in either case, together with accrued and unpaid interest on the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37" w:lineRule="exact"/>
        <w:rPr>
          <w:sz w:val="20"/>
          <w:szCs w:val="20"/>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76"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 described in this section.</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 Change of Control occurs, each holder of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payment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in cash equal to 101% of the aggregate principal amount of notes repurchased plus accrued and unpaid interest and Liquidated Damages, if any, on the notes repurchased to the date of purchase. Within 10 days following any Change of Control, the Issuers will mail a notice to each holder describing the transaction or transactions that constitute the Change of Control and offering to repurchase notes on the date (the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Date</w:t>
      </w:r>
      <w:r>
        <w:rPr>
          <w:rFonts w:ascii="Arial" w:cs="Arial" w:eastAsia="Arial" w:hAnsi="Arial"/>
          <w:sz w:val="16"/>
          <w:szCs w:val="16"/>
          <w:color w:val="auto"/>
        </w:rPr>
        <w:t>”) specified in the notice, which date will be no earlier than 30 days and no later than 60 days from the date such notice is mailed,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required by the indenture and described in such notice.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77" w:lineRule="exact"/>
        <w:rPr>
          <w:sz w:val="20"/>
          <w:szCs w:val="20"/>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70" w:lineRule="exact"/>
        <w:rPr>
          <w:sz w:val="20"/>
          <w:szCs w:val="20"/>
          <w:color w:val="auto"/>
        </w:rPr>
      </w:pPr>
    </w:p>
    <w:p>
      <w:pPr>
        <w:ind w:left="460" w:right="40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The Issuers will publicly announce the results of the Change of Control Offer on or as soon as practicable after the Change of Control Payment Date.</w:t>
      </w:r>
    </w:p>
    <w:p>
      <w:pPr>
        <w:spacing w:after="0" w:line="13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described above with respect to a Change of Control, the indenture does not contain provisions that permit the holders of the notes to require that the Issuers repurchase or redeem the notes in the event of a takeover, recapitalization or similar transaction.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w:t>
      </w:r>
    </w:p>
    <w:p>
      <w:pPr>
        <w:spacing w:after="0" w:line="9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Wynn Las Vegas, its Restricted Subsidiaries and the Restricted Entities,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and its Restricted Subsidiaries, taken as a whole, to another Person or group may be uncertain.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77" w:lineRule="exact"/>
        <w:rPr>
          <w:sz w:val="20"/>
          <w:szCs w:val="20"/>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except with respect to Non-Project Assets, the Phase I Opening Date has occurred;</w:t>
      </w:r>
    </w:p>
    <w:p>
      <w:pPr>
        <w:spacing w:after="0" w:line="76" w:lineRule="exact"/>
        <w:rPr>
          <w:rFonts w:ascii="Arial" w:cs="Arial" w:eastAsia="Arial" w:hAnsi="Arial"/>
          <w:sz w:val="18"/>
          <w:szCs w:val="18"/>
          <w:color w:val="auto"/>
        </w:rPr>
      </w:pPr>
    </w:p>
    <w:p>
      <w:pPr>
        <w:jc w:val="both"/>
        <w:ind w:left="460" w:right="200" w:firstLine="443"/>
        <w:spacing w:after="0" w:line="259"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firstLine="443"/>
        <w:spacing w:after="0" w:line="325"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least 75% (or 90%, in the case of any Asset Sale that occurs on or before the Phase I Opening Date) of the consideration received in the Asset Sale by Wynn Las Vegas or such Restricted Subsidiary is in the form of cash or Cash Equivalents. For purposes of this provision, each of the following will be deemed to be cash:</w:t>
      </w:r>
    </w:p>
    <w:p>
      <w:pPr>
        <w:spacing w:after="0" w:line="45" w:lineRule="exact"/>
        <w:rPr>
          <w:rFonts w:ascii="Arial" w:cs="Arial" w:eastAsia="Arial" w:hAnsi="Arial"/>
          <w:sz w:val="18"/>
          <w:szCs w:val="18"/>
          <w:color w:val="auto"/>
        </w:rPr>
      </w:pPr>
    </w:p>
    <w:p>
      <w:pPr>
        <w:ind w:left="920" w:right="180" w:firstLine="421"/>
        <w:spacing w:after="0" w:line="256" w:lineRule="auto"/>
        <w:tabs>
          <w:tab w:leader="none" w:pos="1579"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48" w:lineRule="exact"/>
        <w:rPr>
          <w:rFonts w:ascii="Arial" w:cs="Arial" w:eastAsia="Arial" w:hAnsi="Arial"/>
          <w:sz w:val="18"/>
          <w:szCs w:val="18"/>
          <w:color w:val="auto"/>
        </w:rPr>
      </w:pPr>
    </w:p>
    <w:p>
      <w:pPr>
        <w:ind w:left="920" w:right="40" w:firstLine="421"/>
        <w:spacing w:after="0" w:line="370" w:lineRule="auto"/>
        <w:tabs>
          <w:tab w:leader="none" w:pos="1588" w:val="left"/>
        </w:tabs>
        <w:numPr>
          <w:ilvl w:val="1"/>
          <w:numId w:val="85"/>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49" w:lineRule="exact"/>
        <w:rPr>
          <w:sz w:val="20"/>
          <w:szCs w:val="20"/>
          <w:color w:val="auto"/>
        </w:rPr>
      </w:pPr>
    </w:p>
    <w:p>
      <w:pPr>
        <w:ind w:right="140" w:firstLine="456"/>
        <w:spacing w:after="0" w:line="301" w:lineRule="auto"/>
        <w:rPr>
          <w:sz w:val="20"/>
          <w:szCs w:val="20"/>
          <w:color w:val="auto"/>
        </w:rPr>
      </w:pPr>
      <w:r>
        <w:rPr>
          <w:rFonts w:ascii="Arial" w:cs="Arial" w:eastAsia="Arial" w:hAnsi="Arial"/>
          <w:sz w:val="15"/>
          <w:szCs w:val="15"/>
          <w:color w:val="auto"/>
        </w:rPr>
        <w:t xml:space="preserve">Within 360 days (or within 90 days, in the case of any Asset Sale that occurs on or before the Phase I Opening Date)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and subject to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secured revolving credit Indebtedness of Wynn Las Vegas or any of its Restricted Subsidiaries, or</w:t>
      </w:r>
    </w:p>
    <w:p>
      <w:pPr>
        <w:spacing w:after="0" w:line="4" w:lineRule="exact"/>
        <w:rPr>
          <w:sz w:val="20"/>
          <w:szCs w:val="20"/>
          <w:color w:val="auto"/>
        </w:rPr>
      </w:pPr>
    </w:p>
    <w:p>
      <w:pPr>
        <w:ind w:right="60" w:firstLine="8"/>
        <w:spacing w:after="0" w:line="255" w:lineRule="auto"/>
        <w:tabs>
          <w:tab w:leader="none" w:pos="249"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invest the Net Proceeds in Cash Equivalents which, at any time other than during a Collateral Release Period, will be subject to a perfected first priority security interest (equal and ratable with the security interest securing the Credit Agreement and subject to other Permitted Liens and the terms of the Intercreditor Agreement) in favor of the trustee as security for the notes.</w:t>
      </w:r>
    </w:p>
    <w:p>
      <w:pPr>
        <w:spacing w:after="0" w:line="13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will constitute “</w:t>
      </w:r>
      <w:r>
        <w:rPr>
          <w:rFonts w:ascii="Arial" w:cs="Arial" w:eastAsia="Arial" w:hAnsi="Arial"/>
          <w:sz w:val="16"/>
          <w:szCs w:val="16"/>
          <w:i w:val="1"/>
          <w:iCs w:val="1"/>
          <w:color w:val="auto"/>
        </w:rPr>
        <w:t>Excess Proceeds</w:t>
      </w:r>
      <w:r>
        <w:rPr>
          <w:rFonts w:ascii="Arial" w:cs="Arial" w:eastAsia="Arial" w:hAnsi="Arial"/>
          <w:sz w:val="16"/>
          <w:szCs w:val="16"/>
          <w:color w:val="auto"/>
        </w:rPr>
        <w:t>.” Within 10 days following the earlier of (i) the date on which the aggregate amount of Excess Proceeds exceeds $20.0 million or (ii) the date when the proceeds of any sale of assets are required, pursuant to the Credit Agreement, to be applied to reduce Indebtedness of Wynn Las Vegas, Wynn Las Vegas will, allocate a portion of such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6"/>
          <w:szCs w:val="16"/>
          <w:i w:val="1"/>
          <w:iCs w:val="1"/>
          <w:color w:val="auto"/>
        </w:rPr>
        <w:t>Asset Sale Offer</w:t>
      </w:r>
      <w:r>
        <w:rPr>
          <w:rFonts w:ascii="Arial" w:cs="Arial" w:eastAsia="Arial" w:hAnsi="Arial"/>
          <w:sz w:val="16"/>
          <w:szCs w:val="16"/>
          <w:color w:val="auto"/>
        </w:rPr>
        <w:t xml:space="preserve"> </w:t>
      </w:r>
      <w:r>
        <w:rPr>
          <w:rFonts w:ascii="Arial" w:cs="Arial" w:eastAsia="Arial" w:hAnsi="Arial"/>
          <w:sz w:val="16"/>
          <w:szCs w:val="16"/>
          <w:i w:val="1"/>
          <w:iCs w:val="1"/>
          <w:color w:val="auto"/>
        </w:rPr>
        <w:t>Amount</w:t>
      </w:r>
      <w:r>
        <w:rPr>
          <w:rFonts w:ascii="Arial" w:cs="Arial" w:eastAsia="Arial" w:hAnsi="Arial"/>
          <w:sz w:val="16"/>
          <w:szCs w:val="16"/>
          <w:color w:val="auto"/>
        </w:rPr>
        <w:t>”), to make an offer (an “</w:t>
      </w:r>
      <w:r>
        <w:rPr>
          <w:rFonts w:ascii="Arial" w:cs="Arial" w:eastAsia="Arial" w:hAnsi="Arial"/>
          <w:sz w:val="16"/>
          <w:szCs w:val="16"/>
          <w:i w:val="1"/>
          <w:iCs w:val="1"/>
          <w:color w:val="auto"/>
        </w:rPr>
        <w:t>Asset Sale Offer</w:t>
      </w:r>
      <w:r>
        <w:rPr>
          <w:rFonts w:ascii="Arial" w:cs="Arial" w:eastAsia="Arial" w:hAnsi="Arial"/>
          <w:sz w:val="16"/>
          <w:szCs w:val="16"/>
          <w:color w:val="auto"/>
        </w:rPr>
        <w:t>”) to all holders of notes and, to the extent required, the holders of such Pari Passu Debt to repurchase such notes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such Pari Passu Debt at an offer price equal to 100% of the principal amount of the notes and such Pari Passu Debt to be 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and Liquidated Damages, if any, on the notes and such other Pari Passu Debt to the date of repurchase, which offer price will be payable in cash. The amount of any such Excess Proceeds less the Asset Sale Offer Amount (the “</w:t>
      </w:r>
      <w:r>
        <w:rPr>
          <w:rFonts w:ascii="Arial" w:cs="Arial" w:eastAsia="Arial" w:hAnsi="Arial"/>
          <w:sz w:val="16"/>
          <w:szCs w:val="16"/>
          <w:i w:val="1"/>
          <w:iCs w:val="1"/>
          <w:color w:val="auto"/>
        </w:rPr>
        <w:t>Asset Sale Repayment Amount</w:t>
      </w:r>
      <w:r>
        <w:rPr>
          <w:rFonts w:ascii="Arial" w:cs="Arial" w:eastAsia="Arial" w:hAnsi="Arial"/>
          <w:sz w:val="16"/>
          <w:szCs w:val="16"/>
          <w:color w:val="auto"/>
        </w:rPr>
        <w:t xml:space="preserve">”) will concurrently be applied to repay any term Indebtedness outstanding under the Credit Agreement in accordance with the requirements of the Credit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to the extent that the Asset Sale Repayment Amount exceeds the amount of term Indebtedness then outstanding under the Credit Agreement at the time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previous sentence above.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will select the notes and such other Pari Passu Debt to be purchased as described below under the caption “—Selection and Notice.” Upon completion of each Asset Sale Offer, the amount of Excess Proceeds will be reset at zero.</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Events of Loss</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the Phase I Project and/or Collateral comprising the Phase II Project, if applicable, at any time during the construction of the Phase I Project and/or the Phase II Project, respectively,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$30.0 million:</w:t>
      </w:r>
    </w:p>
    <w:p>
      <w:pPr>
        <w:spacing w:after="0" w:line="21" w:lineRule="exact"/>
        <w:rPr>
          <w:sz w:val="20"/>
          <w:szCs w:val="20"/>
          <w:color w:val="auto"/>
        </w:rPr>
      </w:pPr>
    </w:p>
    <w:p>
      <w:pPr>
        <w:ind w:left="460" w:right="420" w:firstLine="443"/>
        <w:spacing w:after="0" w:line="325" w:lineRule="auto"/>
        <w:tabs>
          <w:tab w:leader="none" w:pos="1147" w:val="left"/>
        </w:tabs>
        <w:numPr>
          <w:ilvl w:val="0"/>
          <w:numId w:val="87"/>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1" w:lineRule="exact"/>
        <w:rPr>
          <w:rFonts w:ascii="Arial" w:cs="Arial" w:eastAsia="Arial" w:hAnsi="Arial"/>
          <w:sz w:val="16"/>
          <w:szCs w:val="16"/>
          <w:color w:val="auto"/>
        </w:rPr>
      </w:pPr>
    </w:p>
    <w:p>
      <w:pPr>
        <w:ind w:left="460" w:right="60" w:firstLine="443"/>
        <w:spacing w:after="0" w:line="294" w:lineRule="auto"/>
        <w:tabs>
          <w:tab w:leader="none" w:pos="1147" w:val="left"/>
        </w:tabs>
        <w:numPr>
          <w:ilvl w:val="0"/>
          <w:numId w:val="87"/>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21"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Phase I Project or the Phase II Project,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3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ability of Wynn Las Vegas or any of its Restricted Subsidiaries to repair or restore any of the Collateral following an Event of Loss that occurs on or prior to the Phase I Completion Date or the Phase II Completion Date, as the case may be, will be governed by the Disbursement Agreement.</w:t>
      </w:r>
    </w:p>
    <w:p>
      <w:pPr>
        <w:spacing w:after="0" w:line="72"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Any Net Loss Proceeds that are (1) not permitted to be used to repair or restore the Collateral pursuant to the Disbursement Agreement, (2) not reinvested as provided in the first sentence of this covenant or (3) otherwise required, pursuant to the Credit Agreement, to be applied to reduce Indebtedness of Wynn Las Vegas, in each case, will be deemed “</w:t>
      </w:r>
      <w:r>
        <w:rPr>
          <w:rFonts w:ascii="Arial" w:cs="Arial" w:eastAsia="Arial" w:hAnsi="Arial"/>
          <w:sz w:val="16"/>
          <w:szCs w:val="16"/>
          <w:i w:val="1"/>
          <w:iCs w:val="1"/>
          <w:color w:val="auto"/>
        </w:rPr>
        <w:t>Excess Loss Proceeds</w:t>
      </w:r>
      <w:r>
        <w:rPr>
          <w:rFonts w:ascii="Arial" w:cs="Arial" w:eastAsia="Arial" w:hAnsi="Arial"/>
          <w:sz w:val="16"/>
          <w:szCs w:val="16"/>
          <w:color w:val="auto"/>
        </w:rPr>
        <w:t>.” Within 10 days following the earlier of (i) the date on which the aggregate amount of Excess Loss Proceeds exceeds $10.0 million or (ii) the date when, pursuant to the Credit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6"/>
          <w:szCs w:val="16"/>
          <w:i w:val="1"/>
          <w:iCs w:val="1"/>
          <w:color w:val="auto"/>
        </w:rPr>
        <w:t>Event of Loss Offer</w:t>
      </w:r>
      <w:r>
        <w:rPr>
          <w:rFonts w:ascii="Arial" w:cs="Arial" w:eastAsia="Arial" w:hAnsi="Arial"/>
          <w:sz w:val="16"/>
          <w:szCs w:val="16"/>
          <w:color w:val="auto"/>
        </w:rPr>
        <w:t xml:space="preserve"> </w:t>
      </w:r>
      <w:r>
        <w:rPr>
          <w:rFonts w:ascii="Arial" w:cs="Arial" w:eastAsia="Arial" w:hAnsi="Arial"/>
          <w:sz w:val="16"/>
          <w:szCs w:val="16"/>
          <w:i w:val="1"/>
          <w:iCs w:val="1"/>
          <w:color w:val="auto"/>
        </w:rPr>
        <w:t>Amount</w:t>
      </w:r>
      <w:r>
        <w:rPr>
          <w:rFonts w:ascii="Arial" w:cs="Arial" w:eastAsia="Arial" w:hAnsi="Arial"/>
          <w:sz w:val="16"/>
          <w:szCs w:val="16"/>
          <w:color w:val="auto"/>
        </w:rPr>
        <w:t>”), to make an offer (an “</w:t>
      </w:r>
      <w:r>
        <w:rPr>
          <w:rFonts w:ascii="Arial" w:cs="Arial" w:eastAsia="Arial" w:hAnsi="Arial"/>
          <w:sz w:val="16"/>
          <w:szCs w:val="16"/>
          <w:i w:val="1"/>
          <w:iCs w:val="1"/>
          <w:color w:val="auto"/>
        </w:rPr>
        <w:t>Event of Loss Offer</w:t>
      </w:r>
      <w:r>
        <w:rPr>
          <w:rFonts w:ascii="Arial" w:cs="Arial" w:eastAsia="Arial" w:hAnsi="Arial"/>
          <w:sz w:val="16"/>
          <w:szCs w:val="16"/>
          <w:color w:val="auto"/>
        </w:rPr>
        <w:t>”) to all holders of notes and, to the extent required, the holders of such Pari Passu Debt to repurchase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notes and such Pari Passu Debt at an offer price equal to 100% of the principal amount of the notes and such Pari Passu Debt to be 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and Liquidated Damages, if any, on the notes and such other Pari Passu Debt to the date of repurchase, which offer price will be payable in cash. The amount of any such Excess Loss Proceeds less the Event of Loss Offer Amount (the “</w:t>
      </w:r>
      <w:r>
        <w:rPr>
          <w:rFonts w:ascii="Arial" w:cs="Arial" w:eastAsia="Arial" w:hAnsi="Arial"/>
          <w:sz w:val="16"/>
          <w:szCs w:val="16"/>
          <w:i w:val="1"/>
          <w:iCs w:val="1"/>
          <w:color w:val="auto"/>
        </w:rPr>
        <w:t>Event of Loss Repayment Amount</w:t>
      </w:r>
      <w:r>
        <w:rPr>
          <w:rFonts w:ascii="Arial" w:cs="Arial" w:eastAsia="Arial" w:hAnsi="Arial"/>
          <w:sz w:val="16"/>
          <w:szCs w:val="16"/>
          <w:color w:val="auto"/>
        </w:rPr>
        <w:t xml:space="preserve">”) will concurrently be applied to repay any term Indebtedness outstanding under the Credit Agreement in accordance with the requirements of the Credit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previous sentence above.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 Loss Offer Amount that may be applied to the Event of Loss Offer, the trustee will select the notes and such other Pari Passu Debt to be purchased as described below under the caption “—Selection and Notice.” Upon completion of each Event of Loss Offer, the amount of Excess Loss Proceeds will be reset at zero.</w:t>
      </w:r>
    </w:p>
    <w:p>
      <w:pPr>
        <w:spacing w:after="0" w:line="11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Pending their application, all Net Loss Proceeds will either be (1) applied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subject only to the security interest securing the Credit Agreement and other Permitted Liens and the terms of the Intercreditor Agreement, on any property or assets rebuilt, repaired, replaced or constructed with such Net Loss Proceeds on the terms set forth in the indenture and the Collateral Documents.</w:t>
      </w:r>
    </w:p>
    <w:p>
      <w:pPr>
        <w:spacing w:after="0" w:line="10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$30.0 million, Wynn Las Vegas (or the applicable Restricted Subsidiary, as the case may be) will be required to receive consideration:</w:t>
      </w:r>
    </w:p>
    <w:p>
      <w:pPr>
        <w:spacing w:after="0" w:line="46" w:lineRule="exact"/>
        <w:rPr>
          <w:sz w:val="20"/>
          <w:szCs w:val="20"/>
          <w:color w:val="auto"/>
        </w:rPr>
      </w:pPr>
    </w:p>
    <w:p>
      <w:pPr>
        <w:ind w:left="460" w:right="620" w:firstLine="443"/>
        <w:spacing w:after="0" w:line="268"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at least 80% of which is in the form of cash or Cash Equivalents.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Repurchase of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Asset Sale Offer or Event of Loss Offer may be limited by Wynn Las Vegas’ then existing financial resources. See “Risk Factors—Risks Related to the Offering and the Notes—We may not be able to fulfill our repurchase obligations with respect to the notes upon a change of control.”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Securities Laws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If less than all of the notes are to be redeemed at any time, the trustee will select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any other method the trustee deems fair and appropriate, unless otherwise required by law or applicable stock exchange requirements.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 notes of $1,000 or less can be redeemed or purchased in part. However, if all of the notes of a Holder are to be redeemed or purchased, the entire outstanding amount of notes held by such Holder, even if not a multiple of $1,000, will be redeemed or purchased. Notices of redemption or purchase will be mailed by first class mail at least 30 but not more than 60 days before the redemption or purchase date to each Holder of notes to be redeemed or purchased at its registered address, except that redemption or purchase notices may be mailed more than 60 days prior to a redemption or purchase date if the notice is issued in connection with a defeasance of the notes or a satisfaction and discharge of the indenture. Notices of redemption may not be conditional.</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77" w:lineRule="exact"/>
        <w:rPr>
          <w:sz w:val="20"/>
          <w:szCs w:val="20"/>
          <w:color w:val="auto"/>
        </w:rPr>
      </w:pPr>
    </w:p>
    <w:p>
      <w:pPr>
        <w:ind w:left="460" w:right="520" w:firstLine="443"/>
        <w:spacing w:after="0" w:line="268"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declare or pay any dividend or make any other payment or distribution on account of any Equity Interests of Wynn Las Vegas or any of its Restricted Subsidiaries or to the direct or indirect holders of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Equity Interests of Wynn Las Vegas or any of its Restricted Subsidiaries in their capacity as such, other than (a) dividends or distributions by Wynn Las Vegas payable in Equity Interests (other than Disqualified Stock) of Wynn Las Vegas, and (b) dividends or distributions payable to Wynn Las Vegas or any of its Restricted Subsidiaries;</w:t>
      </w:r>
    </w:p>
    <w:p>
      <w:pPr>
        <w:spacing w:after="0" w:line="46" w:lineRule="exact"/>
        <w:rPr>
          <w:sz w:val="20"/>
          <w:szCs w:val="20"/>
          <w:color w:val="auto"/>
        </w:rPr>
      </w:pPr>
    </w:p>
    <w:p>
      <w:pPr>
        <w:ind w:left="460" w:right="440" w:firstLine="443"/>
        <w:spacing w:after="0" w:line="268" w:lineRule="auto"/>
        <w:tabs>
          <w:tab w:leader="none" w:pos="11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37" w:lineRule="exact"/>
        <w:rPr>
          <w:rFonts w:ascii="Arial" w:cs="Arial" w:eastAsia="Arial" w:hAnsi="Arial"/>
          <w:sz w:val="18"/>
          <w:szCs w:val="18"/>
          <w:color w:val="auto"/>
        </w:rPr>
      </w:pPr>
    </w:p>
    <w:p>
      <w:pPr>
        <w:ind w:left="460" w:right="20" w:firstLine="443"/>
        <w:spacing w:after="0" w:line="298" w:lineRule="auto"/>
        <w:tabs>
          <w:tab w:leader="none" w:pos="11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notes or the Guarantees or that is effectively or expressly subordinated in right of payment to the notes or the Guarantees under the indenture (excluding any intercompany Indebtedness between or among Wynn Las Vegas and any of its Restricted Subsidiaries), except a payment of interest or principal at the Stated Maturity thereof; or</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58" w:lineRule="exact"/>
        <w:rPr>
          <w:sz w:val="20"/>
          <w:szCs w:val="20"/>
          <w:color w:val="auto"/>
        </w:rPr>
      </w:pPr>
    </w:p>
    <w:p>
      <w:pPr>
        <w:ind w:right="1540"/>
        <w:spacing w:after="0" w:line="375"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 unless, at the time of and after giving effect to such Restricted Payment:</w:t>
      </w:r>
    </w:p>
    <w:p>
      <w:pPr>
        <w:spacing w:after="0" w:line="1" w:lineRule="exact"/>
        <w:rPr>
          <w:sz w:val="20"/>
          <w:szCs w:val="20"/>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Phase I Opening Date has occurred;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43" w:lineRule="exact"/>
        <w:rPr>
          <w:sz w:val="20"/>
          <w:szCs w:val="20"/>
          <w:color w:val="auto"/>
        </w:rPr>
      </w:pPr>
    </w:p>
    <w:p>
      <w:pPr>
        <w:ind w:left="460" w:right="80" w:firstLine="443"/>
        <w:spacing w:after="0" w:line="256" w:lineRule="auto"/>
        <w:tabs>
          <w:tab w:leader="none" w:pos="11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(11) and (12) below (with respect to clause (5) to the extent such Restricted Payments were already deducted from Consolidated Net Income) of the next succeeding paragraph), is less than the sum, without duplication, of:</w:t>
      </w:r>
    </w:p>
    <w:p>
      <w:pPr>
        <w:spacing w:after="0" w:line="48" w:lineRule="exact"/>
        <w:rPr>
          <w:rFonts w:ascii="Arial" w:cs="Arial" w:eastAsia="Arial" w:hAnsi="Arial"/>
          <w:sz w:val="18"/>
          <w:szCs w:val="18"/>
          <w:color w:val="auto"/>
        </w:rPr>
      </w:pPr>
    </w:p>
    <w:p>
      <w:pPr>
        <w:ind w:left="920" w:right="160" w:firstLine="421"/>
        <w:spacing w:after="0" w:line="256" w:lineRule="auto"/>
        <w:tabs>
          <w:tab w:leader="none" w:pos="1579"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Wynn Las Vegas and its Restricted Subsidiaries for the period (taken as one accounting period) from the beginning of the first fiscal quarter commencing after the Phase I Opening Date to the end of Wynn Las Vegas’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48" w:lineRule="exact"/>
        <w:rPr>
          <w:rFonts w:ascii="Arial" w:cs="Arial" w:eastAsia="Arial" w:hAnsi="Arial"/>
          <w:sz w:val="18"/>
          <w:szCs w:val="18"/>
          <w:color w:val="auto"/>
        </w:rPr>
      </w:pPr>
    </w:p>
    <w:p>
      <w:pPr>
        <w:ind w:left="920" w:right="100" w:firstLine="421"/>
        <w:spacing w:after="0" w:line="294" w:lineRule="auto"/>
        <w:tabs>
          <w:tab w:leader="none" w:pos="1588"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100% of the aggregate net cash proceeds received by Wynn Las Vegas subsequent to the date of the indenture as a contribution to its common equity capital, excluding (i) any such net cash proceeds received by Wynn Las Vegas to the extent consisting of capital contributions made to Wynn Las Vegas for the purpose of satisfying the “in-balance” requirements of the Disbursement Agreement and (ii) any such net cash proceeds received by Wynn Las Vegas to the extent used to incur Indebtedness pursuant to clause (14) of the covenant described below under the caption “— Incurrence of Indebtedness and Issuance of Disqualified Stock”; </w:t>
      </w:r>
      <w:r>
        <w:rPr>
          <w:rFonts w:ascii="Arial" w:cs="Arial" w:eastAsia="Arial" w:hAnsi="Arial"/>
          <w:sz w:val="16"/>
          <w:szCs w:val="16"/>
          <w:i w:val="1"/>
          <w:iCs w:val="1"/>
          <w:color w:val="auto"/>
        </w:rPr>
        <w:t>plus</w:t>
      </w:r>
    </w:p>
    <w:p>
      <w:pPr>
        <w:spacing w:after="0" w:line="21" w:lineRule="exact"/>
        <w:rPr>
          <w:rFonts w:ascii="Arial" w:cs="Arial" w:eastAsia="Arial" w:hAnsi="Arial"/>
          <w:sz w:val="16"/>
          <w:szCs w:val="16"/>
          <w:color w:val="auto"/>
        </w:rPr>
      </w:pPr>
    </w:p>
    <w:p>
      <w:pPr>
        <w:ind w:left="920" w:right="320" w:firstLine="421"/>
        <w:spacing w:after="0" w:line="306" w:lineRule="auto"/>
        <w:tabs>
          <w:tab w:leader="none" w:pos="1579" w:val="left"/>
        </w:tabs>
        <w:numPr>
          <w:ilvl w:val="1"/>
          <w:numId w:val="92"/>
        </w:numPr>
        <w:rPr>
          <w:rFonts w:ascii="Arial" w:cs="Arial" w:eastAsia="Arial" w:hAnsi="Arial"/>
          <w:sz w:val="16"/>
          <w:szCs w:val="16"/>
          <w:color w:val="auto"/>
        </w:rPr>
      </w:pPr>
      <w:r>
        <w:rPr>
          <w:rFonts w:ascii="Arial" w:cs="Arial" w:eastAsia="Arial" w:hAnsi="Arial"/>
          <w:sz w:val="16"/>
          <w:szCs w:val="16"/>
          <w:color w:val="auto"/>
        </w:rPr>
        <w:t>(i) to the extent that any Restricted Investment that was made after the date of the indenture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306" w:lineRule="auto"/>
        <w:rPr>
          <w:sz w:val="20"/>
          <w:szCs w:val="20"/>
          <w:color w:val="auto"/>
        </w:rPr>
      </w:pPr>
      <w:r>
        <w:rPr>
          <w:rFonts w:ascii="Arial" w:cs="Arial" w:eastAsia="Arial" w:hAnsi="Arial"/>
          <w:sz w:val="16"/>
          <w:szCs w:val="16"/>
          <w:color w:val="auto"/>
        </w:rPr>
        <w:t xml:space="preserve">(less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w:t>
      </w:r>
      <w:r>
        <w:rPr>
          <w:rFonts w:ascii="Arial" w:cs="Arial" w:eastAsia="Arial" w:hAnsi="Arial"/>
          <w:sz w:val="16"/>
          <w:szCs w:val="16"/>
          <w:i w:val="1"/>
          <w:iCs w:val="1"/>
          <w:color w:val="auto"/>
        </w:rPr>
        <w:t>plus</w:t>
      </w:r>
    </w:p>
    <w:p>
      <w:pPr>
        <w:spacing w:after="0" w:line="12" w:lineRule="exact"/>
        <w:rPr>
          <w:sz w:val="20"/>
          <w:szCs w:val="20"/>
          <w:color w:val="auto"/>
        </w:rPr>
      </w:pPr>
    </w:p>
    <w:p>
      <w:pPr>
        <w:ind w:left="920" w:right="340" w:firstLine="421"/>
        <w:spacing w:after="0" w:line="306" w:lineRule="auto"/>
        <w:tabs>
          <w:tab w:leader="none" w:pos="1588"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100% of any cash dividends or cash distributions received by Wynn Las Vegas or any of its Restricted Subsidiaries after the date of the indenture from any Restricted Investment (including any Investment in an Unrestricted Subsidiary of Wynn Las Vegas), to the extent that such dividends or distributions were not otherwise included in the Consolidated Net Income of Wynn Las Vegas for such period; </w:t>
      </w:r>
      <w:r>
        <w:rPr>
          <w:rFonts w:ascii="Arial" w:cs="Arial" w:eastAsia="Arial" w:hAnsi="Arial"/>
          <w:sz w:val="16"/>
          <w:szCs w:val="16"/>
          <w:i w:val="1"/>
          <w:iCs w:val="1"/>
          <w:color w:val="auto"/>
        </w:rPr>
        <w:t>plus</w:t>
      </w:r>
    </w:p>
    <w:p>
      <w:pPr>
        <w:spacing w:after="0" w:line="12" w:lineRule="exact"/>
        <w:rPr>
          <w:rFonts w:ascii="Arial" w:cs="Arial" w:eastAsia="Arial" w:hAnsi="Arial"/>
          <w:sz w:val="16"/>
          <w:szCs w:val="16"/>
          <w:color w:val="auto"/>
        </w:rPr>
      </w:pPr>
    </w:p>
    <w:p>
      <w:pPr>
        <w:ind w:left="920" w:right="120" w:firstLine="421"/>
        <w:spacing w:after="0" w:line="256" w:lineRule="auto"/>
        <w:tabs>
          <w:tab w:leader="none" w:pos="1579"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to the extent that any Unrestricted Subsidiary of Wynn Las Vegas that is so designated after the date of indenture (other than the Completion Guarantor) is redesignated as a Restricted Subsidiary after the date of the indenture, the lesser of (i) the Fair Market Value of Wynn Las Vegas’s Investment in such Subsidiary as of the date of such redesignation or (ii) such Fair Market Value as of the date on which such Subsidiary was originally designated as an Unrestricted Subsidiary; </w:t>
      </w:r>
      <w:r>
        <w:rPr>
          <w:rFonts w:ascii="Arial" w:cs="Arial" w:eastAsia="Arial" w:hAnsi="Arial"/>
          <w:sz w:val="18"/>
          <w:szCs w:val="18"/>
          <w:i w:val="1"/>
          <w:iCs w:val="1"/>
          <w:color w:val="auto"/>
        </w:rPr>
        <w:t>plus</w:t>
      </w:r>
    </w:p>
    <w:p>
      <w:pPr>
        <w:spacing w:after="0" w:line="48" w:lineRule="exact"/>
        <w:rPr>
          <w:rFonts w:ascii="Arial" w:cs="Arial" w:eastAsia="Arial" w:hAnsi="Arial"/>
          <w:sz w:val="18"/>
          <w:szCs w:val="18"/>
          <w:color w:val="auto"/>
        </w:rPr>
      </w:pPr>
    </w:p>
    <w:p>
      <w:pPr>
        <w:ind w:left="1560" w:hanging="219"/>
        <w:spacing w:after="0"/>
        <w:tabs>
          <w:tab w:leader="none" w:pos="1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$50.0 million.</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(a) any payments made pursuant to clauses (1), (2), (3), (6), (7), (8), (9), (10) and (11) below, so long as no Default or Event of Default has occurred and is continuing or would be caused by the payments, and (b) any payments made pursuant to clauses (4), (5) and (12) below, regardless of whether any Default or Event of Default has occurred and is continuing or would be caused by the payment, the preceding provisions will not prohibit:</w:t>
      </w:r>
    </w:p>
    <w:p>
      <w:pPr>
        <w:spacing w:after="0" w:line="12" w:lineRule="exact"/>
        <w:rPr>
          <w:sz w:val="20"/>
          <w:szCs w:val="20"/>
          <w:color w:val="auto"/>
        </w:rPr>
      </w:pPr>
    </w:p>
    <w:p>
      <w:pPr>
        <w:ind w:left="460" w:right="100" w:firstLine="443"/>
        <w:spacing w:after="0" w:line="306" w:lineRule="auto"/>
        <w:tabs>
          <w:tab w:leader="none" w:pos="114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12"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(4)(b) of the preceding paragraph;</w:t>
      </w:r>
    </w:p>
    <w:p>
      <w:pPr>
        <w:spacing w:after="0" w:line="45"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45" w:lineRule="exact"/>
        <w:rPr>
          <w:rFonts w:ascii="Arial" w:cs="Arial" w:eastAsia="Arial" w:hAnsi="Arial"/>
          <w:sz w:val="18"/>
          <w:szCs w:val="18"/>
          <w:color w:val="auto"/>
        </w:rPr>
      </w:pPr>
    </w:p>
    <w:p>
      <w:pPr>
        <w:ind w:left="460" w:right="60" w:firstLine="443"/>
        <w:spacing w:after="0" w:line="290" w:lineRule="auto"/>
        <w:tabs>
          <w:tab w:leader="none" w:pos="114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23"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3"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Securities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consideration for all such repurchased, redeemed, acquired or retired Equity Interests, together with the aggregate amount of all such distributions made to Wynn Resorts, shall not exceed $4.0 million in any calendar year;</w:t>
      </w:r>
    </w:p>
    <w:p>
      <w:pPr>
        <w:spacing w:after="0" w:line="52"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payment, on or after the Budgeted Overhead Final Payment Date, of Allocable Overhead to Wynn Resorts or any of its Subsidiaries to the extent then due and payable by Wynn Resorts or the applicable Subsidiary, as the case may be;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satisfaction and discharge or redemption of any outstanding Second Mortgage Notes;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(10) in an aggregate amount of not more than $10.0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70" w:lineRule="exact"/>
        <w:rPr>
          <w:rFonts w:ascii="Arial" w:cs="Arial" w:eastAsia="Arial" w:hAnsi="Arial"/>
          <w:sz w:val="16"/>
          <w:szCs w:val="16"/>
          <w:color w:val="auto"/>
        </w:rPr>
      </w:pPr>
    </w:p>
    <w:p>
      <w:pPr>
        <w:ind w:left="460" w:right="420" w:firstLine="443"/>
        <w:spacing w:after="0" w:line="332" w:lineRule="auto"/>
        <w:tabs>
          <w:tab w:leader="none" w:pos="12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Restricted Subsidiary of Wynn Resorts, of amounts necessary to pay amounts then due and payable under the Tax Indemnification Agreement, as in effect on the date of the indenture.</w:t>
      </w:r>
    </w:p>
    <w:p>
      <w:pPr>
        <w:spacing w:after="0" w:line="7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7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w:t>
      </w:r>
      <w:r>
        <w:rPr>
          <w:rFonts w:ascii="Arial" w:cs="Arial" w:eastAsia="Arial" w:hAnsi="Arial"/>
          <w:sz w:val="16"/>
          <w:szCs w:val="16"/>
          <w:i w:val="1"/>
          <w:iCs w:val="1"/>
          <w:color w:val="auto"/>
        </w:rPr>
        <w:t>incur</w:t>
      </w:r>
      <w:r>
        <w:rPr>
          <w:rFonts w:ascii="Arial" w:cs="Arial" w:eastAsia="Arial" w:hAnsi="Arial"/>
          <w:sz w:val="16"/>
          <w:szCs w:val="16"/>
          <w:color w:val="auto"/>
        </w:rPr>
        <w:t>”) any Indebtedness (including Acquired Debt), or</w:t>
      </w:r>
    </w:p>
    <w:p>
      <w:pPr>
        <w:ind w:right="80" w:firstLine="8"/>
        <w:spacing w:after="0" w:line="261" w:lineRule="auto"/>
        <w:tabs>
          <w:tab w:leader="none" w:pos="249" w:val="left"/>
        </w:tabs>
        <w:numPr>
          <w:ilvl w:val="0"/>
          <w:numId w:val="96"/>
        </w:numPr>
        <w:rPr>
          <w:rFonts w:ascii="Arial" w:cs="Arial" w:eastAsia="Arial" w:hAnsi="Arial"/>
          <w:sz w:val="18"/>
          <w:szCs w:val="18"/>
          <w:color w:val="auto"/>
        </w:rPr>
      </w:pPr>
      <w:r>
        <w:rPr>
          <w:rFonts w:ascii="Arial" w:cs="Arial" w:eastAsia="Arial" w:hAnsi="Arial"/>
          <w:sz w:val="18"/>
          <w:szCs w:val="18"/>
          <w:color w:val="auto"/>
        </w:rPr>
        <w:t>issue any Disqualified Stock. Notwithstanding the above, Wynn Las Vegas and its Restricted Subsidiaries may incur Indebtedness (including Acquired Debt), or issue Disqualified Stock, if:</w:t>
      </w:r>
    </w:p>
    <w:p>
      <w:pPr>
        <w:spacing w:after="0" w:line="43" w:lineRule="exact"/>
        <w:rPr>
          <w:rFonts w:ascii="Arial" w:cs="Arial" w:eastAsia="Arial" w:hAnsi="Arial"/>
          <w:sz w:val="18"/>
          <w:szCs w:val="18"/>
          <w:color w:val="auto"/>
        </w:rPr>
      </w:pPr>
    </w:p>
    <w:p>
      <w:pPr>
        <w:ind w:left="1160" w:hanging="257"/>
        <w:spacing w:after="0"/>
        <w:tabs>
          <w:tab w:leader="none" w:pos="11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Phase I Opening Date has occurred; and</w:t>
      </w:r>
    </w:p>
    <w:p>
      <w:pPr>
        <w:spacing w:after="0" w:line="76" w:lineRule="exact"/>
        <w:rPr>
          <w:rFonts w:ascii="Arial" w:cs="Arial" w:eastAsia="Arial" w:hAnsi="Arial"/>
          <w:sz w:val="18"/>
          <w:szCs w:val="18"/>
          <w:color w:val="auto"/>
        </w:rPr>
      </w:pPr>
    </w:p>
    <w:p>
      <w:pPr>
        <w:ind w:left="460" w:right="300" w:firstLine="443"/>
        <w:spacing w:after="0" w:line="294" w:lineRule="auto"/>
        <w:tabs>
          <w:tab w:leader="none" w:pos="1147"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Fixed Charge Coverage Ratio of Wynn Las Vegas for Wynn Las Vegas’ most recently ended four full fiscal quarters following the Phase I Opening Date for which internal financial statements are available immediately preceding the date on which such additional Indebtedness is incurred or such Disqualified Stock is issued, as the case may be (the “</w:t>
      </w:r>
      <w:r>
        <w:rPr>
          <w:rFonts w:ascii="Arial" w:cs="Arial" w:eastAsia="Arial" w:hAnsi="Arial"/>
          <w:sz w:val="16"/>
          <w:szCs w:val="16"/>
          <w:i w:val="1"/>
          <w:iCs w:val="1"/>
          <w:color w:val="auto"/>
        </w:rPr>
        <w:t>Reference Period</w:t>
      </w:r>
      <w:r>
        <w:rPr>
          <w:rFonts w:ascii="Arial" w:cs="Arial" w:eastAsia="Arial" w:hAnsi="Arial"/>
          <w:sz w:val="16"/>
          <w:szCs w:val="16"/>
          <w:color w:val="auto"/>
        </w:rPr>
        <w:t>”), would have been at least 2.0 to 1.0, determined on a pro forma basis, including a pro forma application of the net proceeds therefrom, as if the additional Indebtedness had been incurred or the Disqualified Stock had been issued, as the case may be, at the beginning of such four-quarter period.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100" w:lineRule="exact"/>
        <w:rPr>
          <w:sz w:val="20"/>
          <w:szCs w:val="20"/>
          <w:color w:val="auto"/>
        </w:rPr>
      </w:pPr>
    </w:p>
    <w:p>
      <w:pPr>
        <w:ind w:left="460" w:right="60" w:firstLine="443"/>
        <w:spacing w:after="0" w:line="256"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the aggregate amount of all Net Proceeds of Assets Sales applied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 xml:space="preserve">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the Phase II Project Budget and the Phase II Plans and Specifications are not approved by a majority of the arrangers or a majority of the lenders under the Credit Agreement by June 30, 2005, then the amount of Indebtedness permitted to be incurred under the Credit Agreement pursuant to clause (i) above of this clause (1) shall be reduced by $550.0 million;</w:t>
      </w:r>
    </w:p>
    <w:p>
      <w:pPr>
        <w:spacing w:after="0" w:line="26" w:lineRule="exact"/>
        <w:rPr>
          <w:sz w:val="20"/>
          <w:szCs w:val="20"/>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76"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or (12) of this paragraph or under this clause (3);</w:t>
      </w:r>
    </w:p>
    <w:p>
      <w:pPr>
        <w:spacing w:after="0" w:line="12"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intercompany Indebtedness between or among Wynn Las Vegas and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37" w:lineRule="exact"/>
        <w:rPr>
          <w:rFonts w:ascii="Arial" w:cs="Arial" w:eastAsia="Arial" w:hAnsi="Arial"/>
          <w:sz w:val="18"/>
          <w:szCs w:val="18"/>
          <w:color w:val="auto"/>
        </w:rPr>
      </w:pPr>
    </w:p>
    <w:p>
      <w:pPr>
        <w:ind w:left="920" w:firstLine="421"/>
        <w:spacing w:after="0" w:line="255" w:lineRule="auto"/>
        <w:tabs>
          <w:tab w:leader="none" w:pos="1579" w:val="left"/>
        </w:tabs>
        <w:numPr>
          <w:ilvl w:val="1"/>
          <w:numId w:val="98"/>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48" w:lineRule="exact"/>
        <w:rPr>
          <w:rFonts w:ascii="Arial" w:cs="Arial" w:eastAsia="Arial" w:hAnsi="Arial"/>
          <w:sz w:val="18"/>
          <w:szCs w:val="18"/>
          <w:color w:val="auto"/>
        </w:rPr>
      </w:pPr>
    </w:p>
    <w:p>
      <w:pPr>
        <w:ind w:left="920" w:firstLine="421"/>
        <w:spacing w:after="0" w:line="298" w:lineRule="auto"/>
        <w:tabs>
          <w:tab w:leader="none" w:pos="1588" w:val="left"/>
        </w:tabs>
        <w:numPr>
          <w:ilvl w:val="1"/>
          <w:numId w:val="98"/>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99"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solely in respect of performance, surety, appeal or similar bonds or standby letters of credit, so long as such indebtedness is incurred in the ordinary course of business and the aggregate amount of all such bonds and standby letters of credit is not greater than $40.0 million at any time outstanding;</w:t>
      </w:r>
    </w:p>
    <w:p>
      <w:pPr>
        <w:spacing w:after="0" w:line="45" w:lineRule="exact"/>
        <w:rPr>
          <w:rFonts w:ascii="Arial" w:cs="Arial" w:eastAsia="Arial" w:hAnsi="Arial"/>
          <w:sz w:val="18"/>
          <w:szCs w:val="18"/>
          <w:color w:val="auto"/>
        </w:rPr>
      </w:pPr>
    </w:p>
    <w:p>
      <w:pPr>
        <w:ind w:left="460" w:right="140" w:firstLine="443"/>
        <w:spacing w:after="0" w:line="291"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25" w:lineRule="exact"/>
        <w:rPr>
          <w:rFonts w:ascii="Arial" w:cs="Arial" w:eastAsia="Arial" w:hAnsi="Arial"/>
          <w:sz w:val="16"/>
          <w:szCs w:val="16"/>
          <w:color w:val="auto"/>
        </w:rPr>
      </w:pPr>
    </w:p>
    <w:p>
      <w:pPr>
        <w:ind w:left="460" w:right="880" w:firstLine="443"/>
        <w:spacing w:after="0" w:line="268"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a principal amount, including all Permitted Refinancing Indebtedness incurred to renew, refund, refinance,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325" w:lineRule="auto"/>
        <w:rPr>
          <w:sz w:val="20"/>
          <w:szCs w:val="20"/>
          <w:color w:val="auto"/>
        </w:rPr>
      </w:pPr>
      <w:r>
        <w:rPr>
          <w:rFonts w:ascii="Arial" w:cs="Arial" w:eastAsia="Arial" w:hAnsi="Arial"/>
          <w:sz w:val="16"/>
          <w:szCs w:val="16"/>
          <w:color w:val="auto"/>
        </w:rPr>
        <w:t>replace, defease or discharge any Indebtedness incurred pursuant to this clause (8), not to exceed, at any time, 75% of the aggregate cost of the Phase III Project to the pay the costs and expenses of designing, developing and constructing the Phase III Project, so long as:</w:t>
      </w:r>
    </w:p>
    <w:p>
      <w:pPr>
        <w:spacing w:after="0" w:line="1" w:lineRule="exact"/>
        <w:rPr>
          <w:sz w:val="20"/>
          <w:szCs w:val="20"/>
          <w:color w:val="auto"/>
        </w:rPr>
      </w:pPr>
    </w:p>
    <w:p>
      <w:pPr>
        <w:ind w:left="1580" w:hanging="239"/>
        <w:spacing w:after="0"/>
        <w:tabs>
          <w:tab w:leader="none" w:pos="15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Phase II Opening Date has occurred;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holders of the notes continue to have a perfected first priority security interest in the Golf Course Land; and</w:t>
      </w:r>
    </w:p>
    <w:p>
      <w:pPr>
        <w:spacing w:after="0" w:line="76" w:lineRule="exact"/>
        <w:rPr>
          <w:rFonts w:ascii="Arial" w:cs="Arial" w:eastAsia="Arial" w:hAnsi="Arial"/>
          <w:sz w:val="18"/>
          <w:szCs w:val="18"/>
          <w:color w:val="auto"/>
        </w:rPr>
      </w:pPr>
    </w:p>
    <w:p>
      <w:pPr>
        <w:ind w:left="920" w:firstLine="421"/>
        <w:spacing w:after="0" w:line="268" w:lineRule="auto"/>
        <w:tabs>
          <w:tab w:leader="none" w:pos="1579" w:val="left"/>
        </w:tabs>
        <w:numPr>
          <w:ilvl w:val="1"/>
          <w:numId w:val="99"/>
        </w:numPr>
        <w:rPr>
          <w:rFonts w:ascii="Arial" w:cs="Arial" w:eastAsia="Arial" w:hAnsi="Arial"/>
          <w:sz w:val="18"/>
          <w:szCs w:val="18"/>
          <w:color w:val="auto"/>
        </w:rPr>
      </w:pPr>
      <w:r>
        <w:rPr>
          <w:rFonts w:ascii="Arial" w:cs="Arial" w:eastAsia="Arial" w:hAnsi="Arial"/>
          <w:sz w:val="18"/>
          <w:szCs w:val="18"/>
          <w:color w:val="auto"/>
        </w:rPr>
        <w:t>Wynn Las Vegas’ and its Restricted Subsidiaries’ total debt does not exceed 6.5 times Consolidated EBITDA for the four full fiscal quarters immediately preceding the date of such incurrence.</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45" w:lineRule="exact"/>
        <w:rPr>
          <w:rFonts w:ascii="Arial" w:cs="Arial" w:eastAsia="Arial" w:hAnsi="Arial"/>
          <w:sz w:val="18"/>
          <w:szCs w:val="18"/>
          <w:color w:val="auto"/>
        </w:rPr>
      </w:pPr>
    </w:p>
    <w:p>
      <w:pPr>
        <w:ind w:left="460" w:right="260" w:firstLine="443"/>
        <w:spacing w:after="0" w:line="256" w:lineRule="auto"/>
        <w:tabs>
          <w:tab w:leader="none" w:pos="12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on or prior to the Phase II Final Completion Date of Indebtedness represented by performance bonds, guaranties, trade letters of credit, bankers’ acceptances or similar instruments issued by a Person, other than Wynn Resorts or any of its Restricted Subsidiaries, for the benefit of a trade creditor of any such Person, in an aggregate amount not to exceed $20.0 million at any time outstanding so long as:</w:t>
      </w:r>
    </w:p>
    <w:p>
      <w:pPr>
        <w:spacing w:after="0" w:line="48" w:lineRule="exact"/>
        <w:rPr>
          <w:rFonts w:ascii="Arial" w:cs="Arial" w:eastAsia="Arial" w:hAnsi="Arial"/>
          <w:sz w:val="18"/>
          <w:szCs w:val="18"/>
          <w:color w:val="auto"/>
        </w:rPr>
      </w:pPr>
    </w:p>
    <w:p>
      <w:pPr>
        <w:ind w:left="1580" w:hanging="239"/>
        <w:spacing w:after="0"/>
        <w:tabs>
          <w:tab w:leader="none" w:pos="15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76" w:lineRule="exact"/>
        <w:rPr>
          <w:rFonts w:ascii="Arial" w:cs="Arial" w:eastAsia="Arial" w:hAnsi="Arial"/>
          <w:sz w:val="18"/>
          <w:szCs w:val="18"/>
          <w:color w:val="auto"/>
        </w:rPr>
      </w:pPr>
    </w:p>
    <w:p>
      <w:pPr>
        <w:ind w:left="920" w:right="60" w:firstLine="421"/>
        <w:spacing w:after="0" w:line="255" w:lineRule="auto"/>
        <w:tabs>
          <w:tab w:leader="none" w:pos="158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obligations of Wynn Las Vegas or the applicable Restricted Subsidiary, as the case may be, supported by such performance bonds, guaranties, trade letters of credit, bankers’ acceptances or similar instruments (1) consist solely of payment obligations with respect to costs incurred in accordance with the Phase I Project Budget and the Phase II Project Budget, as applicable, which would otherwise be permitted to be paid by the applicable entity pursuant to the Disbursement Agreement and (2) if secured, are secured by Liens permitted by clause (22) of the definition of “Permitted Liens;”</w:t>
      </w:r>
    </w:p>
    <w:p>
      <w:pPr>
        <w:spacing w:after="0" w:line="48" w:lineRule="exact"/>
        <w:rPr>
          <w:rFonts w:ascii="Arial" w:cs="Arial" w:eastAsia="Arial" w:hAnsi="Arial"/>
          <w:sz w:val="18"/>
          <w:szCs w:val="18"/>
          <w:color w:val="auto"/>
        </w:rPr>
      </w:pPr>
    </w:p>
    <w:p>
      <w:pPr>
        <w:ind w:left="460" w:right="120" w:firstLine="443"/>
        <w:spacing w:after="0" w:line="268" w:lineRule="auto"/>
        <w:tabs>
          <w:tab w:leader="none" w:pos="12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$40.0 million;</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2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incurrence by the Issuers and the Guarantors of the notes issued on the date of the indenture in an aggregate principal amount of $1.3 billion and the new notes related thereto;</w:t>
      </w:r>
    </w:p>
    <w:p>
      <w:pPr>
        <w:spacing w:after="0" w:line="37" w:lineRule="exact"/>
        <w:rPr>
          <w:rFonts w:ascii="Arial" w:cs="Arial" w:eastAsia="Arial" w:hAnsi="Arial"/>
          <w:sz w:val="18"/>
          <w:szCs w:val="18"/>
          <w:color w:val="auto"/>
        </w:rPr>
      </w:pPr>
    </w:p>
    <w:p>
      <w:pPr>
        <w:ind w:left="460" w:right="460" w:firstLine="443"/>
        <w:spacing w:after="0" w:line="325" w:lineRule="auto"/>
        <w:tabs>
          <w:tab w:leader="none" w:pos="12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1" w:lineRule="exact"/>
        <w:rPr>
          <w:rFonts w:ascii="Arial" w:cs="Arial" w:eastAsia="Arial" w:hAnsi="Arial"/>
          <w:sz w:val="16"/>
          <w:szCs w:val="16"/>
          <w:color w:val="auto"/>
        </w:rPr>
      </w:pPr>
    </w:p>
    <w:p>
      <w:pPr>
        <w:ind w:left="460" w:right="20" w:firstLine="443"/>
        <w:spacing w:after="0" w:line="269" w:lineRule="auto"/>
        <w:tabs>
          <w:tab w:leader="none" w:pos="12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43"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(14)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77" w:lineRule="exact"/>
        <w:rPr>
          <w:sz w:val="20"/>
          <w:szCs w:val="20"/>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now owned or hereafter acquired, or on any proceeds, income or profits therefrom or assign or convey any right to receive income therefrom, except Permitted Liens.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37" w:lineRule="exact"/>
        <w:rPr>
          <w:sz w:val="20"/>
          <w:szCs w:val="20"/>
          <w:color w:val="auto"/>
        </w:rPr>
      </w:pPr>
    </w:p>
    <w:p>
      <w:pPr>
        <w:ind w:left="460" w:right="40" w:firstLine="443"/>
        <w:spacing w:after="0" w:line="325"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77" w:lineRule="exact"/>
        <w:rPr>
          <w:sz w:val="20"/>
          <w:szCs w:val="20"/>
          <w:color w:val="auto"/>
        </w:rPr>
      </w:pPr>
    </w:p>
    <w:p>
      <w:pPr>
        <w:ind w:left="5580" w:right="5020" w:hanging="4677"/>
        <w:spacing w:after="0" w:line="576" w:lineRule="auto"/>
        <w:tabs>
          <w:tab w:leader="none" w:pos="1146"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notes, the indenture, the Note Guarantees or the Collateral Documents; 114</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37"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21" w:lineRule="exact"/>
        <w:rPr>
          <w:rFonts w:ascii="Arial" w:cs="Arial" w:eastAsia="Arial" w:hAnsi="Arial"/>
          <w:sz w:val="16"/>
          <w:szCs w:val="16"/>
          <w:color w:val="auto"/>
        </w:rPr>
      </w:pPr>
    </w:p>
    <w:p>
      <w:pPr>
        <w:ind w:left="460" w:right="80" w:firstLine="443"/>
        <w:spacing w:after="0" w:line="331" w:lineRule="auto"/>
        <w:tabs>
          <w:tab w:leader="none" w:pos="114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2" w:lineRule="exact"/>
        <w:rPr>
          <w:rFonts w:ascii="Arial" w:cs="Arial" w:eastAsia="Arial" w:hAnsi="Arial"/>
          <w:sz w:val="15"/>
          <w:szCs w:val="15"/>
          <w:color w:val="auto"/>
        </w:rPr>
      </w:pPr>
    </w:p>
    <w:p>
      <w:pPr>
        <w:ind w:left="460" w:right="40" w:firstLine="443"/>
        <w:spacing w:after="0" w:line="259"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covenant described above under the caption “—Incurrence of Indebtedness and Issuance of Disqualified Stock” that impose restrictions of the type described in clause (3) of the first paragraph of this covenant on the assets so acquired;</w:t>
      </w:r>
    </w:p>
    <w:p>
      <w:pPr>
        <w:spacing w:after="0" w:line="45"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37" w:lineRule="exact"/>
        <w:rPr>
          <w:rFonts w:ascii="Arial" w:cs="Arial" w:eastAsia="Arial" w:hAnsi="Arial"/>
          <w:sz w:val="18"/>
          <w:szCs w:val="18"/>
          <w:color w:val="auto"/>
        </w:rPr>
      </w:pPr>
    </w:p>
    <w:p>
      <w:pPr>
        <w:ind w:left="460" w:right="460" w:firstLine="443"/>
        <w:spacing w:after="0" w:line="259"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“—Liens,” securing Indebtedness otherwise permitted to be incurred under the covenant described above under the caption “—Incurrence of Indebtedness and Issuance of Disqualified Stock,” that limit the right of the debtor to dispose of the assets subject to such Liens; or</w:t>
      </w:r>
    </w:p>
    <w:p>
      <w:pPr>
        <w:spacing w:after="0" w:line="45"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77" w:lineRule="exact"/>
        <w:rPr>
          <w:sz w:val="20"/>
          <w:szCs w:val="20"/>
          <w:color w:val="auto"/>
        </w:rPr>
      </w:pPr>
    </w:p>
    <w:p>
      <w:pPr>
        <w:ind w:right="20" w:firstLine="456"/>
        <w:spacing w:after="0" w:line="325"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1" w:lineRule="exact"/>
        <w:rPr>
          <w:sz w:val="20"/>
          <w:szCs w:val="20"/>
          <w:color w:val="auto"/>
        </w:rPr>
      </w:pPr>
    </w:p>
    <w:p>
      <w:pPr>
        <w:ind w:left="460" w:right="120" w:firstLine="443"/>
        <w:spacing w:after="0" w:line="259"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45" w:lineRule="exact"/>
        <w:rPr>
          <w:rFonts w:ascii="Arial" w:cs="Arial" w:eastAsia="Arial" w:hAnsi="Arial"/>
          <w:sz w:val="18"/>
          <w:szCs w:val="18"/>
          <w:color w:val="auto"/>
        </w:rPr>
      </w:pPr>
    </w:p>
    <w:p>
      <w:pPr>
        <w:ind w:left="460" w:right="320" w:firstLine="443"/>
        <w:spacing w:after="0" w:line="306" w:lineRule="auto"/>
        <w:tabs>
          <w:tab w:leader="none" w:pos="11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the indenture, the registration rights agreement and the Collateral Documents pursuant to agreements reasonably satisfactory to the trustee;</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76"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268"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37"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45"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w:t>
      </w:r>
    </w:p>
    <w:p>
      <w:pPr>
        <w:spacing w:after="0" w:line="48"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such transaction, at the time it is undertaken, would not require any holder or beneficial owner of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w:t>
      </w:r>
      <w:r>
        <w:rPr>
          <w:rFonts w:ascii="Arial" w:cs="Arial" w:eastAsia="Arial" w:hAnsi="Arial"/>
          <w:sz w:val="16"/>
          <w:szCs w:val="16"/>
          <w:i w:val="1"/>
          <w:iCs w:val="1"/>
          <w:color w:val="auto"/>
        </w:rPr>
        <w:t>Affiliate Transaction</w:t>
      </w:r>
      <w:r>
        <w:rPr>
          <w:rFonts w:ascii="Arial" w:cs="Arial" w:eastAsia="Arial" w:hAnsi="Arial"/>
          <w:sz w:val="16"/>
          <w:szCs w:val="16"/>
          <w:color w:val="auto"/>
        </w:rPr>
        <w:t>”), unless:</w:t>
      </w:r>
    </w:p>
    <w:p>
      <w:pPr>
        <w:spacing w:after="0" w:line="12" w:lineRule="exact"/>
        <w:rPr>
          <w:sz w:val="20"/>
          <w:szCs w:val="20"/>
          <w:color w:val="auto"/>
        </w:rPr>
      </w:pPr>
    </w:p>
    <w:p>
      <w:pPr>
        <w:ind w:left="460" w:firstLine="443"/>
        <w:spacing w:after="0" w:line="325" w:lineRule="auto"/>
        <w:tabs>
          <w:tab w:leader="none" w:pos="114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Affiliate Transaction is on terms that are no less favorable to Wynn Las Vegas or the relevant Restricted Subsidiary than those that would have been obtained in a comparable transaction by Wynn Las Vegas or such Restricted Subsidiary with an unrelated Person;</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76" w:lineRule="exact"/>
        <w:rPr>
          <w:rFonts w:ascii="Arial" w:cs="Arial" w:eastAsia="Arial" w:hAnsi="Arial"/>
          <w:sz w:val="18"/>
          <w:szCs w:val="18"/>
          <w:color w:val="auto"/>
        </w:rPr>
      </w:pPr>
    </w:p>
    <w:p>
      <w:pPr>
        <w:ind w:left="920" w:right="100" w:firstLine="421"/>
        <w:spacing w:after="0" w:line="298" w:lineRule="auto"/>
        <w:tabs>
          <w:tab w:leader="none" w:pos="1579" w:val="left"/>
        </w:tabs>
        <w:numPr>
          <w:ilvl w:val="1"/>
          <w:numId w:val="107"/>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Boards of Directors;</w:t>
      </w:r>
    </w:p>
    <w:p>
      <w:pPr>
        <w:spacing w:after="0" w:line="18" w:lineRule="exact"/>
        <w:rPr>
          <w:rFonts w:ascii="Arial" w:cs="Arial" w:eastAsia="Arial" w:hAnsi="Arial"/>
          <w:sz w:val="16"/>
          <w:szCs w:val="16"/>
          <w:color w:val="auto"/>
        </w:rPr>
      </w:pPr>
    </w:p>
    <w:p>
      <w:pPr>
        <w:ind w:left="920" w:right="220" w:firstLine="421"/>
        <w:spacing w:after="0" w:line="306" w:lineRule="auto"/>
        <w:tabs>
          <w:tab w:leader="none" w:pos="158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12" w:lineRule="exact"/>
        <w:rPr>
          <w:rFonts w:ascii="Arial" w:cs="Arial" w:eastAsia="Arial" w:hAnsi="Arial"/>
          <w:sz w:val="16"/>
          <w:szCs w:val="16"/>
          <w:color w:val="auto"/>
        </w:rPr>
      </w:pPr>
    </w:p>
    <w:p>
      <w:pPr>
        <w:ind w:left="460" w:right="200" w:firstLine="443"/>
        <w:spacing w:after="0" w:line="256"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00" w:lineRule="exact"/>
        <w:rPr>
          <w:sz w:val="20"/>
          <w:szCs w:val="20"/>
          <w:color w:val="auto"/>
        </w:rPr>
      </w:pPr>
    </w:p>
    <w:p>
      <w:pPr>
        <w:ind w:left="460" w:right="4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37" w:lineRule="exact"/>
        <w:rPr>
          <w:rFonts w:ascii="Arial" w:cs="Arial" w:eastAsia="Arial" w:hAnsi="Arial"/>
          <w:sz w:val="18"/>
          <w:szCs w:val="18"/>
          <w:color w:val="auto"/>
        </w:rPr>
      </w:pPr>
    </w:p>
    <w:p>
      <w:pPr>
        <w:ind w:left="460" w:right="220" w:firstLine="443"/>
        <w:spacing w:after="0" w:line="325"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Resorts, Wynn Capital or any Guarantor, and customary indemnification and insurance arrangements in favor of such directors or managers, in each case in the ordinary course of business;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76"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37" w:lineRule="exact"/>
        <w:rPr>
          <w:rFonts w:ascii="Arial" w:cs="Arial" w:eastAsia="Arial" w:hAnsi="Arial"/>
          <w:sz w:val="18"/>
          <w:szCs w:val="18"/>
          <w:color w:val="auto"/>
        </w:rPr>
      </w:pPr>
    </w:p>
    <w:p>
      <w:pPr>
        <w:ind w:left="460" w:firstLine="443"/>
        <w:spacing w:after="0" w:line="370" w:lineRule="auto"/>
        <w:tabs>
          <w:tab w:leader="none" w:pos="114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leases by Wynn Las Vegas to one or more of its Affiliates of space at the Phase I Project, at market rental rates, for the development and operation of a Ferrari and Maserati automobile dealership pursuant to the Dealership Lease Agreement, to the extent permitted under the Collateral Documents;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60" w:firstLine="443"/>
        <w:spacing w:after="0" w:line="331" w:lineRule="auto"/>
        <w:tabs>
          <w:tab w:leader="none" w:pos="114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(i) the payment, on or after the Budgeted Overhead Final Payment Date, of Allocable Overhead to Wynn Resorts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2" w:lineRule="exact"/>
        <w:rPr>
          <w:rFonts w:ascii="Arial" w:cs="Arial" w:eastAsia="Arial" w:hAnsi="Arial"/>
          <w:sz w:val="15"/>
          <w:szCs w:val="15"/>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(10), (12), (13) or (14) of the definition thereof;</w:t>
      </w:r>
    </w:p>
    <w:p>
      <w:pPr>
        <w:spacing w:after="0" w:line="76"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to any Affiliate if such issuance is otherwise not in contravention of the terms of the indenture; and</w:t>
      </w:r>
    </w:p>
    <w:p>
      <w:pPr>
        <w:spacing w:after="0" w:line="37"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issuance by Wynn Las Vegas of notes, in connection with the issuance of the initial $1.3 billion of notes under the indenture and the issuance of the Guarantees by the Guarantors, to any Affiliate if such issuance is otherwise not in contravention of the terms of the indenture and is on terms that are no less favorable to Wynn Las Vegas and the Guarantors than those that could have been obtained in a comparable transaction by Wynn Las Vegas and the Guarantors with an unrelated Person.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Note Guarantees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Domestic Subsidiary that constitutes an Immaterial Subsidiary need not become a Guarantor until such time as it ceases to be an Immaterial Subsidiary.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construct the Phase I Project and, if the Phase II Budget and the Phase II Plans and Specifications are approved by June 30, 2005, the Phase II Project, including the furnishing, fixturing and equipping of the Phase I Project and, if applicable, the Phase II Project, with diligence and continuity in a good and workmanlike manner substantially in accordance with the Phase I Plans and Specifications or the Phase II Plans and Specifications, as applicable.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Limitations on Use of Proceeds</w:t>
      </w:r>
    </w:p>
    <w:p>
      <w:pPr>
        <w:spacing w:after="0" w:line="77"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color w:val="auto"/>
        </w:rPr>
        <w:t>Wynn Las Vegas deposited all of the remaining net proceeds of the offering of the old notes into the Secured Account after (i) paying the costs and expenses of a tender offer and consent solicitation for the Second Mortgage Notes (including principal, accrued interest and tender offer premium and consent payments net of interest reserve amounts on such Second Mortgage Notes), (ii) repaying the outstanding aggregate balance ($143.4 million) of the land loan encumbering the Phase II Land (net of interest reserve amounts on such land loan), (iii) repaying the outstanding aggregate balance (expected to be $472.4 million at December 14, 2004) under Wynn Las Vegas’ existing $1.05 billion senior secured credit facility, (iv) repaying the outstanding aggregate balance (expected to be $70.3 million at December 14, 2004) under Wynn Las Vegas’ existing $198.5 million FF&amp;E Facility and (v) the costs and expenses of the foregoing. The funds in the Secured Account must be invested solely in Permitted Securities. All funds in the Secured Account will be disbursed only in accordance with the Secured Account Agreement and the Disbursement Agreement.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Wynn Las Vegas will not, and will not permit any of its Restricted Subsidiaries to, enter into any sale and leaseback transaction (except with respect to the Aircraft Assets so long as, and to the extent that, such Aircraft Assets, are not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Wynn Las Vegas or any Restricted Subsidiary may enter into a sale and leaseback transaction if:</w:t>
      </w:r>
    </w:p>
    <w:p>
      <w:pPr>
        <w:spacing w:after="0" w:line="46" w:lineRule="exact"/>
        <w:rPr>
          <w:sz w:val="20"/>
          <w:szCs w:val="20"/>
          <w:color w:val="auto"/>
        </w:rPr>
      </w:pPr>
    </w:p>
    <w:p>
      <w:pPr>
        <w:ind w:left="460" w:right="140" w:firstLine="443"/>
        <w:spacing w:after="0" w:line="298" w:lineRule="auto"/>
        <w:tabs>
          <w:tab w:leader="none" w:pos="114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18"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45"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Line of Business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Development of Golf Course Land</w:t>
      </w:r>
    </w:p>
    <w:p>
      <w:pPr>
        <w:spacing w:after="0" w:line="77"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color w:val="auto"/>
        </w:rPr>
        <w:t>Wynn Las Vegas will not, and will not permit any of its Subsidiaries to, at any time prior to the date on which the security interests in all of the Golf Course Land are released in accordance with the covenant described above under the caption “—Security—Release of Golf Course Land”:</w:t>
      </w:r>
    </w:p>
    <w:p>
      <w:pPr>
        <w:spacing w:after="0" w:line="1" w:lineRule="exact"/>
        <w:rPr>
          <w:sz w:val="20"/>
          <w:szCs w:val="20"/>
          <w:color w:val="auto"/>
        </w:rPr>
      </w:pPr>
    </w:p>
    <w:p>
      <w:pPr>
        <w:ind w:left="460" w:right="240" w:firstLine="443"/>
        <w:spacing w:after="0" w:line="268"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Golf Course Land), or</w:t>
      </w:r>
    </w:p>
    <w:p>
      <w:pPr>
        <w:spacing w:after="0" w:line="45"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incur any Indebtedness, the proceeds of which are expected to be used, or are used, for the construction, development or improvement of the Golf Course Land; provided, however, Wynn Las Vegas or any of its Restricted Subsidiaries may incur such Indebtedness pursuant to clause (8) of the second paragraph of the covenant described above under the caption “—Incurrence of Additional Indebtedness and Issuance of Disqualified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herein or above, Wynn Las Vegas, and its Restricted Subsidiaries may:</w:t>
      </w:r>
    </w:p>
    <w:p>
      <w:pPr>
        <w:spacing w:after="0" w:line="77" w:lineRule="exact"/>
        <w:rPr>
          <w:sz w:val="20"/>
          <w:szCs w:val="20"/>
          <w:color w:val="auto"/>
        </w:rPr>
      </w:pPr>
    </w:p>
    <w:p>
      <w:pPr>
        <w:ind w:left="460" w:right="60" w:firstLine="443"/>
        <w:spacing w:after="0" w:line="268"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develop and construct the 18-hole championship golf course as contemplated by the Golf Course Lease and the Plans and Specifications prior to the Phase I Final Completion Date,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maintain or repair such golf course on the Golf Course Land,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make improvements to such golf course that enhance its use as a golf course for the benefit of the Projects,</w:t>
      </w:r>
    </w:p>
    <w:p>
      <w:pPr>
        <w:spacing w:after="0" w:line="76"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reconfigure certain portions of the golf course in connection with the release of portions of the Golf Course Land in accordance with the provisions set forth under the captions “—Security Interests—Release of Homesite Acreage” and “—Security Interests—Release of Portions of the Golf Course Land.”</w:t>
      </w:r>
    </w:p>
    <w:p>
      <w:pPr>
        <w:spacing w:after="0" w:line="45" w:lineRule="exact"/>
        <w:rPr>
          <w:rFonts w:ascii="Arial" w:cs="Arial" w:eastAsia="Arial" w:hAnsi="Arial"/>
          <w:sz w:val="18"/>
          <w:szCs w:val="18"/>
          <w:color w:val="auto"/>
        </w:rPr>
      </w:pPr>
    </w:p>
    <w:p>
      <w:pPr>
        <w:ind w:left="460" w:right="440" w:firstLine="443"/>
        <w:spacing w:after="0" w:line="347" w:lineRule="auto"/>
        <w:tabs>
          <w:tab w:leader="none" w:pos="1147" w:val="left"/>
        </w:tabs>
        <w:numPr>
          <w:ilvl w:val="0"/>
          <w:numId w:val="112"/>
        </w:numPr>
        <w:rPr>
          <w:rFonts w:ascii="Arial" w:cs="Arial" w:eastAsia="Arial" w:hAnsi="Arial"/>
          <w:sz w:val="15"/>
          <w:szCs w:val="15"/>
          <w:color w:val="auto"/>
        </w:rPr>
      </w:pPr>
      <w:r>
        <w:rPr>
          <w:rFonts w:ascii="Arial" w:cs="Arial" w:eastAsia="Arial" w:hAnsi="Arial"/>
          <w:sz w:val="15"/>
          <w:szCs w:val="15"/>
          <w:color w:val="auto"/>
        </w:rPr>
        <w:t>in the event of loss or damage to the Phase II Land or the improvements thereon, rebuild or repair the Phase II Land and the improvements thereon to the extent permitted by the provisions described above under the caption “—Repurchase at the Option of the Holders—Events of Loss,”</w:t>
      </w:r>
    </w:p>
    <w:p>
      <w:pPr>
        <w:ind w:left="460" w:right="500" w:firstLine="443"/>
        <w:spacing w:after="0" w:line="268"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construct, develop or improve the Golf Course Land for the purpose of constructing the Projects as contemplated by the Phase I Plans and Specifications, the Phase II Plans and Specifications or the Disbursement Agreement,</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undertake Government Transfers,</w:t>
      </w:r>
    </w:p>
    <w:p>
      <w:pPr>
        <w:spacing w:after="0" w:line="76" w:lineRule="exact"/>
        <w:rPr>
          <w:rFonts w:ascii="Arial" w:cs="Arial" w:eastAsia="Arial" w:hAnsi="Arial"/>
          <w:sz w:val="18"/>
          <w:szCs w:val="18"/>
          <w:color w:val="auto"/>
        </w:rPr>
      </w:pPr>
    </w:p>
    <w:p>
      <w:pPr>
        <w:jc w:val="both"/>
        <w:ind w:left="460" w:right="60" w:firstLine="443"/>
        <w:spacing w:after="0" w:line="256"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develop the Phase III Project on the Golf Course Land in the event that (a) the Golf Course Land has not been released as described under the caption “—Security—Release of Golf Course Land” and (b) Wynn Las Vegas or any of its Restricted Subsidiaries incurs the Permitted Debt of the type described in clause (8) of the second paragraph of the covenant described above under the caption “—Incurrence of Additional Indebtedness and Issuance of Disqualified Stock;” and</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77" w:lineRule="exact"/>
        <w:rPr>
          <w:sz w:val="20"/>
          <w:szCs w:val="20"/>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76" w:lineRule="exact"/>
        <w:rPr>
          <w:rFonts w:ascii="Arial" w:cs="Arial" w:eastAsia="Arial" w:hAnsi="Arial"/>
          <w:sz w:val="18"/>
          <w:szCs w:val="18"/>
          <w:color w:val="auto"/>
        </w:rPr>
      </w:pPr>
    </w:p>
    <w:p>
      <w:pPr>
        <w:ind w:left="920" w:firstLine="421"/>
        <w:spacing w:after="0" w:line="298" w:lineRule="auto"/>
        <w:tabs>
          <w:tab w:leader="none" w:pos="1579"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18" w:lineRule="exact"/>
        <w:rPr>
          <w:rFonts w:ascii="Arial" w:cs="Arial" w:eastAsia="Arial" w:hAnsi="Arial"/>
          <w:sz w:val="16"/>
          <w:szCs w:val="16"/>
          <w:color w:val="auto"/>
        </w:rPr>
      </w:pPr>
    </w:p>
    <w:p>
      <w:pPr>
        <w:ind w:left="920" w:right="300" w:firstLine="421"/>
        <w:spacing w:after="0" w:line="268" w:lineRule="auto"/>
        <w:tabs>
          <w:tab w:leader="none" w:pos="158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will occur as a result thereof;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will be deferred and will accrue. Such accrued and unpaid Management Fees may be paid in any subsequent 12-month period to the extent such payment would be permitted under this covenant and the Management Fees Subordination Agreement.</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notes to receive payments pursuant to the notes and the Guarantees. Under this agreement, Management Fees will be payable semi-annually in arrears on the tenth Business Day following the date on which interest payments are payable on the notes. Management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40"/>
          </w:cols>
          <w:pgMar w:left="240" w:top="459" w:right="3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46" w:lineRule="exact"/>
        <w:rPr>
          <w:sz w:val="20"/>
          <w:szCs w:val="20"/>
          <w:color w:val="auto"/>
        </w:rPr>
      </w:pPr>
    </w:p>
    <w:p>
      <w:pPr>
        <w:ind w:left="1160" w:hanging="257"/>
        <w:spacing w:after="0"/>
        <w:tabs>
          <w:tab w:leader="none" w:pos="11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99"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Certain Agreements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or prior to the Phase I Final Completion Date, except as contemplated by the Disbursement Agreement, Wynn Las Vegas will not, and will not permit any of its Restricted Subsidiaries to, amend, modify, waive or otherwise change, or consent or agree to any amendment, modification, waiver or other change to, or otherwise fail to enforce, or terminate or abandon, any of the provisions of the Construction Contract, the Construction Contract Guarantee, the Design/Build Contract, the Golf Course Construction Contract, the Golf Course Design Services Agreement or any Payment and Performance Bond, in each case if such amendment, modification, waiver or other change, failure to enforce, termination or abandonment (individually or collectively with all such amendments, modifications, waivers and other changes, failures to enforce, terminations or abandonments taken as a whole) would have a material adverse affect on the ability of Wynn Las Vegas or any of its Restricted Subsidiaries to develop, construct or operate the Phase I Project.</w:t>
      </w:r>
    </w:p>
    <w:p>
      <w:pPr>
        <w:spacing w:after="0" w:line="105"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18" w:lineRule="exact"/>
        <w:rPr>
          <w:sz w:val="20"/>
          <w:szCs w:val="20"/>
          <w:color w:val="auto"/>
        </w:rPr>
      </w:pPr>
    </w:p>
    <w:p>
      <w:pPr>
        <w:ind w:left="460" w:right="160" w:firstLine="443"/>
        <w:spacing w:after="0" w:line="268" w:lineRule="auto"/>
        <w:tabs>
          <w:tab w:leader="none" w:pos="114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37"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w:t>
      </w:r>
    </w:p>
    <w:p>
      <w:pPr>
        <w:spacing w:after="0" w:line="77" w:lineRule="exact"/>
        <w:rPr>
          <w:sz w:val="20"/>
          <w:szCs w:val="20"/>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dissolve,</w:t>
      </w:r>
    </w:p>
    <w:p>
      <w:pPr>
        <w:spacing w:after="0" w:line="76"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18"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130"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3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18" w:lineRule="exact"/>
        <w:rPr>
          <w:sz w:val="20"/>
          <w:szCs w:val="20"/>
          <w:color w:val="auto"/>
        </w:rPr>
      </w:pPr>
    </w:p>
    <w:p>
      <w:pPr>
        <w:ind w:left="460" w:right="24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cause such Restricted Subsidiary or subchapter “C” corporation (if such subchapter “C” corporation is not an Issuer) to guarantee all obligations of the Issuers under the indenture and the notes by executing and delivering to the trustee a supplemental indenture in the form of Annex I to the indenture; or</w:t>
      </w:r>
    </w:p>
    <w:p>
      <w:pPr>
        <w:spacing w:after="0" w:line="46" w:lineRule="exact"/>
        <w:rPr>
          <w:sz w:val="20"/>
          <w:szCs w:val="20"/>
          <w:color w:val="auto"/>
        </w:rPr>
      </w:pPr>
    </w:p>
    <w:p>
      <w:pPr>
        <w:ind w:left="460" w:right="100" w:firstLine="443"/>
        <w:spacing w:after="0" w:line="294" w:lineRule="auto"/>
        <w:tabs>
          <w:tab w:leader="none" w:pos="114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such subchapter “C” corporation is an Issuer, cause such subchapter “C” corporation to execute and deliver to the trustee (i) a supplemental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such Issuer that was so reorganized as a “C” corporation;</w:t>
      </w:r>
    </w:p>
    <w:p>
      <w:pPr>
        <w:spacing w:after="0" w:line="21" w:lineRule="exact"/>
        <w:rPr>
          <w:sz w:val="20"/>
          <w:szCs w:val="20"/>
          <w:color w:val="auto"/>
        </w:rPr>
      </w:pPr>
    </w:p>
    <w:p>
      <w:pPr>
        <w:ind w:left="460" w:firstLine="443"/>
        <w:spacing w:after="0" w:line="256"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 (a) an assumption agreement to the Security Agreement (under which such Restricted Subsidiary or subchapter “C” corporation will grant a security interest to the trustee in those of its assets described in the Security Agreement), and (b) such Uniform Commercial Code financing statements as are necessary to perfect the trustee’s security interest in such assets;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or (ii) has a Fair Market Value in excess of $5.0 million in the aggregate or $2.5 million individually, cause such Restricted Subsidiary or subchapter “C” corporation to execute and deliver to the trustee:</w:t>
      </w:r>
    </w:p>
    <w:p>
      <w:pPr>
        <w:spacing w:after="0" w:line="45" w:lineRule="exact"/>
        <w:rPr>
          <w:rFonts w:ascii="Arial" w:cs="Arial" w:eastAsia="Arial" w:hAnsi="Arial"/>
          <w:sz w:val="18"/>
          <w:szCs w:val="18"/>
          <w:color w:val="auto"/>
        </w:rPr>
      </w:pPr>
    </w:p>
    <w:p>
      <w:pPr>
        <w:ind w:left="920" w:right="140" w:firstLine="421"/>
        <w:spacing w:after="0" w:line="259" w:lineRule="auto"/>
        <w:tabs>
          <w:tab w:leader="none" w:pos="157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collateral agent in such real property and any related fixtures);</w:t>
      </w:r>
    </w:p>
    <w:p>
      <w:pPr>
        <w:spacing w:after="0" w:line="45" w:lineRule="exact"/>
        <w:rPr>
          <w:rFonts w:ascii="Arial" w:cs="Arial" w:eastAsia="Arial" w:hAnsi="Arial"/>
          <w:sz w:val="18"/>
          <w:szCs w:val="18"/>
          <w:color w:val="auto"/>
        </w:rPr>
      </w:pPr>
    </w:p>
    <w:p>
      <w:pPr>
        <w:ind w:left="920" w:right="80" w:firstLine="421"/>
        <w:spacing w:after="0" w:line="268" w:lineRule="auto"/>
        <w:tabs>
          <w:tab w:leader="none" w:pos="158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37"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45"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notes or such Restricted Subsidiary’s Guarantee obligations under the applicable Collateral and Security Agreement, as the case may be;</w:t>
      </w:r>
    </w:p>
    <w:p>
      <w:pPr>
        <w:spacing w:after="0" w:line="48"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45"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At any time other than during any Collateral Release Period, and concurrently with the acquisition by Wynn Las Vegas or any of its Restricted Subsidiaries of any assets or property (other than a Subsidiary of Wynn Las Vegas), to the extent not prohibited by Gaming Authorities or applicable Gaming Laws and subject to the Intercreditor Agreement, Wynn Las Vegas will, and will cause its Restricted Subsidiaries to, cause the applicable entity to:</w:t>
      </w:r>
    </w:p>
    <w:p>
      <w:pPr>
        <w:spacing w:after="0" w:line="12" w:lineRule="exact"/>
        <w:rPr>
          <w:sz w:val="20"/>
          <w:szCs w:val="20"/>
          <w:color w:val="auto"/>
        </w:rPr>
      </w:pPr>
    </w:p>
    <w:p>
      <w:pPr>
        <w:ind w:left="460" w:right="180" w:firstLine="443"/>
        <w:spacing w:after="0" w:line="306" w:lineRule="auto"/>
        <w:tabs>
          <w:tab w:leader="none" w:pos="114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collateral agent, desirable to perfect and protect the trustee’s security interest in such assets or property;</w:t>
      </w:r>
    </w:p>
    <w:p>
      <w:pPr>
        <w:spacing w:after="0" w:line="12"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37" w:lineRule="exact"/>
        <w:rPr>
          <w:rFonts w:ascii="Arial" w:cs="Arial" w:eastAsia="Arial" w:hAnsi="Arial"/>
          <w:sz w:val="18"/>
          <w:szCs w:val="18"/>
          <w:color w:val="auto"/>
        </w:rPr>
      </w:pPr>
    </w:p>
    <w:p>
      <w:pPr>
        <w:ind w:left="920" w:right="60" w:firstLine="421"/>
        <w:spacing w:after="0" w:line="259" w:lineRule="auto"/>
        <w:tabs>
          <w:tab w:leader="none" w:pos="157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collateral agent in such real property and any related fixtures),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(b) title and extended coverage insurance covering such real property in an amount at least equal to the purchase price of such real property;</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70" w:lineRule="exact"/>
        <w:rPr>
          <w:sz w:val="20"/>
          <w:szCs w:val="20"/>
          <w:color w:val="auto"/>
        </w:rPr>
      </w:pPr>
    </w:p>
    <w:p>
      <w:pPr>
        <w:ind w:left="460" w:right="20" w:firstLine="443"/>
        <w:spacing w:after="0" w:line="306" w:lineRule="auto"/>
        <w:tabs>
          <w:tab w:leader="none" w:pos="114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Further Assurances</w:t>
      </w:r>
    </w:p>
    <w:p>
      <w:pPr>
        <w:spacing w:after="0" w:line="77" w:lineRule="exact"/>
        <w:rPr>
          <w:sz w:val="20"/>
          <w:szCs w:val="20"/>
          <w:color w:val="auto"/>
        </w:rPr>
      </w:pPr>
    </w:p>
    <w:p>
      <w:pPr>
        <w:ind w:right="500" w:firstLine="456"/>
        <w:spacing w:after="0" w:line="325"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1" w:lineRule="exact"/>
        <w:rPr>
          <w:sz w:val="20"/>
          <w:szCs w:val="20"/>
          <w:color w:val="auto"/>
        </w:rPr>
      </w:pPr>
    </w:p>
    <w:p>
      <w:pPr>
        <w:ind w:left="1160" w:hanging="257"/>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37"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7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Wynn Capital will not hold any material assets, hold any Equity Securities,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77" w:lineRule="exact"/>
        <w:rPr>
          <w:sz w:val="20"/>
          <w:szCs w:val="20"/>
          <w:color w:val="auto"/>
        </w:rPr>
      </w:pPr>
    </w:p>
    <w:p>
      <w:pPr>
        <w:ind w:right="320" w:firstLine="456"/>
        <w:spacing w:after="0" w:line="325" w:lineRule="auto"/>
        <w:rPr>
          <w:sz w:val="20"/>
          <w:szCs w:val="20"/>
          <w:color w:val="auto"/>
        </w:rPr>
      </w:pPr>
      <w:r>
        <w:rPr>
          <w:rFonts w:ascii="Arial" w:cs="Arial" w:eastAsia="Arial" w:hAnsi="Arial"/>
          <w:sz w:val="16"/>
          <w:szCs w:val="16"/>
          <w:color w:val="auto"/>
        </w:rPr>
        <w:t>Whether or not required by the rules and regulations of the Commission, so long as any notes are outstanding, the Issuers will furnish to the Holders of notes or cause the trustee to furnish to the Holders of notes, within the time periods specified in the Commission’s rules and regulations:</w:t>
      </w:r>
    </w:p>
    <w:p>
      <w:pPr>
        <w:spacing w:after="0" w:line="1" w:lineRule="exact"/>
        <w:rPr>
          <w:sz w:val="20"/>
          <w:szCs w:val="20"/>
          <w:color w:val="auto"/>
        </w:rPr>
      </w:pPr>
    </w:p>
    <w:p>
      <w:pPr>
        <w:ind w:left="460" w:right="260" w:firstLine="443"/>
        <w:spacing w:after="0" w:line="306" w:lineRule="auto"/>
        <w:tabs>
          <w:tab w:leader="none" w:pos="114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all quarterly and annual reports that would be required to be filed with the Commission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Commission on Form 8-K if the Issuers were required to file such reports.</w:t>
      </w:r>
    </w:p>
    <w:p>
      <w:pPr>
        <w:spacing w:after="0" w:line="18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following the consummation of the exchange offer contemplated by the registration rights agreement, Wynn Las Vegas will file a copy of each of the reports referred to in clauses (1) and (2) above with the Commission for public availability within the time periods specified in the rules and regulations applicable to such reports (unless the Commission will not accept such a filing) and will post the reports on its website within those time periods.</w:t>
      </w:r>
    </w:p>
    <w:p>
      <w:pPr>
        <w:spacing w:after="0" w:line="102"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If, at any time after consummation of the exchange offer contemplated by the registration rights agreement, Wynn Las Vegas is no longer subject to the periodic reporting requirements of the Exchange Act for any reason, Wynn Las Vegas will nevertheless continue filing the reports specified in the preceding paragraph of this covenant with the Commission within the time periods specified above unless the Commission will not accept such a filing. Wynn Las Vegas will not take any action for the purpose of causing the Commission not to accept any such filings. If, notwithstanding the foregoing, the Commission will not accept Wynn Las Vegas’ filings for any reason, Wynn Las Vegas will post the reports referred to in the preceding paragraphs on its website within the time periods that would apply if Wynn Las Vegas were required to file those reports with the Commission.</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addition, the Issuers and the Guarantors agree that, for so long as any notes remain outstanding, if at any time they are not required to file with the Commission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77" w:lineRule="exact"/>
        <w:rPr>
          <w:sz w:val="20"/>
          <w:szCs w:val="20"/>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notes;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notes;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76" w:lineRule="exact"/>
        <w:rPr>
          <w:rFonts w:ascii="Arial" w:cs="Arial" w:eastAsia="Arial" w:hAnsi="Arial"/>
          <w:sz w:val="18"/>
          <w:szCs w:val="18"/>
          <w:color w:val="auto"/>
        </w:rPr>
      </w:pPr>
    </w:p>
    <w:p>
      <w:pPr>
        <w:ind w:left="920" w:right="40" w:firstLine="421"/>
        <w:spacing w:after="0" w:line="259" w:lineRule="auto"/>
        <w:tabs>
          <w:tab w:leader="none" w:pos="157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45" w:lineRule="exact"/>
        <w:rPr>
          <w:rFonts w:ascii="Arial" w:cs="Arial" w:eastAsia="Arial" w:hAnsi="Arial"/>
          <w:sz w:val="18"/>
          <w:szCs w:val="18"/>
          <w:color w:val="auto"/>
        </w:rPr>
      </w:pPr>
    </w:p>
    <w:p>
      <w:pPr>
        <w:ind w:left="920" w:right="540" w:firstLine="421"/>
        <w:spacing w:after="0" w:line="332" w:lineRule="auto"/>
        <w:tabs>
          <w:tab w:leader="none" w:pos="158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80" w:firstLine="443"/>
        <w:spacing w:after="0" w:line="259"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notes then outstanding voting as a single class to comply with any of the other agreements in the indenture not set forth in clause (3) above;</w:t>
      </w:r>
    </w:p>
    <w:p>
      <w:pPr>
        <w:spacing w:after="0" w:line="45"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notes then outstanding voting as a single class to comply with any of its agreements, as applicable, in any Collateral Document;</w:t>
      </w:r>
    </w:p>
    <w:p>
      <w:pPr>
        <w:spacing w:after="0" w:line="48" w:lineRule="exact"/>
        <w:rPr>
          <w:rFonts w:ascii="Arial" w:cs="Arial" w:eastAsia="Arial" w:hAnsi="Arial"/>
          <w:sz w:val="18"/>
          <w:szCs w:val="18"/>
          <w:color w:val="auto"/>
        </w:rPr>
      </w:pPr>
    </w:p>
    <w:p>
      <w:pPr>
        <w:ind w:left="460" w:right="120" w:firstLine="443"/>
        <w:spacing w:after="0" w:line="306" w:lineRule="auto"/>
        <w:tabs>
          <w:tab w:leader="none" w:pos="114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now exists, or is created after the date of the indenture, if that default:</w:t>
      </w:r>
    </w:p>
    <w:p>
      <w:pPr>
        <w:spacing w:after="0" w:line="12" w:lineRule="exact"/>
        <w:rPr>
          <w:rFonts w:ascii="Arial" w:cs="Arial" w:eastAsia="Arial" w:hAnsi="Arial"/>
          <w:sz w:val="16"/>
          <w:szCs w:val="16"/>
          <w:color w:val="auto"/>
        </w:rPr>
      </w:pPr>
    </w:p>
    <w:p>
      <w:pPr>
        <w:ind w:left="920" w:right="280" w:firstLine="421"/>
        <w:spacing w:after="0" w:line="268" w:lineRule="auto"/>
        <w:tabs>
          <w:tab w:leader="none" w:pos="157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77" w:lineRule="exact"/>
        <w:rPr>
          <w:sz w:val="20"/>
          <w:szCs w:val="20"/>
          <w:color w:val="auto"/>
        </w:rPr>
      </w:pPr>
    </w:p>
    <w:p>
      <w:pPr>
        <w:ind w:left="920" w:right="280"/>
        <w:spacing w:after="0" w:line="325"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1" w:lineRule="exact"/>
        <w:rPr>
          <w:sz w:val="20"/>
          <w:szCs w:val="20"/>
          <w:color w:val="auto"/>
        </w:rPr>
      </w:pPr>
    </w:p>
    <w:p>
      <w:pPr>
        <w:ind w:left="460" w:right="80" w:firstLine="443"/>
        <w:spacing w:after="0" w:line="259"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45"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48"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21" w:lineRule="exact"/>
        <w:rPr>
          <w:rFonts w:ascii="Arial" w:cs="Arial" w:eastAsia="Arial" w:hAnsi="Arial"/>
          <w:sz w:val="16"/>
          <w:szCs w:val="16"/>
          <w:color w:val="auto"/>
        </w:rPr>
      </w:pPr>
    </w:p>
    <w:p>
      <w:pPr>
        <w:ind w:left="460" w:right="100" w:firstLine="443"/>
        <w:spacing w:after="0" w:line="298" w:lineRule="auto"/>
        <w:tabs>
          <w:tab w:leader="none" w:pos="123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except as expressly permitted therein or by the indenture, the Completion Guarantee, the Phase I Construction Contract Guarantee or any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Guarantee;</w:t>
      </w:r>
    </w:p>
    <w:p>
      <w:pPr>
        <w:spacing w:after="0" w:line="18" w:lineRule="exact"/>
        <w:rPr>
          <w:rFonts w:ascii="Arial" w:cs="Arial" w:eastAsia="Arial" w:hAnsi="Arial"/>
          <w:sz w:val="16"/>
          <w:szCs w:val="16"/>
          <w:color w:val="auto"/>
        </w:rPr>
      </w:pPr>
    </w:p>
    <w:p>
      <w:pPr>
        <w:ind w:left="460" w:firstLine="443"/>
        <w:spacing w:after="0" w:line="259" w:lineRule="auto"/>
        <w:tabs>
          <w:tab w:leader="none" w:pos="122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37"/>
        <w:spacing w:after="0"/>
        <w:tabs>
          <w:tab w:leader="none" w:pos="1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Phase I Project has not achieved Phase I Completion on or before the Phase I Outside Completion Deadline;</w:t>
      </w:r>
    </w:p>
    <w:p>
      <w:pPr>
        <w:spacing w:after="0" w:line="76" w:lineRule="exact"/>
        <w:rPr>
          <w:rFonts w:ascii="Arial" w:cs="Arial" w:eastAsia="Arial" w:hAnsi="Arial"/>
          <w:sz w:val="18"/>
          <w:szCs w:val="18"/>
          <w:color w:val="auto"/>
        </w:rPr>
      </w:pPr>
    </w:p>
    <w:p>
      <w:pPr>
        <w:ind w:left="460" w:right="160" w:firstLine="443"/>
        <w:spacing w:after="0" w:line="325" w:lineRule="auto"/>
        <w:tabs>
          <w:tab w:leader="none" w:pos="123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after the Phase I Opening Date, revocation, termination, suspension or other cessation of effectiveness of any Gaming License which results in the cessation or suspension of gaming operations at any Gaming Facility for a period of more than 90 consecutive days; or</w:t>
      </w:r>
    </w:p>
    <w:p>
      <w:pPr>
        <w:spacing w:after="0" w:line="1" w:lineRule="exact"/>
        <w:rPr>
          <w:rFonts w:ascii="Arial" w:cs="Arial" w:eastAsia="Arial" w:hAnsi="Arial"/>
          <w:sz w:val="16"/>
          <w:szCs w:val="16"/>
          <w:color w:val="auto"/>
        </w:rPr>
      </w:pPr>
    </w:p>
    <w:p>
      <w:pPr>
        <w:ind w:left="460" w:firstLine="443"/>
        <w:spacing w:after="0" w:line="268" w:lineRule="auto"/>
        <w:tabs>
          <w:tab w:leader="none" w:pos="12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through one or more Wholly Owned Subsidiaries, 100% of the issued and outstanding Equity Interests of Wynn Capital.</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99"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Holders of the notes may not enforce the indenture or the notes except as provided in the indenture, the Intercreditor Agreement and the other Collateral Documents. Subject to certain limitations, holders of a majority in aggregate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84"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notes unless such holders have offered to the trustee reasonable indemnity or security against any loss, liability or expense. Except to enforce the right to receive payment of principal, interest or premium, if any, or Liquidated Damages, if any, when due, no holder of a note may pursue any remedy with respect to the indenture or the notes unless:</w:t>
      </w:r>
    </w:p>
    <w:p>
      <w:pPr>
        <w:spacing w:after="0" w:line="18" w:lineRule="exact"/>
        <w:rPr>
          <w:sz w:val="20"/>
          <w:szCs w:val="20"/>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notes have requested the trustee to pursue the remedy;</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99"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if any, or Liquidated Damages, if any, on, or the principal of, the notes.</w:t>
      </w:r>
    </w:p>
    <w:p>
      <w:pPr>
        <w:spacing w:after="0" w:line="93"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Remedies upon Default Under the Notes</w:t>
      </w:r>
    </w:p>
    <w:p>
      <w:pPr>
        <w:spacing w:after="0" w:line="7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Enforcement of Collateral Documents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Generally, if an Event of Default occurs, subject to the provisions of the Intercreditor Agreement,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 and remedies. See “—Gaming Law Limitations on Foreclosure,” “—Bankruptcy Limitations on Foreclosure” and “— Nevada Public Utility Commission Limitations on Foreclosure.”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in the Pledged Collateral</w:t>
      </w:r>
    </w:p>
    <w:p>
      <w:pPr>
        <w:spacing w:after="0" w:line="77"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50" w:lineRule="exact"/>
        <w:rPr>
          <w:sz w:val="20"/>
          <w:szCs w:val="20"/>
          <w:color w:val="auto"/>
        </w:rPr>
      </w:pPr>
    </w:p>
    <w:p>
      <w:pPr>
        <w:ind w:left="460" w:right="120" w:firstLine="443"/>
        <w:spacing w:after="0" w:line="347" w:lineRule="auto"/>
        <w:tabs>
          <w:tab w:leader="none" w:pos="114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37"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7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72"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7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Intercreditor Agreement will impose restrictions on the exercise of rights and remedies by the noteholders with respect to the Collateral. See “Intercreditor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7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Offering and the Notes—Bankruptcy laws may significantly impair your creditors’ rights to repossess and dispose of collateral securing the notes,” “—In the event that a bankruptcy court orders the substantive consolidation of Wynn Las Vegas and Wynn Capital with certain affiliated parties, payments on the notes could be delayed or reduced” and “—Contract rights under agreements serving as collateral for the notes may be rejected in bankruptcy.”</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7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Property Collateral</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0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9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3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No director, manager, officer, employee, incorporator, organizer, member or stockholder of either Issuer, any Restricted Subsidiary or any Guarantor, as such, will have any liability for any obligations of either Issuer, any Restricted Subsidiary or any Guarantor under the notes, the indenture, the 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Note Guarantees, and all obligations of the Issuers and the Guarantors discharged with respect to the Collateral Documents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46" w:lineRule="exact"/>
        <w:rPr>
          <w:sz w:val="20"/>
          <w:szCs w:val="20"/>
          <w:color w:val="auto"/>
        </w:rPr>
      </w:pPr>
    </w:p>
    <w:p>
      <w:pPr>
        <w:ind w:left="460" w:right="260" w:firstLine="443"/>
        <w:spacing w:after="0" w:line="268"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firstLine="443"/>
        <w:spacing w:after="0" w:line="325" w:lineRule="auto"/>
        <w:tabs>
          <w:tab w:leader="none" w:pos="114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5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w:t>
      </w:r>
      <w:r>
        <w:rPr>
          <w:rFonts w:ascii="Arial" w:cs="Arial" w:eastAsia="Arial" w:hAnsi="Arial"/>
          <w:sz w:val="15"/>
          <w:szCs w:val="15"/>
          <w:i w:val="1"/>
          <w:iCs w:val="1"/>
          <w:color w:val="auto"/>
        </w:rPr>
        <w:t>Covenant Defeasance</w:t>
      </w:r>
      <w:r>
        <w:rPr>
          <w:rFonts w:ascii="Arial" w:cs="Arial" w:eastAsia="Arial" w:hAnsi="Arial"/>
          <w:sz w:val="15"/>
          <w:szCs w:val="15"/>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the caption “—Events of Default and Remedies” will no longer constitute an Event of Default with respect to the notes.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77" w:lineRule="exact"/>
        <w:rPr>
          <w:sz w:val="20"/>
          <w:szCs w:val="20"/>
          <w:color w:val="auto"/>
        </w:rPr>
      </w:pPr>
    </w:p>
    <w:p>
      <w:pPr>
        <w:ind w:left="460" w:right="20" w:firstLine="443"/>
        <w:spacing w:after="0" w:line="294" w:lineRule="auto"/>
        <w:tabs>
          <w:tab w:leader="none" w:pos="114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notes on the stated date for payment thereof or on the applicable redemption date, as the case may be, and the Issuers must specify whether the notes are being defeased to such stated date for payment or to a particular redemption date;</w:t>
      </w:r>
    </w:p>
    <w:p>
      <w:pPr>
        <w:spacing w:after="0" w:line="21" w:lineRule="exact"/>
        <w:rPr>
          <w:rFonts w:ascii="Arial" w:cs="Arial" w:eastAsia="Arial" w:hAnsi="Arial"/>
          <w:sz w:val="16"/>
          <w:szCs w:val="16"/>
          <w:color w:val="auto"/>
        </w:rPr>
      </w:pPr>
    </w:p>
    <w:p>
      <w:pPr>
        <w:ind w:left="1160" w:hanging="257"/>
        <w:spacing w:after="0"/>
        <w:tabs>
          <w:tab w:leader="none" w:pos="116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20" w:firstLine="4"/>
        <w:spacing w:after="0" w:line="320" w:lineRule="auto"/>
        <w:tabs>
          <w:tab w:leader="none" w:pos="699"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Issuers have received from, or there has been published by, the Internal Revenue Service a ruling or (b) since the date of the indenture, there has been a change in the applicable United States federal income tax law, in either case to the effect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5" w:lineRule="exact"/>
        <w:rPr>
          <w:rFonts w:ascii="Arial" w:cs="Arial" w:eastAsia="Arial" w:hAnsi="Arial"/>
          <w:sz w:val="15"/>
          <w:szCs w:val="15"/>
          <w:color w:val="auto"/>
        </w:rPr>
      </w:pPr>
    </w:p>
    <w:p>
      <w:pPr>
        <w:jc w:val="both"/>
        <w:ind w:left="460" w:firstLine="443"/>
        <w:spacing w:after="0" w:line="256" w:lineRule="auto"/>
        <w:tabs>
          <w:tab w:leader="none" w:pos="11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48" w:lineRule="exact"/>
        <w:rPr>
          <w:rFonts w:ascii="Arial" w:cs="Arial" w:eastAsia="Arial" w:hAnsi="Arial"/>
          <w:sz w:val="18"/>
          <w:szCs w:val="18"/>
          <w:color w:val="auto"/>
        </w:rPr>
      </w:pPr>
    </w:p>
    <w:p>
      <w:pPr>
        <w:ind w:left="460" w:right="20" w:firstLine="443"/>
        <w:spacing w:after="0" w:line="256" w:lineRule="auto"/>
        <w:tabs>
          <w:tab w:leader="none" w:pos="11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48"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45" w:lineRule="exact"/>
        <w:rPr>
          <w:rFonts w:ascii="Arial" w:cs="Arial" w:eastAsia="Arial" w:hAnsi="Arial"/>
          <w:sz w:val="18"/>
          <w:szCs w:val="18"/>
          <w:color w:val="auto"/>
        </w:rPr>
      </w:pPr>
    </w:p>
    <w:p>
      <w:pPr>
        <w:ind w:left="460" w:right="740" w:firstLine="443"/>
        <w:spacing w:after="0" w:line="268" w:lineRule="auto"/>
        <w:tabs>
          <w:tab w:leader="none" w:pos="11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the case of Legal Defeasance, the Issuers must deliver to the trustee an opinion of counsel to the effect that, assuming no intervening bankruptcy of the Issuers or any Guarantor between the date of deposit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20" w:lineRule="auto"/>
        <w:rPr>
          <w:sz w:val="20"/>
          <w:szCs w:val="20"/>
          <w:color w:val="auto"/>
        </w:rPr>
      </w:pPr>
      <w:r>
        <w:rPr>
          <w:rFonts w:ascii="Arial" w:cs="Arial" w:eastAsia="Arial" w:hAnsi="Arial"/>
          <w:sz w:val="18"/>
          <w:szCs w:val="18"/>
          <w:color w:val="auto"/>
        </w:rPr>
        <w:t>and the 91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following the deposit and assuming that no holder of notes is an “insider” of either Issuer under applicable bankruptcy law, after the 91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following the deposit, the trust funds will not be subject to the effect of any applicable bankruptcy, insolvency, reorganization or similar laws affecting creditors’ rights generally;</w:t>
      </w:r>
    </w:p>
    <w:p>
      <w:pPr>
        <w:spacing w:after="0" w:line="62" w:lineRule="exact"/>
        <w:rPr>
          <w:sz w:val="20"/>
          <w:szCs w:val="20"/>
          <w:color w:val="auto"/>
        </w:rPr>
      </w:pPr>
    </w:p>
    <w:p>
      <w:pPr>
        <w:jc w:val="both"/>
        <w:ind w:left="460" w:right="140" w:firstLine="443"/>
        <w:spacing w:after="0" w:line="259"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any creditors of the Issuers or others; and</w:t>
      </w:r>
    </w:p>
    <w:p>
      <w:pPr>
        <w:spacing w:after="0" w:line="45"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provisions of the Intercreditor Agreement, the trustee will release the Liens in favor of the trustee (at the sole cost and expense of the Issuers)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70" w:lineRule="exact"/>
        <w:rPr>
          <w:sz w:val="20"/>
          <w:szCs w:val="20"/>
          <w:color w:val="auto"/>
        </w:rPr>
      </w:pPr>
    </w:p>
    <w:p>
      <w:pPr>
        <w:ind w:left="460" w:right="40" w:firstLine="443"/>
        <w:spacing w:after="0" w:line="306" w:lineRule="auto"/>
        <w:tabs>
          <w:tab w:leader="none" w:pos="114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 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2"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all Collateral that is condemned, seized or taken by the power of eminent domain or otherwise confiscated pursuant to an Event of Loss;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Net Loss Proceeds, if any, from the Event of Loss are or will be applied in accordance with the covenant described above under the caption “— Repurchase at the Option of Holders—Events of Loss”;</w:t>
      </w:r>
    </w:p>
    <w:p>
      <w:pPr>
        <w:spacing w:after="0" w:line="45"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discharge or defeasance of the indenture in accordance with the discharge and defeasance provisions of the indenture;</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and the Collateral Documents;</w:t>
      </w:r>
    </w:p>
    <w:p>
      <w:pPr>
        <w:spacing w:after="0" w:line="37"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Guarantee is released or terminated pursuant to the terms of the indenture;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Government Transfers;</w:t>
      </w:r>
    </w:p>
    <w:p>
      <w:pPr>
        <w:spacing w:after="0" w:line="76" w:lineRule="exact"/>
        <w:rPr>
          <w:rFonts w:ascii="Arial" w:cs="Arial" w:eastAsia="Arial" w:hAnsi="Arial"/>
          <w:sz w:val="18"/>
          <w:szCs w:val="18"/>
          <w:color w:val="auto"/>
        </w:rPr>
      </w:pPr>
    </w:p>
    <w:p>
      <w:pPr>
        <w:ind w:left="460" w:right="300" w:firstLine="443"/>
        <w:spacing w:after="0" w:line="256"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provided in the next three succeeding paragraphs, the indenture, the notes, the Note Guarantees or, subject to the terms of the Intercreditor Agreement, the Collateral Documents may be amended or supplemented with the consent of the holders of at least a majority in aggregate principal amount of the notes then outstanding (including, without limitation, consents obtained in connection with a purchase of, or tender offer or exchange offer for, notes), and any existing Default or Event of Default or compliance with any provision of the indenture, the notes, the Note Guarantees or, subject to the terms of the Intercreditor Agreement, the Collateral Documents may be waived with the consent of the holders of a majority in aggregate principal amount of the then outstanding notes (including, without limitation, consents obtained in connection with a purchase of, or tender offer or exchange offer for, notes).</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Under the Intercreditor Agreement, the agent under the Credit Agreement will have the right, subject to certain limited exceptions, to direct the collateral agent to enter into amendments of, or waive defaults under, the Collateral Documents that grant Liens on the Collateral without obtaining the consent of the trustee or the holders of the notes. In addition, the indenture will authorize the trustee to enter into amendments, restatements and modifications of the Collateral Documents from time to time in connection with the grant of any Permitted Liens;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amended, restated or modified Collateral Documents contain terms no less favorable to the trustee or the noteholders than the terms contained in the Collateral Documents being amended, restated or modified (except as expressly provided for in the indenture);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amendment, restatement or modification does not otherwise adversely affect the rights or remedies of the trustee or the noteholders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 See “Intercreditor Agreement.”</w:t>
      </w:r>
    </w:p>
    <w:p>
      <w:pPr>
        <w:spacing w:after="0" w:line="114"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Without the consent of each holder of notes affected or, in the case of clauses (8), (9) and (10) below only, without the consent of the holders of at least 95% in the aggregate principal amount of the notes then outstanding, an amendment, supplement or waiver may not (with respect to any notes held by a non-consenting holder):</w:t>
      </w:r>
    </w:p>
    <w:p>
      <w:pPr>
        <w:spacing w:after="0" w:line="46" w:lineRule="exact"/>
        <w:rPr>
          <w:sz w:val="20"/>
          <w:szCs w:val="20"/>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76"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76" w:lineRule="exact"/>
        <w:rPr>
          <w:rFonts w:ascii="Arial" w:cs="Arial" w:eastAsia="Arial" w:hAnsi="Arial"/>
          <w:sz w:val="18"/>
          <w:szCs w:val="18"/>
          <w:color w:val="auto"/>
        </w:rPr>
      </w:pPr>
    </w:p>
    <w:p>
      <w:pPr>
        <w:jc w:val="both"/>
        <w:ind w:left="460" w:right="160" w:firstLine="443"/>
        <w:spacing w:after="0" w:line="259"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76"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premium or Liquidated Damages, if any, on, the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“—Repurchase at the Option of Holders”);</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37" w:lineRule="exact"/>
        <w:rPr>
          <w:rFonts w:ascii="Arial" w:cs="Arial" w:eastAsia="Arial" w:hAnsi="Arial"/>
          <w:sz w:val="18"/>
          <w:szCs w:val="18"/>
          <w:color w:val="auto"/>
        </w:rPr>
      </w:pPr>
    </w:p>
    <w:p>
      <w:pPr>
        <w:ind w:left="460" w:right="440" w:firstLine="443"/>
        <w:spacing w:after="0" w:line="325" w:lineRule="auto"/>
        <w:tabs>
          <w:tab w:leader="none" w:pos="114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 (a) constitute all or substantially all of the Collateral or (b) include Material Project Assets, except in accordance with the terms of the indenture;</w:t>
      </w:r>
    </w:p>
    <w:p>
      <w:pPr>
        <w:spacing w:after="0" w:line="1" w:lineRule="exact"/>
        <w:rPr>
          <w:rFonts w:ascii="Arial" w:cs="Arial" w:eastAsia="Arial" w:hAnsi="Arial"/>
          <w:sz w:val="16"/>
          <w:szCs w:val="16"/>
          <w:color w:val="auto"/>
        </w:rPr>
      </w:pPr>
    </w:p>
    <w:p>
      <w:pPr>
        <w:ind w:left="1240" w:hanging="337"/>
        <w:spacing w:after="0"/>
        <w:tabs>
          <w:tab w:leader="none" w:pos="12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58" w:lineRule="exact"/>
        <w:rPr>
          <w:sz w:val="20"/>
          <w:szCs w:val="20"/>
          <w:color w:val="auto"/>
        </w:rPr>
      </w:pPr>
    </w:p>
    <w:p>
      <w:pPr>
        <w:ind w:right="260" w:firstLine="456"/>
        <w:spacing w:after="0" w:line="347" w:lineRule="auto"/>
        <w:rPr>
          <w:sz w:val="20"/>
          <w:szCs w:val="20"/>
          <w:color w:val="auto"/>
        </w:rPr>
      </w:pPr>
      <w:r>
        <w:rPr>
          <w:rFonts w:ascii="Arial" w:cs="Arial" w:eastAsia="Arial" w:hAnsi="Arial"/>
          <w:sz w:val="15"/>
          <w:szCs w:val="15"/>
          <w:color w:val="auto"/>
        </w:rPr>
        <w:t>Notwithstanding the preceding, without the consent of any holder of notes, the Issuers, the Restricted Subsidiaries, the Guarantors and the trustee may amend or supplement the indenture, the notes or the Note Guarantees or, subject to the terms of the Intercreditor Agreement, the Collateral Documents:</w:t>
      </w:r>
    </w:p>
    <w:p>
      <w:pPr>
        <w:spacing w:after="0" w:line="1" w:lineRule="exact"/>
        <w:rPr>
          <w:sz w:val="20"/>
          <w:szCs w:val="20"/>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76"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notes and Note Guarantees in the case of a merger or consolidation or sale of all or substantially all of Wynn Las Vegas’ or such Guarantor’s assets, as applicable;</w:t>
      </w:r>
    </w:p>
    <w:p>
      <w:pPr>
        <w:spacing w:after="0" w:line="37"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the indenture of any such holder;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9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conform the text of the indenture, the notes, the Note Guarantees or the Collateral Documents to any provision of this Description of Notes to the extent that such provision in this Description of Notes was intended to be a verbatim recitation of a provision of the indenture, the notes, the Note Guarantees or the Collateral Documents;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the indenture as of the date of the indenture;</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with respect to its Guarantee of the Notes;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thereunder, when:</w:t>
      </w:r>
    </w:p>
    <w:p>
      <w:pPr>
        <w:spacing w:after="0" w:line="100" w:lineRule="exact"/>
        <w:rPr>
          <w:sz w:val="20"/>
          <w:szCs w:val="20"/>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60" w:firstLine="421"/>
        <w:spacing w:after="0" w:line="325" w:lineRule="auto"/>
        <w:tabs>
          <w:tab w:leader="none" w:pos="1579"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1" w:lineRule="exact"/>
        <w:rPr>
          <w:rFonts w:ascii="Arial" w:cs="Arial" w:eastAsia="Arial" w:hAnsi="Arial"/>
          <w:sz w:val="16"/>
          <w:szCs w:val="16"/>
          <w:color w:val="auto"/>
        </w:rPr>
      </w:pPr>
    </w:p>
    <w:p>
      <w:pPr>
        <w:ind w:left="920" w:right="160" w:firstLine="421"/>
        <w:spacing w:after="0" w:line="268" w:lineRule="auto"/>
        <w:tabs>
          <w:tab w:leader="none" w:pos="158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will become due and payable by reason of the mailing of a notice of redemption or otherwise or will become due and</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80"/>
          </w:cols>
          <w:pgMar w:left="240" w:top="459" w:right="3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48" w:lineRule="exact"/>
        <w:rPr>
          <w:sz w:val="20"/>
          <w:szCs w:val="20"/>
          <w:color w:val="auto"/>
        </w:rPr>
      </w:pPr>
    </w:p>
    <w:p>
      <w:pPr>
        <w:ind w:left="460" w:right="140" w:firstLine="443"/>
        <w:spacing w:after="0" w:line="306" w:lineRule="auto"/>
        <w:tabs>
          <w:tab w:leader="none" w:pos="114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76"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on the redemption date, as the case may be.</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 in the conduct of his/her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any Guarantees of the notes and the Collateral Documents provide, with certain exceptions, for the application of the internal laws of the State of New York. There is no certainty regarding whether New York or Nevada law would be applied by any court with respect to the enforcement of remedies under the notes, the indenture, any Guarantees of the notes or the Collateral Documents.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without charge by writing to Wynn Las Vegas, LLC, 3131 Las Vegas Boulevard South, Las Vegas, NV 89109, Attention: Legal Department.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new notes will be issued in the form of one or more notes in global form (the “</w:t>
      </w:r>
      <w:r>
        <w:rPr>
          <w:rFonts w:ascii="Arial" w:cs="Arial" w:eastAsia="Arial" w:hAnsi="Arial"/>
          <w:sz w:val="16"/>
          <w:szCs w:val="16"/>
          <w:i w:val="1"/>
          <w:iCs w:val="1"/>
          <w:color w:val="auto"/>
        </w:rPr>
        <w:t>Global Notes</w:t>
      </w:r>
      <w:r>
        <w:rPr>
          <w:rFonts w:ascii="Arial" w:cs="Arial" w:eastAsia="Arial" w:hAnsi="Arial"/>
          <w:sz w:val="16"/>
          <w:szCs w:val="16"/>
          <w:color w:val="auto"/>
        </w:rPr>
        <w:t>”). The new notes will be issued in minimum denominations of $1,000 and integral multiples of $1,000 in excess of $1,000. The Global Notes will be deposited upon issuance with the trustee as custodian for the Depository Trust Company “</w:t>
      </w:r>
      <w:r>
        <w:rPr>
          <w:rFonts w:ascii="Arial" w:cs="Arial" w:eastAsia="Arial" w:hAnsi="Arial"/>
          <w:sz w:val="16"/>
          <w:szCs w:val="16"/>
          <w:i w:val="1"/>
          <w:iCs w:val="1"/>
          <w:color w:val="auto"/>
        </w:rPr>
        <w:t>DTC</w:t>
      </w:r>
      <w:r>
        <w:rPr>
          <w:rFonts w:ascii="Arial" w:cs="Arial" w:eastAsia="Arial" w:hAnsi="Arial"/>
          <w:sz w:val="16"/>
          <w:szCs w:val="16"/>
          <w:color w:val="auto"/>
        </w:rPr>
        <w:t>”), in New York, New York, and registered in the name of DTC or its nominee (such nominee being referred to as the “</w:t>
      </w:r>
      <w:r>
        <w:rPr>
          <w:rFonts w:ascii="Arial" w:cs="Arial" w:eastAsia="Arial" w:hAnsi="Arial"/>
          <w:sz w:val="16"/>
          <w:szCs w:val="16"/>
          <w:i w:val="1"/>
          <w:iCs w:val="1"/>
          <w:color w:val="auto"/>
        </w:rPr>
        <w:t>Global Note Holder</w:t>
      </w:r>
      <w:r>
        <w:rPr>
          <w:rFonts w:ascii="Arial" w:cs="Arial" w:eastAsia="Arial" w:hAnsi="Arial"/>
          <w:sz w:val="16"/>
          <w:szCs w:val="16"/>
          <w:color w:val="auto"/>
        </w:rPr>
        <w:t>”), in each case for credit to an account of a direct or indirect participant in DTC as described below.</w:t>
      </w:r>
    </w:p>
    <w:p>
      <w:pPr>
        <w:spacing w:after="0" w:line="9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9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Depository Procedures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 investors to contact the system or their participants directly to discuss these matters.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77" w:lineRule="exact"/>
        <w:rPr>
          <w:sz w:val="20"/>
          <w:szCs w:val="20"/>
          <w:color w:val="auto"/>
        </w:rPr>
      </w:pPr>
    </w:p>
    <w:p>
      <w:pPr>
        <w:ind w:left="460" w:right="520" w:firstLine="443"/>
        <w:spacing w:after="0" w:line="268"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37"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that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24"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67"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3" w:lineRule="exact"/>
        <w:rPr>
          <w:sz w:val="20"/>
          <w:szCs w:val="20"/>
          <w:color w:val="auto"/>
        </w:rPr>
      </w:pPr>
    </w:p>
    <w:p>
      <w:pPr>
        <w:ind w:left="460" w:right="400" w:firstLine="443"/>
        <w:spacing w:after="0" w:line="259"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5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notes, and the Issuers and the trustee may conclusively rely on and will be protected in relying on instructions from DTC or its nominee for all purposes.</w:t>
      </w:r>
    </w:p>
    <w:p>
      <w:pPr>
        <w:spacing w:after="0" w:line="10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7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Exchange of Global Notes for Certificated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77" w:lineRule="exact"/>
        <w:rPr>
          <w:sz w:val="20"/>
          <w:szCs w:val="20"/>
          <w:color w:val="auto"/>
        </w:rPr>
      </w:pPr>
    </w:p>
    <w:p>
      <w:pPr>
        <w:ind w:left="460" w:right="120" w:firstLine="443"/>
        <w:spacing w:after="0" w:line="268" w:lineRule="auto"/>
        <w:tabs>
          <w:tab w:leader="none" w:pos="11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58"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Exchange of Certificated Notes for Global Notes</w:t>
      </w:r>
    </w:p>
    <w:p>
      <w:pPr>
        <w:spacing w:after="0" w:line="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Same Day Settlement and Payment</w:t>
      </w:r>
    </w:p>
    <w:p>
      <w:pPr>
        <w:spacing w:after="0" w:line="77" w:lineRule="exact"/>
        <w:rPr>
          <w:sz w:val="20"/>
          <w:szCs w:val="20"/>
          <w:color w:val="auto"/>
        </w:rPr>
      </w:pPr>
    </w:p>
    <w:p>
      <w:pPr>
        <w:ind w:right="140" w:firstLine="456"/>
        <w:spacing w:after="0" w:line="278" w:lineRule="auto"/>
        <w:rPr>
          <w:sz w:val="20"/>
          <w:szCs w:val="20"/>
          <w:color w:val="auto"/>
        </w:rPr>
      </w:pPr>
      <w:r>
        <w:rPr>
          <w:rFonts w:ascii="Arial" w:cs="Arial" w:eastAsia="Arial" w:hAnsi="Arial"/>
          <w:sz w:val="16"/>
          <w:szCs w:val="16"/>
          <w:color w:val="auto"/>
        </w:rPr>
        <w:t>The Issuers will make payments in respect of the notes represented by the Global Notes (including principal, premium, if any, interest and Liquidated Damages, if any) by wire transfer of immediately available funds to the accounts specified by DTC or its nominee. The Issuers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be eligible to trade in The PORTAL</w:t>
      </w:r>
      <w:r>
        <w:rPr>
          <w:rFonts w:ascii="Arial" w:cs="Arial" w:eastAsia="Arial" w:hAnsi="Arial"/>
          <w:sz w:val="20"/>
          <w:szCs w:val="20"/>
          <w:color w:val="auto"/>
          <w:vertAlign w:val="superscript"/>
        </w:rPr>
        <w:t>SM</w:t>
      </w:r>
      <w:r>
        <w:rPr>
          <w:rFonts w:ascii="Arial" w:cs="Arial" w:eastAsia="Arial" w:hAnsi="Arial"/>
          <w:sz w:val="16"/>
          <w:szCs w:val="16"/>
          <w:color w:val="auto"/>
        </w:rPr>
        <w:t xml:space="preserve"> Market and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the date of the indenture, by and between Wynn Golf, LLC and Wynn Las Vegas, as amended, modified or otherwise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jc w:val="both"/>
        <w:ind w:left="460" w:right="120" w:firstLine="443"/>
        <w:spacing w:after="0" w:line="259"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1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Water Show Entertainment Production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Art Rental and Licensing Agreement,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Wynn Design Agreement,</w:t>
      </w:r>
    </w:p>
    <w:p>
      <w:pPr>
        <w:spacing w:after="0" w:line="158"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7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5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October 30, 2002, issued by World Travel, LLC in favor of Wynn Las Vegas in an aggregate principal amount of $38.0 million.</w:t>
      </w:r>
    </w:p>
    <w:p>
      <w:pPr>
        <w:spacing w:after="0" w:line="11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an amount equal to (1) the amount of reasonable corporate or other organizational overhead expenses of, and actually incurred by, Wynn Resorts and its Subsidiaries (other than the Issuers and their respective Subsidiaries) calculated in good faith on a consolidated basis, after the elimination of intercompany transactions, in accordance with GAAP, divided by (2) the number of gaming and/or hotel projects of Wynn Resorts and its Subsidiaries which are operating or for which the financing for the design, development, construction and opening thereof has been obtained. However, amounts allocated to any project shall be prorated based on the period within such period that such project was in operation or financing therefor was obtained. For purposes of this definition, each of the Phase I Project, Phase II Project and the Macau Project shall count as separate projects. With respect to any amounts payable pursuant to the Affiliate Agreements or any agreements entered into by and among Wynn Resorts, any of its Subsidiaries and/or any of their respective Affiliates,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09"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Corp.”</w:t>
      </w:r>
      <w:r>
        <w:rPr>
          <w:rFonts w:ascii="Arial" w:cs="Arial" w:eastAsia="Arial" w:hAnsi="Arial"/>
          <w:sz w:val="18"/>
          <w:szCs w:val="18"/>
          <w:color w:val="auto"/>
        </w:rPr>
        <w:t xml:space="preserve"> means Aruze Corp., a Japanese public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3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37" w:lineRule="exact"/>
        <w:rPr>
          <w:sz w:val="20"/>
          <w:szCs w:val="20"/>
          <w:color w:val="auto"/>
        </w:rPr>
      </w:pPr>
    </w:p>
    <w:p>
      <w:pPr>
        <w:ind w:left="460" w:right="200" w:firstLine="443"/>
        <w:spacing w:after="0" w:line="325" w:lineRule="auto"/>
        <w:tabs>
          <w:tab w:leader="none" w:pos="114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any single transaction or series of related transactions (A) prior to the Phase I Opening Date, that involves assets having a Fair Market Value of less than $1.0 million or (B) after the Phase I Opening Date, that involves assets having a Fair Market Value of less than $3.0 million;</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11" w:lineRule="exact"/>
        <w:rPr>
          <w:rFonts w:ascii="Arial" w:cs="Arial" w:eastAsia="Arial" w:hAnsi="Arial"/>
          <w:sz w:val="15"/>
          <w:szCs w:val="15"/>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76"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37" w:lineRule="exact"/>
        <w:rPr>
          <w:rFonts w:ascii="Arial" w:cs="Arial" w:eastAsia="Arial" w:hAnsi="Arial"/>
          <w:sz w:val="18"/>
          <w:szCs w:val="18"/>
          <w:color w:val="auto"/>
        </w:rPr>
      </w:pPr>
    </w:p>
    <w:p>
      <w:pPr>
        <w:ind w:left="460" w:right="720" w:firstLine="443"/>
        <w:spacing w:after="0" w:line="325" w:lineRule="auto"/>
        <w:tabs>
          <w:tab w:leader="none" w:pos="114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99" w:lineRule="exact"/>
        <w:rPr>
          <w:rFonts w:ascii="Arial" w:cs="Arial" w:eastAsia="Arial" w:hAnsi="Arial"/>
          <w:sz w:val="16"/>
          <w:szCs w:val="16"/>
          <w:color w:val="auto"/>
        </w:rPr>
      </w:pPr>
    </w:p>
    <w:p>
      <w:pPr>
        <w:ind w:left="460" w:right="340" w:firstLine="443"/>
        <w:spacing w:after="0" w:line="325" w:lineRule="auto"/>
        <w:tabs>
          <w:tab w:leader="none" w:pos="123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1" w:lineRule="exact"/>
        <w:rPr>
          <w:rFonts w:ascii="Arial" w:cs="Arial" w:eastAsia="Arial" w:hAnsi="Arial"/>
          <w:sz w:val="16"/>
          <w:szCs w:val="16"/>
          <w:color w:val="auto"/>
        </w:rPr>
      </w:pPr>
    </w:p>
    <w:p>
      <w:pPr>
        <w:ind w:left="460" w:right="40" w:firstLine="443"/>
        <w:spacing w:after="0" w:line="298" w:lineRule="auto"/>
        <w:tabs>
          <w:tab w:leader="none" w:pos="122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the transfer or sale or disposition of any Released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revenues in excess of $10.0 million (in the aggregate) generated by sales, leases or other dispositions of any assets in connection with (i) any timeshare, interval ownership or similar development or (ii) 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18" w:lineRule="exact"/>
        <w:rPr>
          <w:rFonts w:ascii="Arial" w:cs="Arial" w:eastAsia="Arial" w:hAnsi="Arial"/>
          <w:sz w:val="16"/>
          <w:szCs w:val="16"/>
          <w:color w:val="auto"/>
        </w:rPr>
      </w:pPr>
    </w:p>
    <w:p>
      <w:pPr>
        <w:ind w:left="1240" w:hanging="337"/>
        <w:spacing w:after="0"/>
        <w:tabs>
          <w:tab w:leader="none" w:pos="12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76" w:lineRule="exact"/>
        <w:rPr>
          <w:rFonts w:ascii="Arial" w:cs="Arial" w:eastAsia="Arial" w:hAnsi="Arial"/>
          <w:sz w:val="18"/>
          <w:szCs w:val="18"/>
          <w:color w:val="auto"/>
        </w:rPr>
      </w:pPr>
    </w:p>
    <w:p>
      <w:pPr>
        <w:ind w:left="460" w:right="60" w:firstLine="443"/>
        <w:spacing w:after="0" w:line="255" w:lineRule="auto"/>
        <w:tabs>
          <w:tab w:leader="none" w:pos="123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 Asset Sales”;</w:t>
      </w:r>
    </w:p>
    <w:p>
      <w:pPr>
        <w:spacing w:after="0" w:line="48" w:lineRule="exact"/>
        <w:rPr>
          <w:rFonts w:ascii="Arial" w:cs="Arial" w:eastAsia="Arial" w:hAnsi="Arial"/>
          <w:sz w:val="18"/>
          <w:szCs w:val="18"/>
          <w:color w:val="auto"/>
        </w:rPr>
      </w:pPr>
    </w:p>
    <w:p>
      <w:pPr>
        <w:ind w:left="460" w:firstLine="443"/>
        <w:spacing w:after="0" w:line="256" w:lineRule="auto"/>
        <w:tabs>
          <w:tab w:leader="none" w:pos="123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48" w:lineRule="exact"/>
        <w:rPr>
          <w:rFonts w:ascii="Arial" w:cs="Arial" w:eastAsia="Arial" w:hAnsi="Arial"/>
          <w:sz w:val="18"/>
          <w:szCs w:val="18"/>
          <w:color w:val="auto"/>
        </w:rPr>
      </w:pPr>
    </w:p>
    <w:p>
      <w:pPr>
        <w:ind w:left="1240" w:hanging="337"/>
        <w:spacing w:after="0"/>
        <w:tabs>
          <w:tab w:leader="none" w:pos="12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has the meaning assigned to that term in the indenture governing the notes.</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in respect of a sale and leaseback transaction means, at the time of determination, the present value of the obligation of the lessee for net rental payments during the remaining term of the lease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sale and leaseback transaction results in a Capital Lease Obligation, the amount of Indebtedness represented thereby will be determined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definition of “Capital Lease Obligation.”</w:t>
      </w:r>
    </w:p>
    <w:p>
      <w:pPr>
        <w:spacing w:after="0" w:line="13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with respect to a limited liability company, the individual or individuals who are the managing member, members or managers or any controlling committee of managing members or managers thereof;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5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Budgeted Overhead Final Payment Date</w:t>
      </w:r>
      <w:r>
        <w:rPr>
          <w:rFonts w:ascii="Arial" w:cs="Arial" w:eastAsia="Arial" w:hAnsi="Arial"/>
          <w:sz w:val="15"/>
          <w:szCs w:val="15"/>
          <w:color w:val="auto"/>
        </w:rPr>
        <w:t>” means the date on which the final payments in respect of corporate or other organizational overhead expenses of Wynn Resorts and its Subsidiaries included in the Phase I Project Budget are disbursed pursuant to the Disbursement Agreement. Wynn Las Vegas shall deliver an officers’ certificate to the trustee, within 30 days following a written request therefor from the trustee or any noteholder, confirming and setting forth such date.</w:t>
      </w:r>
    </w:p>
    <w:p>
      <w:pPr>
        <w:spacing w:after="0" w:line="7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99"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United States dollars;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is pledged in support of those securities) having maturities of not more than six months from the date of acquisition;</w:t>
      </w:r>
    </w:p>
    <w:p>
      <w:pPr>
        <w:spacing w:after="0" w:line="45" w:lineRule="exact"/>
        <w:rPr>
          <w:rFonts w:ascii="Arial" w:cs="Arial" w:eastAsia="Arial" w:hAnsi="Arial"/>
          <w:sz w:val="18"/>
          <w:szCs w:val="18"/>
          <w:color w:val="auto"/>
        </w:rPr>
      </w:pPr>
    </w:p>
    <w:p>
      <w:pPr>
        <w:ind w:left="460" w:right="200" w:firstLine="443"/>
        <w:spacing w:after="0" w:line="306" w:lineRule="auto"/>
        <w:tabs>
          <w:tab w:leader="none" w:pos="114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12"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37"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the extent not permitted above, Permitted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77" w:lineRule="exact"/>
        <w:rPr>
          <w:sz w:val="20"/>
          <w:szCs w:val="20"/>
          <w:color w:val="auto"/>
        </w:rPr>
      </w:pPr>
    </w:p>
    <w:p>
      <w:pPr>
        <w:jc w:val="both"/>
        <w:ind w:left="460" w:right="220" w:firstLine="443"/>
        <w:spacing w:after="0" w:line="306" w:lineRule="auto"/>
        <w:tabs>
          <w:tab w:leader="none" w:pos="114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76"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2"/>
          <w:numId w:val="154"/>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45" w:lineRule="exact"/>
        <w:rPr>
          <w:rFonts w:ascii="Arial" w:cs="Arial" w:eastAsia="Arial" w:hAnsi="Arial"/>
          <w:sz w:val="18"/>
          <w:szCs w:val="18"/>
          <w:color w:val="auto"/>
        </w:rPr>
      </w:pPr>
    </w:p>
    <w:p>
      <w:pPr>
        <w:ind w:left="920" w:right="20" w:firstLine="421"/>
        <w:spacing w:after="0" w:line="303" w:lineRule="auto"/>
        <w:tabs>
          <w:tab w:leader="none" w:pos="1588" w:val="left"/>
        </w:tabs>
        <w:numPr>
          <w:ilvl w:val="2"/>
          <w:numId w:val="154"/>
        </w:numPr>
        <w:rPr>
          <w:rFonts w:ascii="Arial" w:cs="Arial" w:eastAsia="Arial" w:hAnsi="Arial"/>
          <w:sz w:val="15"/>
          <w:szCs w:val="15"/>
          <w:color w:val="auto"/>
        </w:rPr>
      </w:pPr>
      <w:r>
        <w:rPr>
          <w:rFonts w:ascii="Arial" w:cs="Arial" w:eastAsia="Arial" w:hAnsi="Arial"/>
          <w:sz w:val="15"/>
          <w:szCs w:val="15"/>
          <w:color w:val="auto"/>
        </w:rPr>
        <w:t>any “person” (as defined in clause (1) above) (other than Kazuo Okada, Aruze USA and Aruze Corp., so long as (i) the Stockholders Agreement, as in effect on the date of the indenture, remains in full force and effect, (ii) a majority of the Board of Directors is constituted of Persons named on any slate of directors chosen by the Principal and Aruze USA pursuant to the Stockholders Agreement, as in effect on the date hereof, and</w:t>
      </w:r>
    </w:p>
    <w:p>
      <w:pPr>
        <w:spacing w:after="0" w:line="1" w:lineRule="exact"/>
        <w:rPr>
          <w:rFonts w:ascii="Arial" w:cs="Arial" w:eastAsia="Arial" w:hAnsi="Arial"/>
          <w:sz w:val="15"/>
          <w:szCs w:val="15"/>
          <w:color w:val="auto"/>
        </w:rPr>
      </w:pPr>
    </w:p>
    <w:p>
      <w:pPr>
        <w:ind w:left="920" w:right="160" w:firstLine="1"/>
        <w:spacing w:after="0" w:line="295" w:lineRule="auto"/>
        <w:tabs>
          <w:tab w:leader="none" w:pos="1227" w:val="left"/>
        </w:tabs>
        <w:numPr>
          <w:ilvl w:val="1"/>
          <w:numId w:val="154"/>
        </w:numPr>
        <w:rPr>
          <w:rFonts w:ascii="Arial" w:cs="Arial" w:eastAsia="Arial" w:hAnsi="Arial"/>
          <w:sz w:val="16"/>
          <w:szCs w:val="16"/>
          <w:color w:val="auto"/>
        </w:rPr>
      </w:pPr>
      <w:r>
        <w:rPr>
          <w:rFonts w:ascii="Arial" w:cs="Arial" w:eastAsia="Arial" w:hAnsi="Arial"/>
          <w:sz w:val="16"/>
          <w:szCs w:val="16"/>
          <w:color w:val="auto"/>
        </w:rPr>
        <w:t>Kazuo Okada and his Related Parties either (A) “control” (as that term is used in Rule 405 under the Securities Act) Aruze Corp. and Aruze USA or (B)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20" w:lineRule="exact"/>
        <w:rPr>
          <w:rFonts w:ascii="Arial" w:cs="Arial" w:eastAsia="Arial" w:hAnsi="Arial"/>
          <w:sz w:val="16"/>
          <w:szCs w:val="16"/>
          <w:color w:val="auto"/>
        </w:rPr>
      </w:pPr>
    </w:p>
    <w:p>
      <w:pPr>
        <w:ind w:left="920" w:firstLine="421"/>
        <w:spacing w:after="0" w:line="268" w:lineRule="auto"/>
        <w:tabs>
          <w:tab w:leader="none" w:pos="1579" w:val="left"/>
        </w:tabs>
        <w:numPr>
          <w:ilvl w:val="2"/>
          <w:numId w:val="155"/>
        </w:numPr>
        <w:rPr>
          <w:rFonts w:ascii="Arial" w:cs="Arial" w:eastAsia="Arial" w:hAnsi="Arial"/>
          <w:sz w:val="18"/>
          <w:szCs w:val="18"/>
          <w:color w:val="auto"/>
        </w:rPr>
      </w:pPr>
      <w:r>
        <w:rPr>
          <w:rFonts w:ascii="Arial" w:cs="Arial" w:eastAsia="Arial" w:hAnsi="Arial"/>
          <w:sz w:val="18"/>
          <w:szCs w:val="18"/>
          <w:color w:val="auto"/>
        </w:rPr>
        <w:t>prior to the earlier of (i) the Phase II Opening Date or (ii) December 31, 2007, the Principal and his Related Parties as a group own less than 80% of the outstanding Voting Stock of Wynn Resorts owned by such group as of the date of the indenture; or</w:t>
      </w:r>
    </w:p>
    <w:p>
      <w:pPr>
        <w:spacing w:after="0" w:line="37" w:lineRule="exact"/>
        <w:rPr>
          <w:rFonts w:ascii="Arial" w:cs="Arial" w:eastAsia="Arial" w:hAnsi="Arial"/>
          <w:sz w:val="18"/>
          <w:szCs w:val="18"/>
          <w:color w:val="auto"/>
        </w:rPr>
      </w:pPr>
    </w:p>
    <w:p>
      <w:pPr>
        <w:ind w:left="920" w:right="340" w:firstLine="421"/>
        <w:spacing w:after="0" w:line="332" w:lineRule="auto"/>
        <w:tabs>
          <w:tab w:leader="none" w:pos="1588" w:val="left"/>
        </w:tabs>
        <w:numPr>
          <w:ilvl w:val="2"/>
          <w:numId w:val="155"/>
        </w:numPr>
        <w:rPr>
          <w:rFonts w:ascii="Arial" w:cs="Arial" w:eastAsia="Arial" w:hAnsi="Arial"/>
          <w:sz w:val="16"/>
          <w:szCs w:val="16"/>
          <w:color w:val="auto"/>
        </w:rPr>
      </w:pPr>
      <w:r>
        <w:rPr>
          <w:rFonts w:ascii="Arial" w:cs="Arial" w:eastAsia="Arial" w:hAnsi="Arial"/>
          <w:sz w:val="16"/>
          <w:szCs w:val="16"/>
          <w:color w:val="auto"/>
        </w:rPr>
        <w:t>prior to the earlier of (i) the Phase II Opening Date or (ii) December 31, 2007, the Principal and his Related Parties as a group own less than 10% of the outstanding Voting Stock of Wynn Resorts, measured by voting power rather than number of equity interests;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6"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first day before the earlier of (i) the Phase II Opening Date or (ii) December 31, 2007, on which the Principal does not act as either the chairman of the Board of Directors or the chief executive officer of Wynn Resorts, other than (A) as a result of death or disability or (B) if the Board of Directors of Wynn Resorts, exercising their fiduciary duties in good faith, removes or fails to re-appoint the Principal as chairman of the Board of Directors or chief executive officer of Wynn Resorts;</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Las Vegas are not Continuing Directors;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 or</w:t>
      </w:r>
    </w:p>
    <w:p>
      <w:pPr>
        <w:spacing w:after="0" w:line="99"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notes.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now owned or 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Exclusive Note Collateral and the Primary Note Collateral, together with the proceeds and products thereof (including, without limitation, the proceeds of Asset Sales).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Completion Guarantee,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70" w:lineRule="exact"/>
        <w:rPr>
          <w:rFonts w:ascii="Arial" w:cs="Arial" w:eastAsia="Arial" w:hAnsi="Arial"/>
          <w:sz w:val="18"/>
          <w:szCs w:val="18"/>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Security Agreement</w:t>
      </w:r>
      <w:r>
        <w:rPr>
          <w:rFonts w:ascii="Arial" w:cs="Arial" w:eastAsia="Arial" w:hAnsi="Arial"/>
          <w:sz w:val="18"/>
          <w:szCs w:val="18"/>
          <w:b w:val="1"/>
          <w:bCs w:val="1"/>
          <w:color w:val="auto"/>
        </w:rPr>
        <w:t>s</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Intellectual Property Security Agreements, if any,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Secured Account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notes remain outstanding during which the Holders’ security interest in all of the Collateral is released in accordance with the conditions described above under the caption “—Security—Release of Collateral.”</w:t>
      </w:r>
    </w:p>
    <w:p>
      <w:pPr>
        <w:spacing w:after="0" w:line="7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Guarantee</w:t>
      </w:r>
      <w:r>
        <w:rPr>
          <w:rFonts w:ascii="Arial" w:cs="Arial" w:eastAsia="Arial" w:hAnsi="Arial"/>
          <w:sz w:val="18"/>
          <w:szCs w:val="18"/>
          <w:color w:val="auto"/>
        </w:rPr>
        <w:t>” means the Completion Guarantee, dated as of the date of indenture, by the Completion Guarantor in favor of the trustee, the trustee under the indenture governing the Second Mortgage Notes and the agent under the Credit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Guarantee Release Date</w:t>
      </w:r>
      <w:r>
        <w:rPr>
          <w:rFonts w:ascii="Arial" w:cs="Arial" w:eastAsia="Arial" w:hAnsi="Arial"/>
          <w:sz w:val="18"/>
          <w:szCs w:val="18"/>
          <w:color w:val="auto"/>
        </w:rPr>
        <w:t>” means the date on which the Completion Guarantee Release Conditions are satisfied.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Completion Guarantee Release Conditions</w:t>
      </w:r>
      <w:r>
        <w:rPr>
          <w:rFonts w:ascii="Arial" w:cs="Arial" w:eastAsia="Arial" w:hAnsi="Arial"/>
          <w:sz w:val="16"/>
          <w:szCs w:val="16"/>
          <w:color w:val="auto"/>
        </w:rPr>
        <w:t>” has the meaning given the term “Completion Guaranty Release Conditions” in the Disbursement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means Wynn Completion Guarantor, LLC, a Nevada limited liability company.</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xml:space="preserve">” means, with respect to any specified Person for any period, the Consolidated Net Income of such Person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37" w:lineRule="exact"/>
        <w:rPr>
          <w:sz w:val="20"/>
          <w:szCs w:val="20"/>
          <w:color w:val="auto"/>
        </w:rPr>
      </w:pPr>
    </w:p>
    <w:p>
      <w:pPr>
        <w:ind w:left="460" w:right="24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right="140" w:firstLine="443"/>
        <w:spacing w:after="0" w:line="254"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w:t>
      </w:r>
      <w:r>
        <w:rPr>
          <w:rFonts w:ascii="Arial" w:cs="Arial" w:eastAsia="Arial" w:hAnsi="Arial"/>
          <w:sz w:val="18"/>
          <w:szCs w:val="18"/>
          <w:i w:val="1"/>
          <w:iCs w:val="1"/>
          <w:color w:val="auto"/>
        </w:rPr>
        <w:t>plus</w:t>
      </w:r>
    </w:p>
    <w:p>
      <w:pPr>
        <w:spacing w:after="0" w:line="49"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8"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any pre-opening expenses, to the extent such pre-opening expenses were deducted in calculating Consolidated Net Income on a consolidated basis;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non-cash items reducing Consolidated Net Income for such period; </w:t>
      </w:r>
      <w:r>
        <w:rPr>
          <w:rFonts w:ascii="Arial" w:cs="Arial" w:eastAsia="Arial" w:hAnsi="Arial"/>
          <w:sz w:val="18"/>
          <w:szCs w:val="18"/>
          <w:i w:val="1"/>
          <w:iCs w:val="1"/>
          <w:color w:val="auto"/>
        </w:rPr>
        <w:t>minus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60"/>
          </w:cols>
          <w:pgMar w:left="240" w:top="459" w:right="2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EBITDA</w:t>
      </w:r>
      <w:r>
        <w:rPr>
          <w:rFonts w:ascii="Arial" w:cs="Arial" w:eastAsia="Arial" w:hAnsi="Arial"/>
          <w:sz w:val="15"/>
          <w:szCs w:val="15"/>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 (a) 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related to (i) the initial opening of the Phase I Project (such pre-opening expenses to be no greater than that set forth in the Phase I Project Budget), (ii) the initial opening of the Phase II Project (such pre-opening expenses to be no greater than that set forth in the Phase II Project Budget) and (iii)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27"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1" w:lineRule="exact"/>
        <w:rPr>
          <w:sz w:val="20"/>
          <w:szCs w:val="20"/>
          <w:color w:val="auto"/>
        </w:rPr>
      </w:pPr>
    </w:p>
    <w:p>
      <w:pPr>
        <w:ind w:left="460" w:right="80" w:firstLine="443"/>
        <w:spacing w:after="0" w:line="259"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45"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48"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77" w:lineRule="exact"/>
        <w:rPr>
          <w:sz w:val="20"/>
          <w:szCs w:val="20"/>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the consolidated equity of the common stockholders of such Person and its consolidated Subsidiaries as of such date; </w:t>
      </w:r>
      <w:r>
        <w:rPr>
          <w:rFonts w:ascii="Arial" w:cs="Arial" w:eastAsia="Arial" w:hAnsi="Arial"/>
          <w:sz w:val="18"/>
          <w:szCs w:val="18"/>
          <w:i w:val="1"/>
          <w:iCs w:val="1"/>
          <w:color w:val="auto"/>
        </w:rPr>
        <w:t>plus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w:t>
      </w:r>
    </w:p>
    <w:p>
      <w:pPr>
        <w:spacing w:after="0" w:line="38" w:lineRule="exact"/>
        <w:rPr>
          <w:rFonts w:ascii="Arial" w:cs="Arial" w:eastAsia="Arial" w:hAnsi="Arial"/>
          <w:sz w:val="16"/>
          <w:szCs w:val="16"/>
          <w:color w:val="auto"/>
        </w:rPr>
      </w:pPr>
    </w:p>
    <w:p>
      <w:pPr>
        <w:ind w:left="460" w:right="60"/>
        <w:spacing w:after="0" w:line="323" w:lineRule="auto"/>
        <w:rPr>
          <w:rFonts w:ascii="Arial" w:cs="Arial" w:eastAsia="Arial" w:hAnsi="Arial"/>
          <w:sz w:val="16"/>
          <w:szCs w:val="16"/>
          <w:color w:val="auto"/>
        </w:rPr>
      </w:pPr>
      <w:r>
        <w:rPr>
          <w:rFonts w:ascii="Arial" w:cs="Arial" w:eastAsia="Arial" w:hAnsi="Arial"/>
          <w:sz w:val="16"/>
          <w:szCs w:val="16"/>
          <w:color w:val="auto"/>
        </w:rPr>
        <w:t>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stock.</w:t>
      </w:r>
    </w:p>
    <w:p>
      <w:pPr>
        <w:spacing w:after="0" w:line="7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Consultant</w:t>
      </w:r>
      <w:r>
        <w:rPr>
          <w:rFonts w:ascii="Arial" w:cs="Arial" w:eastAsia="Arial" w:hAnsi="Arial"/>
          <w:sz w:val="18"/>
          <w:szCs w:val="18"/>
          <w:color w:val="auto"/>
        </w:rPr>
        <w:t>” means Inspection &amp; Valuation International, Inc., or any other construction consultant designated under the Disbursement Agreement.</w:t>
      </w:r>
    </w:p>
    <w:p>
      <w:pPr>
        <w:spacing w:after="0" w:line="118"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Construction Contract</w:t>
      </w:r>
      <w:r>
        <w:rPr>
          <w:rFonts w:ascii="Arial" w:cs="Arial" w:eastAsia="Arial" w:hAnsi="Arial"/>
          <w:sz w:val="16"/>
          <w:szCs w:val="16"/>
          <w:color w:val="auto"/>
        </w:rPr>
        <w:t>” means the Agreement for Guaranteed Maximum Price Construction Services for Wynn Las Vegas, dated as of June 4, 2002, between Wynn Las Vegas and the General Contractor, as amended, modified or otherwise supplemented from time to time in any manner that is not in contravention of the covenant described above under the caption “—Certain Covenants—Amendments to Certain Agreements.”</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Guarantee</w:t>
      </w:r>
      <w:r>
        <w:rPr>
          <w:rFonts w:ascii="Arial" w:cs="Arial" w:eastAsia="Arial" w:hAnsi="Arial"/>
          <w:sz w:val="18"/>
          <w:szCs w:val="18"/>
          <w:color w:val="auto"/>
        </w:rPr>
        <w:t>” means the Amended and Restated Continuing Guarantee, dated as of October 22, 2002, by the Construction Contract Guarantor in favor of Wynn Las Vegas, as amended, modified or otherwise supplemented from time to time in any manner that is not in contravention of the covenant described above under the caption “—Amendments to Certain Agreements.”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Guarantor</w:t>
      </w:r>
      <w:r>
        <w:rPr>
          <w:rFonts w:ascii="Arial" w:cs="Arial" w:eastAsia="Arial" w:hAnsi="Arial"/>
          <w:sz w:val="18"/>
          <w:szCs w:val="18"/>
          <w:color w:val="auto"/>
        </w:rPr>
        <w:t>” means Austi, Inc.,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00" w:lineRule="exact"/>
        <w:rPr>
          <w:sz w:val="20"/>
          <w:szCs w:val="20"/>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76"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Credit Agreement, dated as of the date of the indenture,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and Société Générale,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0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Dealership Lease Agreement</w:t>
      </w:r>
      <w:r>
        <w:rPr>
          <w:rFonts w:ascii="Arial" w:cs="Arial" w:eastAsia="Arial" w:hAnsi="Arial"/>
          <w:sz w:val="18"/>
          <w:szCs w:val="18"/>
          <w:color w:val="auto"/>
        </w:rPr>
        <w:t>” means the Dealership Lease Agreement, to be entered into between Wynn Las Vegas, as lessor, and PW Automotive, LLC, as lessee, with respect to the lease of space at the Phase I Project for the development and operation of a Ferrari and Maserati automobile dealership, as amended, modified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or otherwise supplemented from time to time in any manner that is not in contravention of the covenant described above under the caption “—Certain Covenants —Amendments to Certain Agreements.”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Deeds of Trust</w:t>
      </w:r>
      <w:r>
        <w:rPr>
          <w:rFonts w:ascii="Arial" w:cs="Arial" w:eastAsia="Arial" w:hAnsi="Arial"/>
          <w:sz w:val="18"/>
          <w:szCs w:val="18"/>
          <w:color w:val="auto"/>
        </w:rPr>
        <w:t>” means the deeds of trust entered into by the Issuers, the Guarantors and, if applicable, Wynn Resorts, from time to time for the benefit of the collateral agent, as agent for (1) the administrative agent for the lenders under the Credit Agreement and (2) the trustee on behalf of the noteholders in accordance with the provisions of the indenture and the Collateral Documents.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Design/Build Contract</w:t>
      </w:r>
      <w:r>
        <w:rPr>
          <w:rFonts w:ascii="Arial" w:cs="Arial" w:eastAsia="Arial" w:hAnsi="Arial"/>
          <w:sz w:val="18"/>
          <w:szCs w:val="18"/>
          <w:color w:val="auto"/>
        </w:rPr>
        <w:t>” means the Design/Build Agreement, effective as of June 6, 2002, by and between Wynn Las Vegas and Bomel Construction Company, Inc., as amended, modified or otherwise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18"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Master Disbursement Agreement, dated as of the date of the indenture, among Wynn Las Vegas, the trustee, a representative of the lenders under the Credit Agreement, and the Disbursement Agent in connection with the Projects, as amended, modified or otherwise supplemented from time to time in accordance with its terms.</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1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7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Entertainment Facility</w:t>
      </w:r>
      <w:r>
        <w:rPr>
          <w:rFonts w:ascii="Arial" w:cs="Arial" w:eastAsia="Arial" w:hAnsi="Arial"/>
          <w:sz w:val="18"/>
          <w:szCs w:val="18"/>
          <w:color w:val="auto"/>
        </w:rPr>
        <w:t>” means a showroom or entertainment facility adjoining the Wynn Las Vegas hotel and casino resort on the Project Site and connected directly to such hotel, which is initially expected to feature the musical, “Avenue Q.”</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37" w:lineRule="exact"/>
        <w:rPr>
          <w:sz w:val="20"/>
          <w:szCs w:val="20"/>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Project Assets</w:t>
      </w:r>
      <w:r>
        <w:rPr>
          <w:rFonts w:ascii="Arial" w:cs="Arial" w:eastAsia="Arial" w:hAnsi="Arial"/>
          <w:sz w:val="18"/>
          <w:szCs w:val="18"/>
          <w:color w:val="auto"/>
        </w:rPr>
        <w:t>” means (1) any Equity Interests held by Wynn Resorts or Valvino Lamore and (2) the Released Assets.</w:t>
      </w:r>
    </w:p>
    <w:p>
      <w:pPr>
        <w:spacing w:after="0" w:line="15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Exclusive Note Collateral</w:t>
      </w:r>
      <w:r>
        <w:rPr>
          <w:rFonts w:ascii="Arial" w:cs="Arial" w:eastAsia="Arial" w:hAnsi="Arial"/>
          <w:sz w:val="18"/>
          <w:szCs w:val="18"/>
          <w:color w:val="auto"/>
        </w:rPr>
        <w:t>” means the remaining net proceeds of the offering of the old notes, if any, which are required, under the Disbursement Agreement, to be deposited into the Secured Account.</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Indebtedness</w:t>
      </w:r>
      <w:r>
        <w:rPr>
          <w:rFonts w:ascii="Arial" w:cs="Arial" w:eastAsia="Arial" w:hAnsi="Arial"/>
          <w:sz w:val="16"/>
          <w:szCs w:val="16"/>
          <w:color w:val="auto"/>
        </w:rPr>
        <w:t>” means Indebtedness of Wynn Las Vegas or its Subsidiaries (other than Indebtedness under the Credit Agreement) in existence on the date of the indenture, including any remaining Second Mortgage Notes, until such amounts are repaid or redeemed.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Aruze, USA, Inc. and Baron Asset Fund.</w:t>
      </w:r>
    </w:p>
    <w:p>
      <w:pPr>
        <w:spacing w:after="0" w:line="158"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Fair Market Value</w:t>
      </w:r>
      <w:r>
        <w:rPr>
          <w:rFonts w:ascii="Arial" w:cs="Arial" w:eastAsia="Arial" w:hAnsi="Arial"/>
          <w:sz w:val="15"/>
          <w:szCs w:val="15"/>
          <w:color w:val="auto"/>
        </w:rPr>
        <w:t>” means the value that would be paid by a willing buyer to an unaffiliated willing seller in a transaction not involving distress or necessity of either party, determined in good faith by (1) an appropriate officer of Wynn Las Vegas, in the case of any value equal to or less than $10 million or</w:t>
      </w:r>
    </w:p>
    <w:p>
      <w:pPr>
        <w:ind w:right="200" w:firstLine="8"/>
        <w:spacing w:after="0" w:line="254" w:lineRule="auto"/>
        <w:tabs>
          <w:tab w:leader="none" w:pos="24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 For purposes of clause (24) of the definition of “Permitted Liens,” Fair Market Value should be based on the opinion of Qualified Appraiser.</w:t>
      </w:r>
    </w:p>
    <w:p>
      <w:pPr>
        <w:spacing w:after="0" w:line="13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 Facility</w:t>
      </w:r>
      <w:r>
        <w:rPr>
          <w:rFonts w:ascii="Arial" w:cs="Arial" w:eastAsia="Arial" w:hAnsi="Arial"/>
          <w:sz w:val="16"/>
          <w:szCs w:val="16"/>
          <w:color w:val="auto"/>
        </w:rPr>
        <w:t>” means the Credit Agreement, dated as of October 30, 2002, among Wynn Las Vegas, the collateral agent thereunder and the lenders party thereto, including any related notes, guarantees, collateral documents, instruments and agreements executed in connection therewith.</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77" w:lineRule="exact"/>
        <w:rPr>
          <w:sz w:val="20"/>
          <w:szCs w:val="20"/>
          <w:color w:val="auto"/>
        </w:rPr>
      </w:pPr>
    </w:p>
    <w:p>
      <w:pPr>
        <w:ind w:left="460" w:right="180" w:firstLine="443"/>
        <w:spacing w:after="0" w:line="306" w:lineRule="auto"/>
        <w:tabs>
          <w:tab w:leader="none" w:pos="114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7" w:lineRule="exact"/>
        <w:rPr>
          <w:sz w:val="20"/>
          <w:szCs w:val="20"/>
          <w:color w:val="auto"/>
        </w:rPr>
      </w:pPr>
    </w:p>
    <w:p>
      <w:pPr>
        <w:ind w:left="460" w:right="140" w:firstLine="443"/>
        <w:spacing w:after="0" w:line="268" w:lineRule="auto"/>
        <w:tabs>
          <w:tab w:leader="none" w:pos="114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37"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2" w:lineRule="exact"/>
        <w:rPr>
          <w:rFonts w:ascii="Arial" w:cs="Arial" w:eastAsia="Arial" w:hAnsi="Arial"/>
          <w:sz w:val="16"/>
          <w:szCs w:val="16"/>
          <w:color w:val="auto"/>
        </w:rPr>
      </w:pPr>
    </w:p>
    <w:p>
      <w:pPr>
        <w:ind w:left="460" w:right="220" w:firstLine="443"/>
        <w:spacing w:after="0" w:line="268" w:lineRule="auto"/>
        <w:tabs>
          <w:tab w:leader="none" w:pos="114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37"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77" w:lineRule="exact"/>
        <w:rPr>
          <w:sz w:val="20"/>
          <w:szCs w:val="20"/>
          <w:color w:val="auto"/>
        </w:rPr>
      </w:pPr>
    </w:p>
    <w:p>
      <w:pPr>
        <w:ind w:left="460" w:right="340" w:firstLine="443"/>
        <w:spacing w:after="0" w:line="294" w:lineRule="auto"/>
        <w:tabs>
          <w:tab w:leader="none" w:pos="114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6"/>
          <w:szCs w:val="16"/>
          <w:i w:val="1"/>
          <w:iCs w:val="1"/>
          <w:color w:val="auto"/>
        </w:rPr>
        <w:t>plus</w:t>
      </w:r>
    </w:p>
    <w:p>
      <w:pPr>
        <w:spacing w:after="0" w:line="21" w:lineRule="exact"/>
        <w:rPr>
          <w:rFonts w:ascii="Arial" w:cs="Arial" w:eastAsia="Arial" w:hAnsi="Arial"/>
          <w:sz w:val="16"/>
          <w:szCs w:val="16"/>
          <w:color w:val="auto"/>
        </w:rPr>
      </w:pPr>
    </w:p>
    <w:p>
      <w:pPr>
        <w:ind w:left="1160" w:hanging="257"/>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76" w:lineRule="exact"/>
        <w:rPr>
          <w:rFonts w:ascii="Arial" w:cs="Arial" w:eastAsia="Arial" w:hAnsi="Arial"/>
          <w:sz w:val="18"/>
          <w:szCs w:val="18"/>
          <w:color w:val="auto"/>
        </w:rPr>
      </w:pPr>
    </w:p>
    <w:p>
      <w:pPr>
        <w:ind w:left="460" w:right="340" w:firstLine="443"/>
        <w:spacing w:after="0" w:line="325" w:lineRule="auto"/>
        <w:tabs>
          <w:tab w:leader="none" w:pos="114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1"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w:t>
      </w:r>
      <w:r>
        <w:rPr>
          <w:rFonts w:ascii="Arial" w:cs="Arial" w:eastAsia="Arial" w:hAnsi="Arial"/>
          <w:sz w:val="16"/>
          <w:szCs w:val="16"/>
          <w:i w:val="1"/>
          <w:iCs w:val="1"/>
          <w:color w:val="auto"/>
        </w:rPr>
        <w:t>times</w:t>
      </w:r>
      <w:r>
        <w:rPr>
          <w:rFonts w:ascii="Arial" w:cs="Arial" w:eastAsia="Arial" w:hAnsi="Arial"/>
          <w:sz w:val="16"/>
          <w:szCs w:val="16"/>
          <w:color w:val="auto"/>
        </w:rPr>
        <w:t xml:space="preserve">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now or 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(pursuant to the Management Agreement or otherwise), or expected to be managed or used (pursuant to the Management Agreement or otherwise), by Wynn Las Vegas or any Restricted Subsidiary.</w:t>
      </w:r>
    </w:p>
    <w:p>
      <w:pPr>
        <w:spacing w:after="0" w:line="13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is, or may be at any time after the date of the indenture, subject.</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its Restricted Subsidiaries.</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Construction Contract</w:t>
      </w:r>
      <w:r>
        <w:rPr>
          <w:rFonts w:ascii="Arial" w:cs="Arial" w:eastAsia="Arial" w:hAnsi="Arial"/>
          <w:sz w:val="18"/>
          <w:szCs w:val="18"/>
          <w:color w:val="auto"/>
        </w:rPr>
        <w:t>” means the Lump Sum Agreement, effective as of February 18, 2003, by and between Wynn Las Vegas, LLC and Wadsworth Golf Construction Company, relating to the construction of the new golf course on the Project Site, as amended, modified or otherwise supplemented from time to time in accordance with the Disbursement Agreement.</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Design Services Agreement</w:t>
      </w:r>
      <w:r>
        <w:rPr>
          <w:rFonts w:ascii="Arial" w:cs="Arial" w:eastAsia="Arial" w:hAnsi="Arial"/>
          <w:sz w:val="18"/>
          <w:szCs w:val="18"/>
          <w:color w:val="auto"/>
        </w:rPr>
        <w:t>” means that certain Golf Course Design Services Agreement that Wynn Las Vegas is a party to, as amended, modified or otherwise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designated as the Golf Course Land in the Collateral Documents and described in an exhibit to the Disbursement Agreement,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3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Lease</w:t>
      </w:r>
      <w:r>
        <w:rPr>
          <w:rFonts w:ascii="Arial" w:cs="Arial" w:eastAsia="Arial" w:hAnsi="Arial"/>
          <w:sz w:val="18"/>
          <w:szCs w:val="18"/>
          <w:color w:val="auto"/>
        </w:rPr>
        <w:t>” means the Golf Course Lease, dated as of the date of the indenture, between Wynn Golf, LLC, as lessor, and Wynn Las Vegas, as lessee, with respect to the lease of land on which the 18-hole championship golf course will be located, as amended, modified or otherwise supplemented from time to time in any manner that is not in contravention of the covenant described above under the caption “—Certain Covenants—Amendments to Certain Agreements.”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77" w:lineRule="exact"/>
        <w:rPr>
          <w:sz w:val="20"/>
          <w:szCs w:val="20"/>
          <w:color w:val="auto"/>
        </w:rPr>
      </w:pPr>
    </w:p>
    <w:p>
      <w:pPr>
        <w:ind w:left="460" w:right="420" w:firstLine="443"/>
        <w:spacing w:after="0" w:line="268"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77" w:lineRule="exact"/>
        <w:rPr>
          <w:sz w:val="20"/>
          <w:szCs w:val="20"/>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76" w:lineRule="exact"/>
        <w:rPr>
          <w:rFonts w:ascii="Arial" w:cs="Arial" w:eastAsia="Arial" w:hAnsi="Arial"/>
          <w:sz w:val="18"/>
          <w:szCs w:val="18"/>
          <w:color w:val="auto"/>
        </w:rPr>
      </w:pPr>
    </w:p>
    <w:p>
      <w:pPr>
        <w:jc w:val="both"/>
        <w:ind w:left="460" w:firstLine="443"/>
        <w:spacing w:after="0" w:line="335" w:lineRule="auto"/>
        <w:tabs>
          <w:tab w:leader="none" w:pos="1147" w:val="left"/>
        </w:tabs>
        <w:numPr>
          <w:ilvl w:val="0"/>
          <w:numId w:val="168"/>
        </w:numPr>
        <w:rPr>
          <w:rFonts w:ascii="Arial" w:cs="Arial" w:eastAsia="Arial" w:hAnsi="Arial"/>
          <w:sz w:val="15"/>
          <w:szCs w:val="15"/>
          <w:color w:val="auto"/>
        </w:rPr>
      </w:pPr>
      <w:r>
        <w:rPr>
          <w:rFonts w:ascii="Arial" w:cs="Arial" w:eastAsia="Arial" w:hAnsi="Arial"/>
          <w:sz w:val="15"/>
          <w:szCs w:val="15"/>
          <w:color w:val="auto"/>
        </w:rPr>
        <w:t>any other Person that provides a Guarantee by executing a supplemental indenture in accordance with the provisions of the indenture, and, except to the extent the applicable Guarantee is released in accordance with the caption “—Note Guarantees—Release of Guarantees,” their respective successors and assigns (other than the Issuers). A Person shall cease to be a Guarantor following the release of its Guarantee as described above under that caption.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77" w:lineRule="exact"/>
        <w:rPr>
          <w:sz w:val="20"/>
          <w:szCs w:val="20"/>
          <w:color w:val="auto"/>
        </w:rPr>
      </w:pPr>
    </w:p>
    <w:p>
      <w:pPr>
        <w:ind w:left="460" w:right="460" w:firstLine="443"/>
        <w:spacing w:after="0" w:line="268"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“holder” means any registered holder, from time to time, of the notes. Only registered holders will have any rights under the indenture.</w:t>
      </w:r>
    </w:p>
    <w:p>
      <w:pPr>
        <w:spacing w:after="0" w:line="181"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$500,000 and whose total revenues for the most recent 12-month period do not exceed $500,000;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Wynn Las Vegas.</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37" w:lineRule="exact"/>
        <w:rPr>
          <w:sz w:val="20"/>
          <w:szCs w:val="20"/>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76"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77" w:lineRule="exact"/>
        <w:rPr>
          <w:sz w:val="20"/>
          <w:szCs w:val="20"/>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76" w:lineRule="exact"/>
        <w:rPr>
          <w:rFonts w:ascii="Arial" w:cs="Arial" w:eastAsia="Arial" w:hAnsi="Arial"/>
          <w:sz w:val="18"/>
          <w:szCs w:val="18"/>
          <w:color w:val="auto"/>
        </w:rPr>
      </w:pPr>
    </w:p>
    <w:p>
      <w:pPr>
        <w:ind w:left="920" w:right="460" w:firstLine="421"/>
        <w:spacing w:after="0" w:line="268" w:lineRule="auto"/>
        <w:tabs>
          <w:tab w:leader="none" w:pos="157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5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 Security Agreements</w:t>
      </w:r>
      <w:r>
        <w:rPr>
          <w:rFonts w:ascii="Arial" w:cs="Arial" w:eastAsia="Arial" w:hAnsi="Arial"/>
          <w:sz w:val="18"/>
          <w:szCs w:val="18"/>
          <w:color w:val="auto"/>
        </w:rPr>
        <w:t>” means:</w:t>
      </w:r>
    </w:p>
    <w:p>
      <w:pPr>
        <w:spacing w:after="0" w:line="77" w:lineRule="exact"/>
        <w:rPr>
          <w:sz w:val="20"/>
          <w:szCs w:val="20"/>
          <w:color w:val="auto"/>
        </w:rPr>
      </w:pPr>
    </w:p>
    <w:p>
      <w:pPr>
        <w:ind w:left="460" w:right="20" w:firstLine="443"/>
        <w:spacing w:after="0" w:line="268"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Intellectual Property Security Agreement, to be dated as of the date of the indenture, among Wynn Las Vegas, certain Restricted Subsidiaries, if applicable, and the trustee, and</w:t>
      </w:r>
    </w:p>
    <w:p>
      <w:pPr>
        <w:spacing w:after="0" w:line="37"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other intellectual property security agreement entered into by Wynn Resorts, either of the Issuers or any Restricted Subsidiary from time to time in accordance with the provisions of the indenture,</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means the Amended and Restated Intercreditor Agreement, dated as of the date of the indenture, among the trustee, the trustee under the indenture governing the Second Mortgage Notes, a representative of the lenders under the Credit Agreement, the collateral agent and the other parties thereto from time to time.</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5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we intend to use for employee parking and other ancillary uses.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or any filing of, or agreement to deliver any financing statement under the Uniform Commercial Code (or equivalent statutes) of any jurisdiction.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5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gaming and/or hotel project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October 30, 2002, between Wynn Resorts as manager and Wynn Las Vegas, as amended, modified or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Wynn Las Vegas, the administrative agent under the Credit Agreement and the trustee.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Project Assets</w:t>
      </w:r>
      <w:r>
        <w:rPr>
          <w:rFonts w:ascii="Arial" w:cs="Arial" w:eastAsia="Arial" w:hAnsi="Arial"/>
          <w:sz w:val="18"/>
          <w:szCs w:val="18"/>
          <w:color w:val="auto"/>
        </w:rPr>
        <w:t>” means:</w:t>
      </w:r>
    </w:p>
    <w:p>
      <w:pPr>
        <w:spacing w:after="0" w:line="77" w:lineRule="exact"/>
        <w:rPr>
          <w:sz w:val="20"/>
          <w:szCs w:val="20"/>
          <w:color w:val="auto"/>
        </w:rPr>
      </w:pPr>
    </w:p>
    <w:p>
      <w:pPr>
        <w:ind w:left="460" w:right="860" w:firstLine="443"/>
        <w:spacing w:after="0" w:line="268"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assets that are necessary to the development, construction or operation of the Phase I Project in accordance with the Phase I Plans and Specifications,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assets, the absence of which would result in the Phase I Completion Date occurring after the Phase I Outside Completion Deadline.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no event shall (1) Released Assets or (2) assets with a Fair Market Value less than $100.0 million be considered Material Project Assets.</w:t>
      </w:r>
    </w:p>
    <w:p>
      <w:pPr>
        <w:spacing w:after="0" w:line="15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48" w:lineRule="exact"/>
        <w:rPr>
          <w:sz w:val="20"/>
          <w:szCs w:val="20"/>
          <w:color w:val="auto"/>
        </w:rPr>
      </w:pPr>
    </w:p>
    <w:p>
      <w:pPr>
        <w:jc w:val="both"/>
        <w:ind w:left="460" w:right="60" w:firstLine="443"/>
        <w:spacing w:after="0" w:line="259"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58" w:lineRule="exact"/>
        <w:rPr>
          <w:sz w:val="20"/>
          <w:szCs w:val="20"/>
          <w:color w:val="auto"/>
        </w:rPr>
      </w:pPr>
    </w:p>
    <w:p>
      <w:pPr>
        <w:ind w:right="60" w:firstLine="45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1" w:lineRule="exact"/>
        <w:rPr>
          <w:sz w:val="20"/>
          <w:szCs w:val="20"/>
          <w:color w:val="auto"/>
        </w:rPr>
      </w:pPr>
    </w:p>
    <w:p>
      <w:pPr>
        <w:ind w:left="460" w:right="100" w:firstLine="443"/>
        <w:spacing w:after="0" w:line="268"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 and</w:t>
      </w:r>
    </w:p>
    <w:p>
      <w:pPr>
        <w:spacing w:after="0" w:line="37"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amounts required to be and actually applied to the repayment of Indebtedness (other than Indebtedness that is subordinated in right of payment to the notes or the Guarantees of the notes)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taxes or Tax Amount paid or payable as a result of the receipt of such cash proceeds.</w:t>
      </w:r>
    </w:p>
    <w:p>
      <w:pPr>
        <w:spacing w:after="0" w:line="158" w:lineRule="exact"/>
        <w:rPr>
          <w:sz w:val="20"/>
          <w:szCs w:val="20"/>
          <w:color w:val="auto"/>
        </w:rPr>
      </w:pPr>
    </w:p>
    <w:p>
      <w:pPr>
        <w:ind w:right="700" w:firstLine="456"/>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spacing w:after="0" w:line="1" w:lineRule="exact"/>
        <w:rPr>
          <w:sz w:val="20"/>
          <w:szCs w:val="20"/>
          <w:color w:val="auto"/>
        </w:rPr>
      </w:pPr>
    </w:p>
    <w:p>
      <w:pPr>
        <w:ind w:left="460" w:right="140" w:firstLine="443"/>
        <w:spacing w:after="0" w:line="306" w:lineRule="auto"/>
        <w:tabs>
          <w:tab w:leader="none" w:pos="114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12" w:lineRule="exact"/>
        <w:rPr>
          <w:rFonts w:ascii="Arial" w:cs="Arial" w:eastAsia="Arial" w:hAnsi="Arial"/>
          <w:sz w:val="16"/>
          <w:szCs w:val="16"/>
          <w:color w:val="auto"/>
        </w:rPr>
      </w:pPr>
    </w:p>
    <w:p>
      <w:pPr>
        <w:ind w:left="460" w:right="40" w:firstLine="443"/>
        <w:spacing w:after="0" w:line="256"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notes or the Guarantees of the notes)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Non-Project Assets</w:t>
      </w:r>
      <w:r>
        <w:rPr>
          <w:rFonts w:ascii="Arial" w:cs="Arial" w:eastAsia="Arial" w:hAnsi="Arial"/>
          <w:sz w:val="18"/>
          <w:szCs w:val="18"/>
          <w:color w:val="auto"/>
        </w:rPr>
        <w:t>” means the Released Assets and:</w:t>
      </w:r>
    </w:p>
    <w:p>
      <w:pPr>
        <w:spacing w:after="0" w:line="77" w:lineRule="exact"/>
        <w:rPr>
          <w:sz w:val="20"/>
          <w:szCs w:val="20"/>
          <w:color w:val="auto"/>
        </w:rPr>
      </w:pPr>
    </w:p>
    <w:p>
      <w:pPr>
        <w:ind w:left="460" w:right="360" w:firstLine="443"/>
        <w:spacing w:after="0" w:line="325" w:lineRule="auto"/>
        <w:tabs>
          <w:tab w:leader="none" w:pos="114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Project Assets that are not necessary to the development, construction and operation of either the Phase I Project or the Phase II Project in accordance with the Phase I Plans and Specifications and the Phase II Plans and Specifications, respectively, and</w:t>
      </w:r>
    </w:p>
    <w:p>
      <w:pPr>
        <w:spacing w:after="0" w:line="1"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Project Assets, the absence of which would result in neither the Phase I Completion Date occurring after the Phase I Outside Completion Deadline nor the Phase II Completion Date occurring after the Phase II Outside Completion Deadline.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77" w:lineRule="exact"/>
        <w:rPr>
          <w:sz w:val="20"/>
          <w:szCs w:val="20"/>
          <w:color w:val="auto"/>
        </w:rPr>
      </w:pPr>
    </w:p>
    <w:p>
      <w:pPr>
        <w:ind w:left="460" w:right="60" w:firstLine="443"/>
        <w:spacing w:after="0" w:line="306" w:lineRule="auto"/>
        <w:tabs>
          <w:tab w:leader="none" w:pos="114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12"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48"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Resorts of one of its Restricted Subsidiaries to secure Indebtedness of the Unrestricted Subsidiary).</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notes, executed pursuant to the provisions of the indenture.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Wynn Resorts.</w:t>
      </w:r>
    </w:p>
    <w:p>
      <w:pPr>
        <w:spacing w:after="0" w:line="158"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xml:space="preserve">” means any Indebtedness, other than Indebtedness incurred under the Credit Agreement, that is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notes containing provisions similar to those set forth in the indenture with respect to offers to purchase or redeem with the proceeds of sales of assets or Events of Loss.</w:t>
      </w:r>
    </w:p>
    <w:p>
      <w:pPr>
        <w:spacing w:after="0" w:line="4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and Performance Bond</w:t>
      </w:r>
      <w:r>
        <w:rPr>
          <w:rFonts w:ascii="Arial" w:cs="Arial" w:eastAsia="Arial" w:hAnsi="Arial"/>
          <w:sz w:val="18"/>
          <w:szCs w:val="18"/>
          <w:color w:val="auto"/>
        </w:rPr>
        <w:t>” means any payment and performance bond delivered under any contract or subcontract (including from the Phase I General Contractor) in favor of Wynn Las Vegas (or any contractor), the agent for the lenders under the Credit Agreement and the trustee supporting the contractor’s or subcontractor’s obligations under any such contract or subcontract.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37" w:lineRule="exact"/>
        <w:rPr>
          <w:rFonts w:ascii="Arial" w:cs="Arial" w:eastAsia="Arial" w:hAnsi="Arial"/>
          <w:sz w:val="18"/>
          <w:szCs w:val="18"/>
          <w:color w:val="auto"/>
        </w:rPr>
      </w:pPr>
    </w:p>
    <w:p>
      <w:pPr>
        <w:ind w:left="460" w:right="60" w:firstLine="443"/>
        <w:spacing w:after="0" w:line="256"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development, construction, ownership or operation of lodging (including (i) any timeshare, interval ownership or similar development or (ii) any condominium or similar development with respect to the Phase III Project), retail and restaurant facilities, sports or entertainment facilities, food and beverage distribution operations, transportation services (including operation of the Aircraft Assets), sales, leasing and repair of automobiles, parking services, or other activities related to the foregoing;</w:t>
      </w:r>
    </w:p>
    <w:p>
      <w:pPr>
        <w:spacing w:after="0" w:line="48"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5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37" w:lineRule="exact"/>
        <w:rPr>
          <w:sz w:val="20"/>
          <w:szCs w:val="20"/>
          <w:color w:val="auto"/>
        </w:rPr>
      </w:pPr>
    </w:p>
    <w:p>
      <w:pPr>
        <w:ind w:left="460" w:firstLine="443"/>
        <w:spacing w:after="0" w:line="306" w:lineRule="auto"/>
        <w:tabs>
          <w:tab w:leader="none" w:pos="114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2" w:lineRule="exact"/>
        <w:rPr>
          <w:rFonts w:ascii="Arial" w:cs="Arial" w:eastAsia="Arial" w:hAnsi="Arial"/>
          <w:sz w:val="16"/>
          <w:szCs w:val="16"/>
          <w:color w:val="auto"/>
        </w:rPr>
      </w:pPr>
    </w:p>
    <w:p>
      <w:pPr>
        <w:ind w:left="460" w:right="20" w:firstLine="443"/>
        <w:spacing w:after="0" w:line="256" w:lineRule="auto"/>
        <w:tabs>
          <w:tab w:leader="none" w:pos="11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assumes in writing all of the obligations, if any, of the applicable entity under (a) the indenture, the notes, the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48"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45"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37"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37" w:lineRule="exact"/>
        <w:rPr>
          <w:rFonts w:ascii="Arial" w:cs="Arial" w:eastAsia="Arial" w:hAnsi="Arial"/>
          <w:sz w:val="18"/>
          <w:szCs w:val="18"/>
          <w:color w:val="auto"/>
        </w:rPr>
      </w:pPr>
    </w:p>
    <w:p>
      <w:pPr>
        <w:ind w:left="460" w:right="360" w:firstLine="443"/>
        <w:spacing w:after="0" w:line="306" w:lineRule="auto"/>
        <w:tabs>
          <w:tab w:leader="none" w:pos="114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68"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76" w:lineRule="exact"/>
        <w:rPr>
          <w:rFonts w:ascii="Arial" w:cs="Arial" w:eastAsia="Arial" w:hAnsi="Arial"/>
          <w:sz w:val="18"/>
          <w:szCs w:val="18"/>
          <w:color w:val="auto"/>
        </w:rPr>
      </w:pPr>
    </w:p>
    <w:p>
      <w:pPr>
        <w:ind w:left="460" w:right="360" w:firstLine="443"/>
        <w:spacing w:after="0" w:line="325"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1" w:lineRule="exact"/>
        <w:rPr>
          <w:rFonts w:ascii="Arial" w:cs="Arial" w:eastAsia="Arial" w:hAnsi="Arial"/>
          <w:sz w:val="16"/>
          <w:szCs w:val="16"/>
          <w:color w:val="auto"/>
        </w:rPr>
      </w:pPr>
    </w:p>
    <w:p>
      <w:pPr>
        <w:ind w:left="1580" w:hanging="239"/>
        <w:spacing w:after="0"/>
        <w:tabs>
          <w:tab w:leader="none" w:pos="15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76" w:lineRule="exact"/>
        <w:rPr>
          <w:rFonts w:ascii="Arial" w:cs="Arial" w:eastAsia="Arial" w:hAnsi="Arial"/>
          <w:sz w:val="18"/>
          <w:szCs w:val="18"/>
          <w:color w:val="auto"/>
        </w:rPr>
      </w:pPr>
    </w:p>
    <w:p>
      <w:pPr>
        <w:ind w:left="920" w:right="20" w:firstLine="421"/>
        <w:spacing w:after="0" w:line="306" w:lineRule="auto"/>
        <w:tabs>
          <w:tab w:leader="none" w:pos="1588" w:val="left"/>
        </w:tabs>
        <w:numPr>
          <w:ilvl w:val="1"/>
          <w:numId w:val="182"/>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12" w:lineRule="exact"/>
        <w:rPr>
          <w:rFonts w:ascii="Arial" w:cs="Arial" w:eastAsia="Arial" w:hAnsi="Arial"/>
          <w:sz w:val="16"/>
          <w:szCs w:val="16"/>
          <w:color w:val="auto"/>
        </w:rPr>
      </w:pPr>
    </w:p>
    <w:p>
      <w:pPr>
        <w:jc w:val="both"/>
        <w:ind w:left="460" w:right="40" w:firstLine="443"/>
        <w:spacing w:after="0" w:line="259"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76"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76"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76" w:lineRule="exact"/>
        <w:rPr>
          <w:rFonts w:ascii="Arial" w:cs="Arial" w:eastAsia="Arial" w:hAnsi="Arial"/>
          <w:sz w:val="18"/>
          <w:szCs w:val="18"/>
          <w:color w:val="auto"/>
        </w:rPr>
      </w:pPr>
    </w:p>
    <w:p>
      <w:pPr>
        <w:ind w:left="460" w:right="80" w:firstLine="443"/>
        <w:spacing w:after="0" w:line="298" w:lineRule="auto"/>
        <w:tabs>
          <w:tab w:leader="none" w:pos="123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 Investment in the form of a loan by Wynn Las Vegas to (a) Wynn Group Asia, Inc., (b) to Wynn Resorts for purposes of an investment in Wynn Group Asia, Inc., or (c) directly to Wynn Resorts (Macau), S.A., in each case, on or before August 30, 2005, in an amount not to exceed $122,000,000, which loan shall be pledged as Collateral to secure (i) the Indebtedness outstanding under the Credit Agreement and (ii) the notes (except in the case of a direct loan to Wynn Resorts (Macau), S.A., for which no such pledge will be required);</w:t>
      </w:r>
    </w:p>
    <w:p>
      <w:pPr>
        <w:spacing w:after="0" w:line="18" w:lineRule="exact"/>
        <w:rPr>
          <w:rFonts w:ascii="Arial" w:cs="Arial" w:eastAsia="Arial" w:hAnsi="Arial"/>
          <w:sz w:val="16"/>
          <w:szCs w:val="16"/>
          <w:color w:val="auto"/>
        </w:rPr>
      </w:pPr>
    </w:p>
    <w:p>
      <w:pPr>
        <w:ind w:left="460" w:right="20" w:firstLine="443"/>
        <w:spacing w:after="0" w:line="325" w:lineRule="auto"/>
        <w:tabs>
          <w:tab w:leader="none" w:pos="122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Investments held by a Person in a third Person at the time such Person is acquired by Wynn Las Vegas or any Restricted Subsidiary of Wynn Las Vegas;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Investments were not acquired in contemplation of such acquisition by Wynn Las Vegas or such Restricted Subsidiary;</w:t>
      </w:r>
    </w:p>
    <w:p>
      <w:pPr>
        <w:spacing w:after="0" w:line="1"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325" w:lineRule="auto"/>
        <w:tabs>
          <w:tab w:leader="none" w:pos="123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1" w:lineRule="exact"/>
        <w:rPr>
          <w:rFonts w:ascii="Arial" w:cs="Arial" w:eastAsia="Arial" w:hAnsi="Arial"/>
          <w:sz w:val="16"/>
          <w:szCs w:val="16"/>
          <w:color w:val="auto"/>
        </w:rPr>
      </w:pPr>
    </w:p>
    <w:p>
      <w:pPr>
        <w:ind w:left="460" w:right="120" w:firstLine="443"/>
        <w:spacing w:after="0" w:line="294" w:lineRule="auto"/>
        <w:tabs>
          <w:tab w:leader="none" w:pos="123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the assignment of gaming debts evidenced by a credit instrument, including what are commonly referred to as “markers,” to an Affiliate of Wynn Las Vegas for the purpose of collecting amounts outstanding under such gaming debts or “markers” due to Wynn Las Vegas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Affiliate receiving any such assignment enters into a binding agreement to pay all amounts so collected back to Wynn Las Vegas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30 days of receipt of payment of such collected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77" w:lineRule="exact"/>
        <w:rPr>
          <w:sz w:val="20"/>
          <w:szCs w:val="20"/>
          <w:color w:val="auto"/>
        </w:rPr>
      </w:pPr>
    </w:p>
    <w:p>
      <w:pPr>
        <w:ind w:left="460" w:right="180" w:firstLine="443"/>
        <w:spacing w:after="0" w:line="306"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is merged into or consolidated with Wynn Las Vegas or any of the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Liens were in existence prior to the contemplation of such merger or consolidation and do not extend to any assets other than those of the Person merged into or consolidated with Wynn Las Vegas or any of the Restricted Subsidiaries;</w:t>
      </w:r>
    </w:p>
    <w:p>
      <w:pPr>
        <w:spacing w:after="0" w:line="12"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Liens in favor of Wynn Las Vegas or any of the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if any such Liens are on any or all of the Collateral, such Liens are either:</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notes, or</w:t>
      </w:r>
    </w:p>
    <w:p>
      <w:pPr>
        <w:spacing w:after="0" w:line="76" w:lineRule="exact"/>
        <w:rPr>
          <w:rFonts w:ascii="Arial" w:cs="Arial" w:eastAsia="Arial" w:hAnsi="Arial"/>
          <w:sz w:val="18"/>
          <w:szCs w:val="18"/>
          <w:color w:val="auto"/>
        </w:rPr>
      </w:pPr>
    </w:p>
    <w:p>
      <w:pPr>
        <w:ind w:left="920" w:right="320" w:firstLine="421"/>
        <w:spacing w:after="0" w:line="268" w:lineRule="auto"/>
        <w:tabs>
          <w:tab w:leader="none" w:pos="158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trustee and the holders of the notes securing the obligations under the notes, the Guarantees and the Credit Agreement;</w:t>
      </w:r>
    </w:p>
    <w:p>
      <w:pPr>
        <w:spacing w:after="0" w:line="37"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Wynn Las Vegas or any of the Restricted Subsidiaries (other than materials or supplies acquired in connection with developing, constructing, expanding or equipping of the Projects),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Liens were in existence prior to the contemplation of such acquisition;</w:t>
      </w:r>
    </w:p>
    <w:p>
      <w:pPr>
        <w:spacing w:after="0" w:line="45"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Projects or in the applicable schedule(s) to the Credit Agreement, as in effect on the date of the indenture;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Liens to secure performance of statutory obligations of or obligations to landlords and carriers, warehousemen, mechanics, suppliers,</w:t>
      </w:r>
    </w:p>
    <w:p>
      <w:pPr>
        <w:spacing w:after="0" w:line="38" w:lineRule="exact"/>
        <w:rPr>
          <w:rFonts w:ascii="Arial" w:cs="Arial" w:eastAsia="Arial" w:hAnsi="Arial"/>
          <w:sz w:val="16"/>
          <w:szCs w:val="16"/>
          <w:color w:val="auto"/>
        </w:rPr>
      </w:pPr>
    </w:p>
    <w:p>
      <w:pPr>
        <w:ind w:left="460" w:right="140"/>
        <w:spacing w:after="0" w:line="255" w:lineRule="auto"/>
        <w:rPr>
          <w:rFonts w:ascii="Arial" w:cs="Arial" w:eastAsia="Arial" w:hAnsi="Arial"/>
          <w:sz w:val="16"/>
          <w:szCs w:val="16"/>
          <w:color w:val="auto"/>
        </w:rPr>
      </w:pPr>
      <w:r>
        <w:rPr>
          <w:rFonts w:ascii="Arial" w:cs="Arial" w:eastAsia="Arial" w:hAnsi="Arial"/>
          <w:sz w:val="18"/>
          <w:szCs w:val="18"/>
          <w:color w:val="auto"/>
        </w:rPr>
        <w:t>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49" w:lineRule="exact"/>
        <w:rPr>
          <w:rFonts w:ascii="Arial" w:cs="Arial" w:eastAsia="Arial" w:hAnsi="Arial"/>
          <w:sz w:val="16"/>
          <w:szCs w:val="16"/>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76"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55" w:lineRule="auto"/>
        <w:tabs>
          <w:tab w:leader="none" w:pos="114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Liens on the Collateral created by the indenture and the Collateral Documents securing the Indebtedness and other Obligations under the indenture and the Collateral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(8) shall not be deemed to permit the extension of the liens on the Collateral created by the indenture and the Collateral Documents with respect to any Indebtedness incurred after the date of the indenture as the result of the issuance of additional notes under the indenture in compliance with the covenant described above under the caption “—Certain Covenants—Incurrence of Indebtedness and Issuance of Disqualified Stock”;</w:t>
      </w:r>
    </w:p>
    <w:p>
      <w:pPr>
        <w:spacing w:after="0" w:line="48"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on the Collateral (other than the Exclusive Note Collateral) securing up to $1.0 billion of Indebtedness and other Obligations under the Credit Agreement that were permitted by the terms of the indenture to be incurred;</w:t>
      </w:r>
    </w:p>
    <w:p>
      <w:pPr>
        <w:spacing w:after="0" w:line="37" w:lineRule="exact"/>
        <w:rPr>
          <w:rFonts w:ascii="Arial" w:cs="Arial" w:eastAsia="Arial" w:hAnsi="Arial"/>
          <w:sz w:val="18"/>
          <w:szCs w:val="18"/>
          <w:color w:val="auto"/>
        </w:rPr>
      </w:pPr>
    </w:p>
    <w:p>
      <w:pPr>
        <w:ind w:left="460" w:firstLine="443"/>
        <w:spacing w:after="0" w:line="289" w:lineRule="auto"/>
        <w:tabs>
          <w:tab w:leader="none" w:pos="123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Liens on property or assets to secure Indebtedness permitted by clause (7) of the second paragraph of the covenant described under the caption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so long as such Indebtedness is not incurred under the Credit Agreement or through the issuance of Additional Notes under the indenture, such Liens do not at any time encumber any assets or property other than the assets or property financed by such Indebtedness, and the proceeds (including insurance proceeds), products, rents, profits, accessions and replacements thereof or thereto;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to the extent that the Indebtedness permitted by clause (7) of the second paragraph of the covenant described under the caption “—Certain Covenants—Incurrence of Indebtedness and Issuance of Disqualified Stock” is incurred under the Credit Agreement or through the issuance of Additional Notes under this Indenture and the property or assets acquired with such Indebtedness becomes part of the Collateral, such Indebtedness may be secured by the Collateral;</w:t>
      </w:r>
    </w:p>
    <w:p>
      <w:pPr>
        <w:spacing w:after="0" w:line="23" w:lineRule="exact"/>
        <w:rPr>
          <w:rFonts w:ascii="Arial" w:cs="Arial" w:eastAsia="Arial" w:hAnsi="Arial"/>
          <w:sz w:val="16"/>
          <w:szCs w:val="16"/>
          <w:color w:val="auto"/>
        </w:rPr>
      </w:pPr>
    </w:p>
    <w:p>
      <w:pPr>
        <w:ind w:left="460" w:right="180" w:firstLine="443"/>
        <w:spacing w:after="0" w:line="259" w:lineRule="auto"/>
        <w:tabs>
          <w:tab w:leader="none" w:pos="122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45"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45" w:lineRule="exact"/>
        <w:rPr>
          <w:rFonts w:ascii="Arial" w:cs="Arial" w:eastAsia="Arial" w:hAnsi="Arial"/>
          <w:sz w:val="18"/>
          <w:szCs w:val="18"/>
          <w:color w:val="auto"/>
        </w:rPr>
      </w:pPr>
    </w:p>
    <w:p>
      <w:pPr>
        <w:ind w:left="460" w:right="820" w:firstLine="443"/>
        <w:spacing w:after="0" w:line="268" w:lineRule="auto"/>
        <w:tabs>
          <w:tab w:leader="none" w:pos="123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37" w:lineRule="exact"/>
        <w:rPr>
          <w:rFonts w:ascii="Arial" w:cs="Arial" w:eastAsia="Arial" w:hAnsi="Arial"/>
          <w:sz w:val="18"/>
          <w:szCs w:val="18"/>
          <w:color w:val="auto"/>
        </w:rPr>
      </w:pPr>
    </w:p>
    <w:p>
      <w:pPr>
        <w:ind w:left="460" w:right="580" w:firstLine="443"/>
        <w:spacing w:after="0" w:line="268" w:lineRule="auto"/>
        <w:tabs>
          <w:tab w:leader="none" w:pos="123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70" w:lineRule="exact"/>
        <w:rPr>
          <w:rFonts w:ascii="Arial" w:cs="Arial" w:eastAsia="Arial" w:hAnsi="Arial"/>
          <w:sz w:val="16"/>
          <w:szCs w:val="16"/>
          <w:color w:val="auto"/>
        </w:rPr>
      </w:pPr>
    </w:p>
    <w:p>
      <w:pPr>
        <w:ind w:left="460" w:right="280" w:firstLine="443"/>
        <w:spacing w:after="0" w:line="256" w:lineRule="auto"/>
        <w:tabs>
          <w:tab w:leader="none" w:pos="123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48" w:lineRule="exact"/>
        <w:rPr>
          <w:rFonts w:ascii="Arial" w:cs="Arial" w:eastAsia="Arial" w:hAnsi="Arial"/>
          <w:sz w:val="18"/>
          <w:szCs w:val="18"/>
          <w:color w:val="auto"/>
        </w:rPr>
      </w:pPr>
    </w:p>
    <w:p>
      <w:pPr>
        <w:ind w:left="920" w:right="380" w:firstLine="421"/>
        <w:spacing w:after="0" w:line="268" w:lineRule="auto"/>
        <w:tabs>
          <w:tab w:leader="none" w:pos="1579" w:val="left"/>
        </w:tabs>
        <w:numPr>
          <w:ilvl w:val="1"/>
          <w:numId w:val="185"/>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37" w:lineRule="exact"/>
        <w:rPr>
          <w:rFonts w:ascii="Arial" w:cs="Arial" w:eastAsia="Arial" w:hAnsi="Arial"/>
          <w:sz w:val="18"/>
          <w:szCs w:val="18"/>
          <w:color w:val="auto"/>
        </w:rPr>
      </w:pPr>
    </w:p>
    <w:p>
      <w:pPr>
        <w:ind w:left="920" w:right="180" w:firstLine="421"/>
        <w:spacing w:after="0" w:line="268" w:lineRule="auto"/>
        <w:tabs>
          <w:tab w:leader="none" w:pos="1588"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Guarantee of the notes, as the case may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23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12"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Indebtedness being refinanced by such Permitted Refinancing Indebtedness was secured by a Lien of equivalent or lesser priority, and</w:t>
      </w:r>
    </w:p>
    <w:p>
      <w:pPr>
        <w:spacing w:after="0" w:line="99" w:lineRule="exact"/>
        <w:rPr>
          <w:rFonts w:ascii="Arial" w:cs="Arial" w:eastAsia="Arial" w:hAnsi="Arial"/>
          <w:sz w:val="16"/>
          <w:szCs w:val="16"/>
          <w:color w:val="auto"/>
        </w:rPr>
      </w:pPr>
    </w:p>
    <w:p>
      <w:pPr>
        <w:ind w:left="920" w:right="300" w:firstLine="421"/>
        <w:spacing w:after="0" w:line="259" w:lineRule="auto"/>
        <w:tabs>
          <w:tab w:leader="none" w:pos="158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45" w:lineRule="exact"/>
        <w:rPr>
          <w:rFonts w:ascii="Arial" w:cs="Arial" w:eastAsia="Arial" w:hAnsi="Arial"/>
          <w:sz w:val="18"/>
          <w:szCs w:val="18"/>
          <w:color w:val="auto"/>
        </w:rPr>
      </w:pPr>
    </w:p>
    <w:p>
      <w:pPr>
        <w:ind w:left="460" w:right="20" w:firstLine="443"/>
        <w:spacing w:after="0" w:line="306" w:lineRule="auto"/>
        <w:tabs>
          <w:tab w:leader="none" w:pos="123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(14)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such second paragraph;</w:t>
      </w:r>
    </w:p>
    <w:p>
      <w:pPr>
        <w:spacing w:after="0" w:line="12" w:lineRule="exact"/>
        <w:rPr>
          <w:rFonts w:ascii="Arial" w:cs="Arial" w:eastAsia="Arial" w:hAnsi="Arial"/>
          <w:sz w:val="16"/>
          <w:szCs w:val="16"/>
          <w:color w:val="auto"/>
        </w:rPr>
      </w:pPr>
    </w:p>
    <w:p>
      <w:pPr>
        <w:ind w:left="1240" w:hanging="337"/>
        <w:spacing w:after="0"/>
        <w:tabs>
          <w:tab w:leader="none" w:pos="12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76"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37" w:lineRule="exact"/>
        <w:rPr>
          <w:rFonts w:ascii="Arial" w:cs="Arial" w:eastAsia="Arial" w:hAnsi="Arial"/>
          <w:sz w:val="18"/>
          <w:szCs w:val="18"/>
          <w:color w:val="auto"/>
        </w:rPr>
      </w:pPr>
    </w:p>
    <w:p>
      <w:pPr>
        <w:ind w:left="460" w:right="360" w:firstLine="443"/>
        <w:spacing w:after="0" w:line="325" w:lineRule="auto"/>
        <w:tabs>
          <w:tab w:leader="none" w:pos="123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1" w:lineRule="exact"/>
        <w:rPr>
          <w:rFonts w:ascii="Arial" w:cs="Arial" w:eastAsia="Arial" w:hAnsi="Arial"/>
          <w:sz w:val="16"/>
          <w:szCs w:val="16"/>
          <w:color w:val="auto"/>
        </w:rPr>
      </w:pPr>
    </w:p>
    <w:p>
      <w:pPr>
        <w:ind w:left="460" w:right="100" w:firstLine="443"/>
        <w:spacing w:after="0" w:line="294" w:lineRule="auto"/>
        <w:tabs>
          <w:tab w:leader="none" w:pos="123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 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21" w:lineRule="exact"/>
        <w:rPr>
          <w:rFonts w:ascii="Arial" w:cs="Arial" w:eastAsia="Arial" w:hAnsi="Arial"/>
          <w:sz w:val="16"/>
          <w:szCs w:val="16"/>
          <w:color w:val="auto"/>
        </w:rPr>
      </w:pPr>
    </w:p>
    <w:p>
      <w:pPr>
        <w:ind w:left="1580" w:hanging="239"/>
        <w:spacing w:after="0"/>
        <w:tabs>
          <w:tab w:leader="none" w:pos="15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76"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45" w:lineRule="exact"/>
        <w:rPr>
          <w:rFonts w:ascii="Arial" w:cs="Arial" w:eastAsia="Arial" w:hAnsi="Arial"/>
          <w:sz w:val="18"/>
          <w:szCs w:val="18"/>
          <w:color w:val="auto"/>
        </w:rPr>
      </w:pPr>
    </w:p>
    <w:p>
      <w:pPr>
        <w:ind w:left="460" w:right="660" w:firstLine="443"/>
        <w:spacing w:after="0" w:line="268" w:lineRule="auto"/>
        <w:tabs>
          <w:tab w:leader="none" w:pos="123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37" w:lineRule="exact"/>
        <w:rPr>
          <w:rFonts w:ascii="Arial" w:cs="Arial" w:eastAsia="Arial" w:hAnsi="Arial"/>
          <w:sz w:val="18"/>
          <w:szCs w:val="18"/>
          <w:color w:val="auto"/>
        </w:rPr>
      </w:pPr>
    </w:p>
    <w:p>
      <w:pPr>
        <w:ind w:left="460" w:right="80" w:firstLine="443"/>
        <w:spacing w:after="0" w:line="259" w:lineRule="auto"/>
        <w:tabs>
          <w:tab w:leader="none" w:pos="123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40" w:firstLine="443"/>
        <w:spacing w:after="0" w:line="298" w:lineRule="auto"/>
        <w:tabs>
          <w:tab w:leader="none" w:pos="123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such secured Indebtedness at the time of incurrence does not exceed $100.0 million at any one time (collectively for all assets and property subject to such Liens);</w:t>
      </w:r>
    </w:p>
    <w:p>
      <w:pPr>
        <w:spacing w:after="0" w:line="18" w:lineRule="exact"/>
        <w:rPr>
          <w:rFonts w:ascii="Arial" w:cs="Arial" w:eastAsia="Arial" w:hAnsi="Arial"/>
          <w:sz w:val="16"/>
          <w:szCs w:val="16"/>
          <w:color w:val="auto"/>
        </w:rPr>
      </w:pPr>
    </w:p>
    <w:p>
      <w:pPr>
        <w:jc w:val="both"/>
        <w:ind w:left="460" w:right="420" w:firstLine="443"/>
        <w:spacing w:after="0" w:line="259" w:lineRule="auto"/>
        <w:tabs>
          <w:tab w:leader="none" w:pos="12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(13) of the second paragraph of the covenant described above under the caption “—Certain Covenants—Incurrence of Indebtedness and Issuance of Disqualified Stock;”</w:t>
      </w:r>
    </w:p>
    <w:p>
      <w:pPr>
        <w:spacing w:after="0" w:line="45"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45" w:lineRule="exact"/>
        <w:rPr>
          <w:rFonts w:ascii="Arial" w:cs="Arial" w:eastAsia="Arial" w:hAnsi="Arial"/>
          <w:sz w:val="18"/>
          <w:szCs w:val="18"/>
          <w:color w:val="auto"/>
        </w:rPr>
      </w:pPr>
    </w:p>
    <w:p>
      <w:pPr>
        <w:ind w:left="1240" w:hanging="337"/>
        <w:spacing w:after="0"/>
        <w:tabs>
          <w:tab w:leader="none" w:pos="12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 the event any loans are made directly to Wynn Resorts (Macau), S.A. in accordance with clause (10) of the definition of “Permitted</w:t>
      </w:r>
    </w:p>
    <w:p>
      <w:pPr>
        <w:spacing w:after="0" w:line="38" w:lineRule="exact"/>
        <w:rPr>
          <w:rFonts w:ascii="Arial" w:cs="Arial" w:eastAsia="Arial" w:hAnsi="Arial"/>
          <w:sz w:val="16"/>
          <w:szCs w:val="16"/>
          <w:color w:val="auto"/>
        </w:rPr>
      </w:pPr>
    </w:p>
    <w:p>
      <w:pPr>
        <w:ind w:left="460" w:right="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Investments,” Liens of any lenders or other providers of Indebtedness to Wynn Resorts (Macau), S.A. on such loans and the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Indebtedness or other Obligations secured by any such Lien shall be non-recourse to Wynn Las Vegas and its Restricted Subsidiaries (other than with respect to such loans); and</w:t>
      </w:r>
    </w:p>
    <w:p>
      <w:pPr>
        <w:spacing w:after="0" w:line="49" w:lineRule="exact"/>
        <w:rPr>
          <w:rFonts w:ascii="Arial" w:cs="Arial" w:eastAsia="Arial" w:hAnsi="Arial"/>
          <w:sz w:val="16"/>
          <w:szCs w:val="16"/>
          <w:color w:val="auto"/>
        </w:rPr>
      </w:pPr>
    </w:p>
    <w:p>
      <w:pPr>
        <w:jc w:val="both"/>
        <w:ind w:left="460" w:right="340" w:firstLine="443"/>
        <w:spacing w:after="0" w:line="259" w:lineRule="auto"/>
        <w:tabs>
          <w:tab w:leader="none" w:pos="12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27"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49"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46" w:lineRule="exact"/>
        <w:rPr>
          <w:sz w:val="20"/>
          <w:szCs w:val="20"/>
          <w:color w:val="auto"/>
        </w:rPr>
      </w:pPr>
    </w:p>
    <w:p>
      <w:pPr>
        <w:ind w:left="460" w:firstLine="443"/>
        <w:spacing w:after="0" w:line="255"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48"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45"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notes or the Guarantees of the notes, such Permitted Refinancing Indebtedness has a final maturity date later than the final maturity date of, and is subordinated in right of payment to, the notes on terms at least as favorable, taken as a whole, to the Holders of notes as those contained in the documentation governing the Indebtedness being extended, refinanced, renewed, replaced, defeased or refunded; and</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77" w:lineRule="exact"/>
        <w:rPr>
          <w:sz w:val="20"/>
          <w:szCs w:val="20"/>
          <w:color w:val="auto"/>
        </w:rPr>
      </w:pPr>
    </w:p>
    <w:p>
      <w:pPr>
        <w:ind w:left="460" w:right="360" w:firstLine="443"/>
        <w:spacing w:after="0" w:line="325" w:lineRule="auto"/>
        <w:tabs>
          <w:tab w:leader="none" w:pos="114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 or</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shares of money market, mutual or similar funds which invest exclusively in assets satisfying the requirements of clause (1) of this definition.</w:t>
      </w:r>
    </w:p>
    <w:p>
      <w:pPr>
        <w:spacing w:after="0" w:line="18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“Phase I Completion” </w:t>
      </w:r>
      <w:r>
        <w:rPr>
          <w:rFonts w:ascii="Arial" w:cs="Arial" w:eastAsia="Arial" w:hAnsi="Arial"/>
          <w:sz w:val="18"/>
          <w:szCs w:val="18"/>
          <w:color w:val="auto"/>
        </w:rPr>
        <w:t>will have the meaning given to such term in the Disbursement Agreement, as in effect on the date of the indenture. That definition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include the requirement that each of the following has occurred:</w:t>
      </w:r>
    </w:p>
    <w:p>
      <w:pPr>
        <w:spacing w:after="0" w:line="37" w:lineRule="exact"/>
        <w:rPr>
          <w:sz w:val="20"/>
          <w:szCs w:val="20"/>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Phase I Opening Date has occurred under the Disbursement Agreement;</w:t>
      </w:r>
    </w:p>
    <w:p>
      <w:pPr>
        <w:spacing w:after="0" w:line="76" w:lineRule="exact"/>
        <w:rPr>
          <w:rFonts w:ascii="Arial" w:cs="Arial" w:eastAsia="Arial" w:hAnsi="Arial"/>
          <w:sz w:val="18"/>
          <w:szCs w:val="18"/>
          <w:color w:val="auto"/>
        </w:rPr>
      </w:pPr>
    </w:p>
    <w:p>
      <w:pPr>
        <w:ind w:left="460" w:right="80" w:firstLine="443"/>
        <w:spacing w:after="0" w:line="318" w:lineRule="auto"/>
        <w:tabs>
          <w:tab w:leader="none" w:pos="1147" w:val="left"/>
        </w:tabs>
        <w:numPr>
          <w:ilvl w:val="0"/>
          <w:numId w:val="190"/>
        </w:numPr>
        <w:rPr>
          <w:rFonts w:ascii="Arial" w:cs="Arial" w:eastAsia="Arial" w:hAnsi="Arial"/>
          <w:sz w:val="15"/>
          <w:szCs w:val="15"/>
          <w:color w:val="auto"/>
        </w:rPr>
      </w:pPr>
      <w:r>
        <w:rPr>
          <w:rFonts w:ascii="Arial" w:cs="Arial" w:eastAsia="Arial" w:hAnsi="Arial"/>
          <w:sz w:val="15"/>
          <w:szCs w:val="15"/>
          <w:color w:val="auto"/>
        </w:rPr>
        <w:t>all contractors and subcontractors have been paid in full (other than (A) retainage amounts and other amounts that, as of the Phase I Completion Date, are being withheld from the contractors and subcontractors in accordance with the provisions of the Project documents, (B) amounts being contested in accordance with the Disbursement Agreement, the Credit Agreement and other related financing agreements so long as adequate reserves have been established through an allocation in the Phase I Project anticipated cost report in accordance with any requirements of such financing agreements and (C) amounts payable in respect of the respective Phase I Project punchlist items to the extent not covered by clause (A) above);</w:t>
      </w:r>
    </w:p>
    <w:p>
      <w:pPr>
        <w:spacing w:after="0" w:line="5" w:lineRule="exact"/>
        <w:rPr>
          <w:rFonts w:ascii="Arial" w:cs="Arial" w:eastAsia="Arial" w:hAnsi="Arial"/>
          <w:sz w:val="15"/>
          <w:szCs w:val="15"/>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for Phase I Project punchlist items:</w:t>
      </w:r>
    </w:p>
    <w:p>
      <w:pPr>
        <w:spacing w:after="0" w:line="76" w:lineRule="exact"/>
        <w:rPr>
          <w:rFonts w:ascii="Arial" w:cs="Arial" w:eastAsia="Arial" w:hAnsi="Arial"/>
          <w:sz w:val="18"/>
          <w:szCs w:val="18"/>
          <w:color w:val="auto"/>
        </w:rPr>
      </w:pPr>
    </w:p>
    <w:p>
      <w:pPr>
        <w:jc w:val="both"/>
        <w:ind w:left="920" w:right="440" w:firstLine="421"/>
        <w:spacing w:after="0" w:line="259" w:lineRule="auto"/>
        <w:tabs>
          <w:tab w:leader="none" w:pos="157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 list of any remaining Phase I Project punchlist items shall have been delivered to the Construction Consultant and the Disbursement Agent by Wynn Las Vegas and approved by the Construction Consultant as a reasonable final punchlist (such approval not to be unreasonably withheld); and</w:t>
      </w:r>
    </w:p>
    <w:p>
      <w:pPr>
        <w:spacing w:after="0" w:line="45" w:lineRule="exact"/>
        <w:rPr>
          <w:rFonts w:ascii="Arial" w:cs="Arial" w:eastAsia="Arial" w:hAnsi="Arial"/>
          <w:sz w:val="18"/>
          <w:szCs w:val="18"/>
          <w:color w:val="auto"/>
        </w:rPr>
      </w:pPr>
    </w:p>
    <w:p>
      <w:pPr>
        <w:ind w:left="920" w:right="260" w:firstLine="421"/>
        <w:spacing w:after="0" w:line="306" w:lineRule="auto"/>
        <w:tabs>
          <w:tab w:leader="none" w:pos="1588"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 written agreement with all contractors performing work with respect to Phase I Project punchlist items shall have been entered into by Wynn Las Vegas and such contractors detailing the cost of remaining Project punchlist items and shall have been delivered to the Construction Consultant and the Disbursement Agent by Wynn Las Vegas and approved by the Construction Consultant and the Disbursement Agent;</w:t>
      </w:r>
    </w:p>
    <w:p>
      <w:pPr>
        <w:spacing w:after="0" w:line="12"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title insurer shall have issued a title insurance endorsement with respect to all work performed by any contractor or subcontractor prior to the Phase I Completion Date;</w:t>
      </w:r>
    </w:p>
    <w:p>
      <w:pPr>
        <w:spacing w:after="0" w:line="37"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delivery of an update to the business plan previously delivered under the Disbursement Agreement, in form and substance satisfactory to the agent for the lenders under the Credit Agreement;</w:t>
      </w:r>
    </w:p>
    <w:p>
      <w:pPr>
        <w:spacing w:after="0" w:line="37" w:lineRule="exact"/>
        <w:rPr>
          <w:rFonts w:ascii="Arial" w:cs="Arial" w:eastAsia="Arial" w:hAnsi="Arial"/>
          <w:sz w:val="18"/>
          <w:szCs w:val="18"/>
          <w:color w:val="auto"/>
        </w:rPr>
      </w:pPr>
    </w:p>
    <w:p>
      <w:pPr>
        <w:ind w:left="460" w:right="120" w:firstLine="443"/>
        <w:spacing w:after="0" w:line="256"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Phase I General Contractor, the contractor under the Golf Course Construction Contract and the parking structure contractor each shall have delivered its completion certificate certifying, among other things, as to “substantial completion” of the work under its construction contract, and certain major architects and designers each shall have delivered its completion certificate, and such certifications shall have been accepted by Wynn Las Vegas in accordance with the Disbursement Agreement; and</w:t>
      </w:r>
    </w:p>
    <w:p>
      <w:pPr>
        <w:spacing w:after="0" w:line="48" w:lineRule="exact"/>
        <w:rPr>
          <w:rFonts w:ascii="Arial" w:cs="Arial" w:eastAsia="Arial" w:hAnsi="Arial"/>
          <w:sz w:val="18"/>
          <w:szCs w:val="18"/>
          <w:color w:val="auto"/>
        </w:rPr>
      </w:pPr>
    </w:p>
    <w:p>
      <w:pPr>
        <w:ind w:left="460" w:right="60" w:firstLine="443"/>
        <w:spacing w:after="0" w:line="294" w:lineRule="auto"/>
        <w:tabs>
          <w:tab w:leader="none" w:pos="114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for each contract and subcontract for which a Payment and Performance Bond is required under the Disbursement Agreement and for which Wynn Las Vegas (or the applicable contractor) will release retainage as a result of Phase I Completion being achieved, Wynn Las Vegas shall have delivered from the surety under each Payment and Performance Bond (a) a “Consent of Surety to Reduction in or Partial Release of Retainage” (AIA form G707A) if a partial release of retainage amounts held under such contract or subcontract will be made or (b) a “Consent of Surety to Final Payment” (AIA form G707) if a release of all retainage amounts held under such contract or subcontract will be made.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Completion Date</w:t>
      </w:r>
      <w:r>
        <w:rPr>
          <w:rFonts w:ascii="Arial" w:cs="Arial" w:eastAsia="Arial" w:hAnsi="Arial"/>
          <w:sz w:val="18"/>
          <w:szCs w:val="18"/>
          <w:color w:val="auto"/>
        </w:rPr>
        <w:t>” means the date on which Phase I Completion occurs.</w:t>
      </w:r>
    </w:p>
    <w:p>
      <w:pPr>
        <w:spacing w:after="0" w:line="15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“Phase I Final Completion” </w:t>
      </w:r>
      <w:r>
        <w:rPr>
          <w:rFonts w:ascii="Arial" w:cs="Arial" w:eastAsia="Arial" w:hAnsi="Arial"/>
          <w:sz w:val="18"/>
          <w:szCs w:val="18"/>
          <w:color w:val="auto"/>
        </w:rPr>
        <w:t>will have the meaning given to such term in the Disbursement Agreement, as in effect on the date of the indenture.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is expected to include the requirement that each of the following has occurred:</w:t>
      </w:r>
    </w:p>
    <w:p>
      <w:pPr>
        <w:spacing w:after="0" w:line="37" w:lineRule="exact"/>
        <w:rPr>
          <w:sz w:val="20"/>
          <w:szCs w:val="20"/>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Phase I Completion shall have occurred,</w:t>
      </w:r>
    </w:p>
    <w:p>
      <w:pPr>
        <w:spacing w:after="0" w:line="76" w:lineRule="exact"/>
        <w:rPr>
          <w:rFonts w:ascii="Arial" w:cs="Arial" w:eastAsia="Arial" w:hAnsi="Arial"/>
          <w:sz w:val="18"/>
          <w:szCs w:val="18"/>
          <w:color w:val="auto"/>
        </w:rPr>
      </w:pPr>
    </w:p>
    <w:p>
      <w:pPr>
        <w:ind w:left="460" w:right="200" w:firstLine="443"/>
        <w:spacing w:after="0" w:line="347" w:lineRule="auto"/>
        <w:tabs>
          <w:tab w:leader="none" w:pos="1147"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the Phase I Project shall have received a permanent certificate of occupancy from the Clark County building department (and copies of such certificates shall have been delivered to the Disbursement Agent, the agent for the lenders under the Credit Agreement and the Construction Consultant),</w:t>
      </w:r>
    </w:p>
    <w:p>
      <w:pPr>
        <w:ind w:left="460" w:right="220" w:firstLine="443"/>
        <w:spacing w:after="0" w:line="259"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 notice of completion has been posted with respect to the Phase I Project and recorded in the Office of the County Recorder of Clark County, Nevada and the statutory period for filing mechanics liens under Nevada law with respect to work performed before filing such notice of completion has expired,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title insurer shall have issued a final 101.6 endorsements insuring the priority of the Liens on the collateral,</w:t>
      </w:r>
    </w:p>
    <w:p>
      <w:pPr>
        <w:spacing w:after="0" w:line="76"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Wynn Las Vegas shall have delivered to the Disbursement Agent and the agent for the lenders under the Credit Agreement its Phase I Final Completion certificate certifying that (a) all Phase I Project punchlist items have been completed, as determined in good faith by the Board of Directors of Wynn Capital and (b) Wynn Las Vegas has settled with the contractors all claims for payments and amounts due under the construction contracts and Wynn Las Vegas has received a final lien release from each contractor and subcontractor as required under the Disbursement Agreement,</w:t>
      </w:r>
    </w:p>
    <w:p>
      <w:pPr>
        <w:spacing w:after="0" w:line="18" w:lineRule="exact"/>
        <w:rPr>
          <w:rFonts w:ascii="Arial" w:cs="Arial" w:eastAsia="Arial" w:hAnsi="Arial"/>
          <w:sz w:val="16"/>
          <w:szCs w:val="16"/>
          <w:color w:val="auto"/>
        </w:rPr>
      </w:pPr>
    </w:p>
    <w:p>
      <w:pPr>
        <w:ind w:left="460" w:right="520" w:firstLine="443"/>
        <w:spacing w:after="0" w:line="259"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Construction Consultant, the Phase I Project architect and the Phase I General Contractor each shall have delivered its Phase I Final Completion certificate and Wynn Las Vegas and the Construction Consultant shall have accepted the Phase I General Contractor’s Final Completion certificate in accordance with the Disbursement Agreement,</w:t>
      </w:r>
    </w:p>
    <w:p>
      <w:pPr>
        <w:spacing w:after="0" w:line="45"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Wynn Las Vegas shall have delivered to the agent for the lenders under the Credit Agreement and the Construction Consultant an “as built survey” of the Phase I Project, and</w:t>
      </w:r>
    </w:p>
    <w:p>
      <w:pPr>
        <w:spacing w:after="0" w:line="37"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Wynn Las Vegas shall have delivered from the surety under each Payment and Performance Bond, as required under the Disbursement Agreement, a “Consent of Surety to Final Payment” (AIA form G707).</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Final Completion Date</w:t>
      </w:r>
      <w:r>
        <w:rPr>
          <w:rFonts w:ascii="Arial" w:cs="Arial" w:eastAsia="Arial" w:hAnsi="Arial"/>
          <w:sz w:val="18"/>
          <w:szCs w:val="18"/>
          <w:color w:val="auto"/>
        </w:rPr>
        <w:t>” means the date on which Phase I Final Completion occurs.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General Contractor</w:t>
      </w:r>
      <w:r>
        <w:rPr>
          <w:rFonts w:ascii="Arial" w:cs="Arial" w:eastAsia="Arial" w:hAnsi="Arial"/>
          <w:sz w:val="18"/>
          <w:szCs w:val="18"/>
          <w:color w:val="auto"/>
        </w:rPr>
        <w:t>” means Marnell Corrao Associates, Inc.,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Key Project Documents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Construction Contract,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Construction Contract Guarantee,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Design/Build Contract,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Golf Course Construction Contract,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Payment and Performance Bond,</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 Disbursement Agreement (or, if the covenant described above under the caption “—Certain Covenants— Amendments to Certain Agreements” is applicable thereto, as amended, modified or otherwise supplemented in any manner that is not in contravention of that covenant).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Phase I Land</w:t>
      </w:r>
      <w:r>
        <w:rPr>
          <w:rFonts w:ascii="Arial" w:cs="Arial" w:eastAsia="Arial" w:hAnsi="Arial"/>
          <w:sz w:val="15"/>
          <w:szCs w:val="15"/>
          <w:color w:val="auto"/>
        </w:rPr>
        <w:t>” means that portion of the Project Site described in an exhibit to the Disbursement Agreement, as in effect on the date of the indenture, together with all improvements thereon and all rights appurtenant thereto on which the Phase I Project will be designed, developed, constructed and operated.</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Minimum Facilities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casino which has in operation at least 1,900 slot machines and 120 table games,</w:t>
      </w:r>
    </w:p>
    <w:p>
      <w:pPr>
        <w:spacing w:after="0" w:line="76" w:lineRule="exact"/>
        <w:rPr>
          <w:rFonts w:ascii="Arial" w:cs="Arial" w:eastAsia="Arial" w:hAnsi="Arial"/>
          <w:sz w:val="18"/>
          <w:szCs w:val="18"/>
          <w:color w:val="auto"/>
        </w:rPr>
      </w:pPr>
    </w:p>
    <w:p>
      <w:pPr>
        <w:ind w:left="460" w:right="80" w:firstLine="443"/>
        <w:spacing w:after="0" w:line="298" w:lineRule="auto"/>
        <w:tabs>
          <w:tab w:leader="none" w:pos="114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 resort which has approximately 70,000 gross square feet of retail space, approximately 190,000 gross square feet of convention, meeting, pre-function and reception facilities, a spa and salon complex occupying approximately 30,000 gross square feet, at least 15 food and beverage outlets, seating for approximately 1,900 persons at a show-room for an entertainment production, and approximately 1,600 parking spaces for guests and other visitors which, together with existing parking facilities, will provide approximately 3,500 parking spaces in total for employees, guests and other visitors,</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hotel with at least 2,565 guest rooms and suites,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 18-hole championship golf course on the Golf Course Land occupying approximately 142 acres of the Project Site.</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Opening Date</w:t>
      </w:r>
      <w:r>
        <w:rPr>
          <w:rFonts w:ascii="Arial" w:cs="Arial" w:eastAsia="Arial" w:hAnsi="Arial"/>
          <w:sz w:val="18"/>
          <w:szCs w:val="18"/>
          <w:color w:val="auto"/>
        </w:rPr>
        <w:t>” means the date on which all or any portion of the Phase I Project is open for business, and the opening conditions set forth in the Disbursement Agreement have been satisfied.</w:t>
      </w:r>
    </w:p>
    <w:p>
      <w:pPr>
        <w:spacing w:after="0" w:line="11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Outside Completion Deadline</w:t>
      </w:r>
      <w:r>
        <w:rPr>
          <w:rFonts w:ascii="Arial" w:cs="Arial" w:eastAsia="Arial" w:hAnsi="Arial"/>
          <w:sz w:val="18"/>
          <w:szCs w:val="18"/>
          <w:color w:val="auto"/>
        </w:rPr>
        <w:t>” means December 31, 2005 (as such date may be extended for the same number of days as the outside Phase I completion date is extended under the Disbursement Agreement, as in effect on the date of the indenture, due to the occurrence of any force majeure event as defined therein on such date).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Plans and Specifications</w:t>
      </w:r>
      <w:r>
        <w:rPr>
          <w:rFonts w:ascii="Arial" w:cs="Arial" w:eastAsia="Arial" w:hAnsi="Arial"/>
          <w:sz w:val="18"/>
          <w:szCs w:val="18"/>
          <w:color w:val="auto"/>
        </w:rPr>
        <w:t>” has the meaning given that term in the Disbursement Agreement.</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Project</w:t>
      </w:r>
      <w:r>
        <w:rPr>
          <w:rFonts w:ascii="Arial" w:cs="Arial" w:eastAsia="Arial" w:hAnsi="Arial"/>
          <w:sz w:val="18"/>
          <w:szCs w:val="18"/>
          <w:color w:val="auto"/>
        </w:rPr>
        <w:t>” means Wynn Las Vegas hotel and casino resort, a large scale luxury hotel and destination casino resort, with related parking structure and golf course facilities currently under development on the Project Site, all as more particularly described in the indenture and the applicable exhibit to the Disbursement Agreement, as in effect on the date of the indenture.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Project Budget</w:t>
      </w:r>
      <w:r>
        <w:rPr>
          <w:rFonts w:ascii="Arial" w:cs="Arial" w:eastAsia="Arial" w:hAnsi="Arial"/>
          <w:sz w:val="18"/>
          <w:szCs w:val="18"/>
          <w:color w:val="auto"/>
        </w:rPr>
        <w:t>” means the Phase I Project Budget attached as an exhibit to the Disbursement Agreement.</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Completion</w:t>
      </w:r>
      <w:r>
        <w:rPr>
          <w:rFonts w:ascii="Arial" w:cs="Arial" w:eastAsia="Arial" w:hAnsi="Arial"/>
          <w:sz w:val="18"/>
          <w:szCs w:val="18"/>
          <w:color w:val="auto"/>
        </w:rPr>
        <w:t>” will have the meaning given that term in the Disbursement Agreement. That definition is expected to include the requirement that each of the following has occurred:</w:t>
      </w:r>
    </w:p>
    <w:p>
      <w:pPr>
        <w:spacing w:after="0" w:line="37" w:lineRule="exact"/>
        <w:rPr>
          <w:sz w:val="20"/>
          <w:szCs w:val="20"/>
          <w:color w:val="auto"/>
        </w:rPr>
      </w:pPr>
    </w:p>
    <w:p>
      <w:pPr>
        <w:ind w:left="1160" w:hanging="257"/>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Phase II Opening Date has occurred under the Disbursement Agreement;</w:t>
      </w:r>
    </w:p>
    <w:p>
      <w:pPr>
        <w:spacing w:after="0" w:line="76" w:lineRule="exact"/>
        <w:rPr>
          <w:rFonts w:ascii="Arial" w:cs="Arial" w:eastAsia="Arial" w:hAnsi="Arial"/>
          <w:sz w:val="18"/>
          <w:szCs w:val="18"/>
          <w:color w:val="auto"/>
        </w:rPr>
      </w:pPr>
    </w:p>
    <w:p>
      <w:pPr>
        <w:ind w:left="460" w:right="80" w:firstLine="443"/>
        <w:spacing w:after="0" w:line="318" w:lineRule="auto"/>
        <w:tabs>
          <w:tab w:leader="none" w:pos="1147"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all contractors and subcontractors have been paid in full (other than (A) retainage amounts and other amounts that, as of the Phase II Completion Date, are being withheld from the contractors and subcontractors in accordance with the provisions of the Project documents, (B) amounts being contested in accordance with the Disbursement Agreement, the Credit Agreement and other related financing agreements so long as adequate reserves have been established through an allocation in the Phase II Project anticipated cost report in accordance with any requirements of such financing agreements and (C) amounts payable in respect of the respective Phase II Project punchlist items to the extent not covered by clause (A) above);</w:t>
      </w:r>
    </w:p>
    <w:p>
      <w:pPr>
        <w:spacing w:after="0" w:line="5" w:lineRule="exact"/>
        <w:rPr>
          <w:rFonts w:ascii="Arial" w:cs="Arial" w:eastAsia="Arial" w:hAnsi="Arial"/>
          <w:sz w:val="15"/>
          <w:szCs w:val="15"/>
          <w:color w:val="auto"/>
        </w:rPr>
      </w:pPr>
    </w:p>
    <w:p>
      <w:pPr>
        <w:ind w:left="1160" w:hanging="257"/>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for Phase II Project punchlist items:</w:t>
      </w:r>
    </w:p>
    <w:p>
      <w:pPr>
        <w:spacing w:after="0" w:line="76" w:lineRule="exact"/>
        <w:rPr>
          <w:rFonts w:ascii="Arial" w:cs="Arial" w:eastAsia="Arial" w:hAnsi="Arial"/>
          <w:sz w:val="18"/>
          <w:szCs w:val="18"/>
          <w:color w:val="auto"/>
        </w:rPr>
      </w:pPr>
    </w:p>
    <w:p>
      <w:pPr>
        <w:ind w:left="920" w:right="380" w:firstLine="421"/>
        <w:spacing w:after="0" w:line="259" w:lineRule="auto"/>
        <w:tabs>
          <w:tab w:leader="none" w:pos="1579"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list of any remaining Phase II Project punchlist items shall have been delivered to the Construction Consultant and the Disbursement Agent by Wynn Las Vegas and approved by the Construction Consultant as a reasonable final punchlist (such approval not to be unreasonably withheld);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firstLine="421"/>
        <w:spacing w:after="0" w:line="306" w:lineRule="auto"/>
        <w:tabs>
          <w:tab w:leader="none" w:pos="1588" w:val="left"/>
        </w:tabs>
        <w:numPr>
          <w:ilvl w:val="1"/>
          <w:numId w:val="195"/>
        </w:numPr>
        <w:rPr>
          <w:rFonts w:ascii="Arial" w:cs="Arial" w:eastAsia="Arial" w:hAnsi="Arial"/>
          <w:sz w:val="16"/>
          <w:szCs w:val="16"/>
          <w:color w:val="auto"/>
        </w:rPr>
      </w:pPr>
      <w:r>
        <w:rPr>
          <w:rFonts w:ascii="Arial" w:cs="Arial" w:eastAsia="Arial" w:hAnsi="Arial"/>
          <w:sz w:val="16"/>
          <w:szCs w:val="16"/>
          <w:color w:val="auto"/>
        </w:rPr>
        <w:t>a written agreement with all contractors performing work with respect to Phase II Project punchlist items shall have been entered into by Wynn Las Vegas and such contractors detailing the cost of remaining Project punchlist items and shall have been delivered to the Construction Consultant and the Disbursement Agent by Wynn Las Vegas and approved by the Construction Consultant and the Disbursement Agent;</w:t>
      </w:r>
    </w:p>
    <w:p>
      <w:pPr>
        <w:spacing w:after="0" w:line="12"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title insurer shall have issued a title insurance endorsement with respect to all work performed by any contractor or subcontractor prior to the Phase II Completion Date;</w:t>
      </w:r>
    </w:p>
    <w:p>
      <w:pPr>
        <w:spacing w:after="0" w:line="37"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delivery of an update to the business plan previously delivered under the Disbursement Agreement, in form and substance satisfactory to the agent for the lenders under the Credit Agreement;</w:t>
      </w:r>
    </w:p>
    <w:p>
      <w:pPr>
        <w:spacing w:after="0" w:line="37" w:lineRule="exact"/>
        <w:rPr>
          <w:rFonts w:ascii="Arial" w:cs="Arial" w:eastAsia="Arial" w:hAnsi="Arial"/>
          <w:sz w:val="18"/>
          <w:szCs w:val="18"/>
          <w:color w:val="auto"/>
        </w:rPr>
      </w:pPr>
    </w:p>
    <w:p>
      <w:pPr>
        <w:ind w:left="460" w:right="60" w:firstLine="443"/>
        <w:spacing w:after="0" w:line="306" w:lineRule="auto"/>
        <w:tabs>
          <w:tab w:leader="none" w:pos="114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general contractor for the Phase II Project shall have delivered its completion certificate certifying, among other things, as to “substantial completion” of the work under its construction contract, and certain major architects and designers each shall have delivered its completion certificate, and such certifications shall have been accepted by Wynn Las Vegas in accordance with the Disbursement Agreement; and</w:t>
      </w:r>
    </w:p>
    <w:p>
      <w:pPr>
        <w:spacing w:after="0" w:line="12" w:lineRule="exact"/>
        <w:rPr>
          <w:rFonts w:ascii="Arial" w:cs="Arial" w:eastAsia="Arial" w:hAnsi="Arial"/>
          <w:sz w:val="16"/>
          <w:szCs w:val="16"/>
          <w:color w:val="auto"/>
        </w:rPr>
      </w:pPr>
    </w:p>
    <w:p>
      <w:pPr>
        <w:ind w:left="460" w:right="60" w:firstLine="443"/>
        <w:spacing w:after="0" w:line="294" w:lineRule="auto"/>
        <w:tabs>
          <w:tab w:leader="none" w:pos="114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for each contract and subcontract for which a Payment and Performance Bond is required under the Disbursement Agreement and for which Wynn Las Vegas (or the applicable contractor) will release retainage as a result of Phase II Completion being achieved, Wynn Las Vegas shall have delivered from the surety under each Payment and Performance Bond (a) a “Consent of Surety to Reduction in or Partial Release of Retainage” (AIA form G707A) if a partial release of retainage amounts held under such contract or subcontract will be made or (b) a “Consent of Surety to Final Payment” (AIA form G707) if a release of all retainage amounts held under such contract or subcontract will be made.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Completion Date</w:t>
      </w:r>
      <w:r>
        <w:rPr>
          <w:rFonts w:ascii="Arial" w:cs="Arial" w:eastAsia="Arial" w:hAnsi="Arial"/>
          <w:sz w:val="18"/>
          <w:szCs w:val="18"/>
          <w:color w:val="auto"/>
        </w:rPr>
        <w:t>” means the date on which Phase II Completion occurs.</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will have the meaning given that term in the Disbursement Agreement. That definition is expected to include the requirement that each of the following has occurred:</w:t>
      </w:r>
    </w:p>
    <w:p>
      <w:pPr>
        <w:spacing w:after="0" w:line="37" w:lineRule="exact"/>
        <w:rPr>
          <w:sz w:val="20"/>
          <w:szCs w:val="20"/>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Phase II Completion shall have occurred,</w:t>
      </w:r>
    </w:p>
    <w:p>
      <w:pPr>
        <w:spacing w:after="0" w:line="76" w:lineRule="exact"/>
        <w:rPr>
          <w:rFonts w:ascii="Arial" w:cs="Arial" w:eastAsia="Arial" w:hAnsi="Arial"/>
          <w:sz w:val="18"/>
          <w:szCs w:val="18"/>
          <w:color w:val="auto"/>
        </w:rPr>
      </w:pPr>
    </w:p>
    <w:p>
      <w:pPr>
        <w:ind w:left="460" w:right="200" w:firstLine="443"/>
        <w:spacing w:after="0" w:line="347" w:lineRule="auto"/>
        <w:tabs>
          <w:tab w:leader="none" w:pos="1147"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Phase II Project shall have received a permanent certificate of occupancy from the Clark County building department (and copies of such certificates shall have been delivered to the Disbursement Agent, the agent for the lenders under the Credit Agreement and the Construction Consultant),</w:t>
      </w:r>
    </w:p>
    <w:p>
      <w:pPr>
        <w:jc w:val="both"/>
        <w:ind w:left="460" w:right="220" w:firstLine="443"/>
        <w:spacing w:after="0" w:line="259"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notice of completion has been posted with respect to the Phase II Project and recorded in the Office of the County Recorder of Clark County, Nevada and the statutory period for filing mechanics liens under Nevada law with respect to work performed before filing such notice of completion has expired,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title insurer shall have issued a final 101.6 endorsements insuring the priority of the Liens on the collateral,</w:t>
      </w:r>
    </w:p>
    <w:p>
      <w:pPr>
        <w:spacing w:after="0" w:line="76"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Wynn Las Vegas shall have delivered to the Disbursement Agent and the agent for the lenders under the Credit Agreement its Phase II Final Completion certificate certifying that (a) all Phase II Project punchlist items have been completed, and (b) Wynn Las Vegas has settled with the contractors all claims for payments and amounts due under the construction contracts and Wynn Las Vegas has received a final lien release from each contractor and subcontractor as required under the Disbursement Agreement,</w:t>
      </w:r>
    </w:p>
    <w:p>
      <w:pPr>
        <w:spacing w:after="0" w:line="48"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Construction Consultant, the Phase II Project architect and the general contractor for the Phase II Project each shall have delivered its Phase II Final Completion certificate and Wynn Las Vegas and the Construction Consultant shall have accepted the Phase II Final Completion certificate of the general contractor for the Phase II Project in accordance with the Disbursement Agreement,</w:t>
      </w:r>
    </w:p>
    <w:p>
      <w:pPr>
        <w:spacing w:after="0" w:line="45"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Wynn Las Vegas shall have delivered to the agent for the lenders under the Credit Agreement and the Construction Consultant an “as built survey” of the Phase II Project,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20" w:firstLine="443"/>
        <w:spacing w:after="0" w:line="268"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Wynn Las Vegas shall have delivered from the surety under each Payment and Performance Bond, as required under the Disbursement Agreement, a “Consent of Surety to Final Payment” (AIA form G707).</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5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Land</w:t>
      </w:r>
      <w:r>
        <w:rPr>
          <w:rFonts w:ascii="Arial" w:cs="Arial" w:eastAsia="Arial" w:hAnsi="Arial"/>
          <w:sz w:val="16"/>
          <w:szCs w:val="16"/>
          <w:color w:val="auto"/>
        </w:rPr>
        <w:t>” means the approximately 20-acre portion of the Project Site designated as the Phase II Land in the Collateral Documents, together with all improvements thereon and all rights appurtenant thereto on which the Phase II Project will be designed, developed, constructed and operated.</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Opening Date</w:t>
      </w:r>
      <w:r>
        <w:rPr>
          <w:rFonts w:ascii="Arial" w:cs="Arial" w:eastAsia="Arial" w:hAnsi="Arial"/>
          <w:sz w:val="18"/>
          <w:szCs w:val="18"/>
          <w:color w:val="auto"/>
        </w:rPr>
        <w:t>” means the date on which all or any portion of the Phase II Project is open for business, and the opening conditions set forth in the Disbursement Agreement have been satisfied.</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Outside Completion Deadline</w:t>
      </w:r>
      <w:r>
        <w:rPr>
          <w:rFonts w:ascii="Arial" w:cs="Arial" w:eastAsia="Arial" w:hAnsi="Arial"/>
          <w:sz w:val="16"/>
          <w:szCs w:val="16"/>
          <w:color w:val="auto"/>
        </w:rPr>
        <w:t>” means, if the Phase II Project Budget and the Phase II Plans and Specifications are approved in accordance with the Disbursement Agreement, March 31, 2008, as that date may be extended from time to time pursuant to the Disbursement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Plans and Specifications</w:t>
      </w:r>
      <w:r>
        <w:rPr>
          <w:rFonts w:ascii="Arial" w:cs="Arial" w:eastAsia="Arial" w:hAnsi="Arial"/>
          <w:sz w:val="18"/>
          <w:szCs w:val="18"/>
          <w:color w:val="auto"/>
        </w:rPr>
        <w:t>” has the meaning given that term in the Disbursement Agreement.</w:t>
      </w:r>
    </w:p>
    <w:p>
      <w:pPr>
        <w:spacing w:after="0" w:line="15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Project</w:t>
      </w:r>
      <w:r>
        <w:rPr>
          <w:rFonts w:ascii="Arial" w:cs="Arial" w:eastAsia="Arial" w:hAnsi="Arial"/>
          <w:sz w:val="16"/>
          <w:szCs w:val="16"/>
          <w:color w:val="auto"/>
        </w:rPr>
        <w:t>” means the hotel tower, casino facility and retail and convention space to be constructed on the Phase II Land that will be part of Wynn Las Vegas and tentatively called “Encore at Wynn Las Vegas,” as more particularly described in the applicable exhibit to the Disbursement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to be approved in accordance with the Disbursement Agreement.</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3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Assets</w:t>
      </w:r>
      <w:r>
        <w:rPr>
          <w:rFonts w:ascii="Arial" w:cs="Arial" w:eastAsia="Arial" w:hAnsi="Arial"/>
          <w:sz w:val="18"/>
          <w:szCs w:val="18"/>
          <w:color w:val="auto"/>
        </w:rPr>
        <w:t>” means, with respect to the Projects at any time, all of the assets then in use related to either the Phase I Project or the Phase II Project including any real estate assets, any buildings or improvements thereon, and all equipment, furnishings and fixtures, but excluding any obsolete personal property determined by Wynn Las Vegas’ Board of Directors to be no longer useful or necessary to the operations or support of either the Phase I Project or the Phase II Project.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Shuttle Easement Agreement,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Access Easement Agreement.</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18" w:lineRule="exact"/>
        <w:rPr>
          <w:sz w:val="20"/>
          <w:szCs w:val="20"/>
          <w:color w:val="auto"/>
        </w:rPr>
      </w:pPr>
    </w:p>
    <w:p>
      <w:pPr>
        <w:ind w:right="360" w:firstLine="45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Project Related Indebtedness</w:t>
      </w:r>
      <w:r>
        <w:rPr>
          <w:rFonts w:ascii="Arial" w:cs="Arial" w:eastAsia="Arial" w:hAnsi="Arial"/>
          <w:sz w:val="16"/>
          <w:szCs w:val="16"/>
          <w:color w:val="auto"/>
        </w:rPr>
        <w:t>” means Indebtedness for borrowed money incurred by Wynn Resorts, the proceeds of which are contributed, directly or indirectly, as common equity capital to Wynn Las Vegas and its Restricted Subsidiaries, so long as neither Issuer nor any Restricted Subsidiary:</w:t>
      </w:r>
    </w:p>
    <w:p>
      <w:pPr>
        <w:spacing w:after="0" w:line="1" w:lineRule="exact"/>
        <w:rPr>
          <w:sz w:val="20"/>
          <w:szCs w:val="20"/>
          <w:color w:val="auto"/>
        </w:rPr>
      </w:pPr>
    </w:p>
    <w:p>
      <w:pPr>
        <w:ind w:left="460" w:right="760" w:firstLine="443"/>
        <w:spacing w:after="0" w:line="268" w:lineRule="auto"/>
        <w:tabs>
          <w:tab w:leader="none" w:pos="114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provides credit support of any kind (including any undertaking, agreement or instrument that would constitute Indebtedness) as to such Indebtedness,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15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217-acre site upon which the Projects will be located, together with all easements, licenses and other rights running for the benefit of Wynn Las Vegas or any of the Restricted Subsidiaries and/or appurtenant thereto, and all as more particularly described in the exhibit captioned “Project Site” in the indenture.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Phase I Project and the Phase II Project.</w:t>
      </w:r>
    </w:p>
    <w:p>
      <w:pPr>
        <w:spacing w:after="0" w:line="15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Appraiser</w:t>
      </w:r>
      <w:r>
        <w:rPr>
          <w:rFonts w:ascii="Arial" w:cs="Arial" w:eastAsia="Arial" w:hAnsi="Arial"/>
          <w:sz w:val="16"/>
          <w:szCs w:val="16"/>
          <w:color w:val="auto"/>
        </w:rPr>
        <w:t>” means a nationally-recognized independent third party appraisal firm with experience appraising real and personal property and other gaming assets of the type comprising the Collateral securing the notes and the Indebtedness under the Credit Agreement.</w:t>
      </w:r>
    </w:p>
    <w:p>
      <w:pPr>
        <w:spacing w:after="0" w:line="7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common equity contribution to Wynn Las Vegas.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9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the funds securing the Completion Guarantee (initially, $50.0 million) and the funds deposited in the Liquidity Reserve Account (initially, $30.0 million). Any such item of Collateral shall cease to be a Released Asset in the event, and to the extent, that Wynn Las Vegas or any of the Restricted Subsidiaries is required to grant a security interest therein in favor of the trustee to secure the notes or a Guarantee of the notes pursuant to the covenants described above under the captions “—Security—Release of Collateral” and “—Security—Release of Portions of the Golf Course Land.”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5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w:t>
      </w:r>
      <w:r>
        <w:rPr>
          <w:rFonts w:ascii="Arial" w:cs="Arial" w:eastAsia="Arial" w:hAnsi="Arial"/>
          <w:sz w:val="15"/>
          <w:szCs w:val="15"/>
          <w:i w:val="1"/>
          <w:iCs w:val="1"/>
          <w:color w:val="auto"/>
        </w:rPr>
        <w:t>econd Mortgage Notes</w:t>
      </w:r>
      <w:r>
        <w:rPr>
          <w:rFonts w:ascii="Arial" w:cs="Arial" w:eastAsia="Arial" w:hAnsi="Arial"/>
          <w:sz w:val="15"/>
          <w:szCs w:val="15"/>
          <w:color w:val="auto"/>
        </w:rPr>
        <w:t>” means the 12% Second Mortgage Notes due 2010 of the Issuers issued pursuant to an indenture, dated as of October 30, 2002.</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77" w:lineRule="exact"/>
        <w:rPr>
          <w:sz w:val="20"/>
          <w:szCs w:val="20"/>
          <w:color w:val="auto"/>
        </w:rPr>
      </w:pPr>
    </w:p>
    <w:p>
      <w:pPr>
        <w:ind w:left="460" w:right="360" w:firstLine="443"/>
        <w:spacing w:after="0" w:line="268"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Security Agreement, dated as of the date of the indenture, among the Issuers, the Restricted Subsidiaries, Wynn Resorts Holdings and the collateral agent, and</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the date of the indenture, between Wynn Golf and Wynn Las Vegas, as amended, modified or otherwise supplemented from time to time in any manner that is not in contravention of the covenant described above under the caption “— Certain Covenants—Amendments to Certain Agreements.”</w:t>
      </w:r>
    </w:p>
    <w:p>
      <w:pPr>
        <w:spacing w:after="0" w:line="12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the indenture.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ind w:left="460" w:right="180" w:firstLine="443"/>
        <w:spacing w:after="0" w:line="298" w:lineRule="auto"/>
        <w:tabs>
          <w:tab w:leader="none" w:pos="114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8" w:lineRule="exact"/>
        <w:rPr>
          <w:rFonts w:ascii="Arial" w:cs="Arial" w:eastAsia="Arial" w:hAnsi="Arial"/>
          <w:sz w:val="16"/>
          <w:szCs w:val="16"/>
          <w:color w:val="auto"/>
        </w:rPr>
      </w:pPr>
    </w:p>
    <w:p>
      <w:pPr>
        <w:ind w:left="460" w:right="20" w:firstLine="443"/>
        <w:spacing w:after="0" w:line="325" w:lineRule="auto"/>
        <w:tabs>
          <w:tab w:leader="none" w:pos="114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1"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Restrictive Subsidiaries that are Pass Through Entities for such period, so long as all items of income, gain, loss or deduction required to be stated separately pursuant to Section 703(a)(1) of the Code are included in taxable income or loss.</w:t>
      </w:r>
    </w:p>
    <w:p>
      <w:pPr>
        <w:spacing w:after="0" w:line="13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October 30,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12" w:lineRule="exact"/>
        <w:rPr>
          <w:sz w:val="20"/>
          <w:szCs w:val="20"/>
          <w:color w:val="auto"/>
        </w:rPr>
      </w:pPr>
    </w:p>
    <w:p>
      <w:pPr>
        <w:ind w:left="1160" w:hanging="257"/>
        <w:spacing w:after="0"/>
        <w:tabs>
          <w:tab w:leader="none" w:pos="11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76" w:lineRule="exact"/>
        <w:rPr>
          <w:rFonts w:ascii="Arial" w:cs="Arial" w:eastAsia="Arial" w:hAnsi="Arial"/>
          <w:sz w:val="18"/>
          <w:szCs w:val="18"/>
          <w:color w:val="auto"/>
        </w:rPr>
      </w:pPr>
    </w:p>
    <w:p>
      <w:pPr>
        <w:ind w:left="460" w:right="20" w:firstLine="443"/>
        <w:spacing w:after="0" w:line="294" w:lineRule="auto"/>
        <w:tabs>
          <w:tab w:leader="none" w:pos="114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first paragraph of the covenant described above under the caption “—Certain Covenants—Transactions with Affiliates”;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firstLine="443"/>
        <w:spacing w:after="0" w:line="259" w:lineRule="auto"/>
        <w:tabs>
          <w:tab w:leader="none" w:pos="114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45"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37" w:lineRule="exact"/>
        <w:rPr>
          <w:rFonts w:ascii="Arial" w:cs="Arial" w:eastAsia="Arial" w:hAnsi="Arial"/>
          <w:sz w:val="18"/>
          <w:szCs w:val="18"/>
          <w:color w:val="auto"/>
        </w:rPr>
      </w:pPr>
    </w:p>
    <w:p>
      <w:pPr>
        <w:jc w:val="both"/>
        <w:ind w:left="460" w:right="460" w:firstLine="443"/>
        <w:spacing w:after="0" w:line="370" w:lineRule="auto"/>
        <w:tabs>
          <w:tab w:leader="none" w:pos="1147" w:val="left"/>
        </w:tabs>
        <w:numPr>
          <w:ilvl w:val="0"/>
          <w:numId w:val="205"/>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4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Las Vegas’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in the election of the Board of Directors of such Person.</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2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Water Show Entertainment Production Agreement</w:t>
      </w:r>
      <w:r>
        <w:rPr>
          <w:rFonts w:ascii="Arial" w:cs="Arial" w:eastAsia="Arial" w:hAnsi="Arial"/>
          <w:sz w:val="16"/>
          <w:szCs w:val="16"/>
          <w:color w:val="auto"/>
        </w:rPr>
        <w:t>” means the Agreement, dated January 25, 2001, between Wynn Resorts Holdings and Calitri Services and Licensing Limited Liability Company, as amended, modified or otherwise supplemented from time to time in any manner that is not in contravention of the covenant described above under the caption “—Certain Covenants—Amendments to Certain Agreements.”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77" w:lineRule="exact"/>
        <w:rPr>
          <w:sz w:val="20"/>
          <w:szCs w:val="20"/>
          <w:color w:val="auto"/>
        </w:rPr>
      </w:pPr>
    </w:p>
    <w:p>
      <w:pPr>
        <w:jc w:val="both"/>
        <w:ind w:left="460" w:firstLine="443"/>
        <w:spacing w:after="0" w:line="259" w:lineRule="auto"/>
        <w:tabs>
          <w:tab w:leader="none" w:pos="114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w:t>
      </w:r>
      <w:r>
        <w:rPr>
          <w:rFonts w:ascii="Arial" w:cs="Arial" w:eastAsia="Arial" w:hAnsi="Arial"/>
          <w:sz w:val="18"/>
          <w:szCs w:val="18"/>
          <w:i w:val="1"/>
          <w:iCs w:val="1"/>
          <w:color w:val="auto"/>
        </w:rPr>
        <w:t>by</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 Agreement</w:t>
      </w:r>
      <w:r>
        <w:rPr>
          <w:rFonts w:ascii="Arial" w:cs="Arial" w:eastAsia="Arial" w:hAnsi="Arial"/>
          <w:sz w:val="18"/>
          <w:szCs w:val="18"/>
          <w:color w:val="auto"/>
        </w:rPr>
        <w:t>” means the Agreement for Project Administration Services, dated as of October 30, 2002, between Wynn Las Vegas and Wynn Design, as amended, modified or otherwise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40"/>
          </w:cols>
          <w:pgMar w:left="240" w:top="460" w:right="3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14, 2004, we entered into a credit agreement and related ancillary agreements with Deutsche Bank Securities Inc., Deutsche Bank Trust Company Americas (referred to herein as Deutsche Bank), Banc of America Securities LLC, Bank of America, N.A., Bear Stearns Corporate Lending Inc., Bear, Stearns &amp; Co. Inc., JPMorgan Chase Bank, N.A., J.P. Morgan Securities Inc., JPMorgan Chase Bank, N.A., Société Générale and SG Americas Securities, LLC, for secured revolving credit and term loan facilities in the aggregate amount of $1.0 billion. This following summary is qualified in its entirety by reference to the credit agreement itself.</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new credit facilities are comprised of the following:</w:t>
      </w:r>
    </w:p>
    <w:p>
      <w:pPr>
        <w:spacing w:after="0" w:line="77" w:lineRule="exact"/>
        <w:rPr>
          <w:sz w:val="20"/>
          <w:szCs w:val="20"/>
          <w:color w:val="auto"/>
        </w:rPr>
      </w:pPr>
    </w:p>
    <w:p>
      <w:pPr>
        <w:ind w:left="900" w:right="440" w:hanging="446"/>
        <w:spacing w:after="0" w:line="268"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senior secured revolving credit facility in the amount of $600 million that will terminate and be payable in full on the fifth anniversary of the closing date, and a portion of which may be used for letters of credit;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senior secured term loan facility in the amount of $400 million that will mature on the seventh anniversary of the closing date.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accordance with the credit agreement, we drew half of the term loans by February 14, 2005 and the remaining half of the term loans by March 14, 2005.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pay a 1.0% premium on certain prepayments of our term loans made prior to December 14, 2005.</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amount available under the new credit facilities will be reduced by $550.0 million if the Encore Budget, Plans and Specifications have not been approved by a majority of the arrangers or a majority of the lenders under the new credit facilities by June 30, 2005. This may result in a reduction of availability under the revolving credit facility, prepayment of loans under the term loan facility or any combination of the two.</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Amortization 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loans will be amortized through the date of maturity for the term loan facility according to the following schedule:</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initial term loan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4400" w:type="dxa"/>
            <w:vAlign w:val="bottom"/>
            <w:gridSpan w:val="3"/>
          </w:tcPr>
          <w:p>
            <w:pPr>
              <w:jc w:val="center"/>
              <w:ind w:left="2999"/>
              <w:spacing w:after="0"/>
              <w:rPr>
                <w:sz w:val="20"/>
                <w:szCs w:val="20"/>
                <w:color w:val="auto"/>
              </w:rPr>
            </w:pPr>
            <w:r>
              <w:rPr>
                <w:rFonts w:ascii="Arial" w:cs="Arial" w:eastAsia="Arial" w:hAnsi="Arial"/>
                <w:sz w:val="14"/>
                <w:szCs w:val="14"/>
                <w:b w:val="1"/>
                <w:bCs w:val="1"/>
                <w:color w:val="auto"/>
                <w:w w:val="88"/>
              </w:rPr>
              <w:t>principal 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4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Date of maturity for term loan facility</w:t>
            </w:r>
          </w:p>
        </w:tc>
        <w:tc>
          <w:tcPr>
            <w:tcW w:w="440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Fees</w:t>
      </w:r>
    </w:p>
    <w:p>
      <w:pPr>
        <w:spacing w:after="0" w:line="77"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For purposes of calculating interest, loans under the new credit facilities will be designated, at our election, as Eurodollar Loans or, in certain circumstances, Base Rate Loans.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Eurodollar Loans bear interest at the interbank eurocurrency rate, adjusted for reserves, plus a borrowing margin as described below. Interest on Eurodollar Loans shall be payable at the end of the applicable interest period in the case of interest periods of one, two or three months and every three months in the case of interest periods of six months or longer.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360"/>
          </w:cols>
          <w:pgMar w:left="240" w:top="460" w:right="2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Base Rate Loans bear interest at (a) the greater of (i) the rate most recently announced by Deutsche Bank as its “prime rate” or (ii) the Federal Funds Rate plus ½ of 1% per annum; plus (b) a borrowing margin as described below. Interest on Base Rate Loans is payable quarterly in arrears. The applicable borrowing margins for the new credit facilities which, in the case of our revolving credit facility, will only remain in effect until Wynn Las Vegas opens, are as follows:</w:t>
      </w:r>
    </w:p>
    <w:p>
      <w:pPr>
        <w:spacing w:after="0" w:line="5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2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Eurodollar</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Base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Loans</w:t>
            </w:r>
          </w:p>
        </w:tc>
        <w:tc>
          <w:tcPr>
            <w:tcW w:w="38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2.250%</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Term Loan Facility</w:t>
            </w:r>
          </w:p>
        </w:tc>
        <w:tc>
          <w:tcPr>
            <w:tcW w:w="4260" w:type="dxa"/>
            <w:vAlign w:val="bottom"/>
            <w:gridSpan w:val="3"/>
          </w:tcPr>
          <w:p>
            <w:pPr>
              <w:jc w:val="right"/>
              <w:ind w:right="360"/>
              <w:spacing w:after="0"/>
              <w:rPr>
                <w:sz w:val="20"/>
                <w:szCs w:val="20"/>
                <w:color w:val="auto"/>
              </w:rPr>
            </w:pPr>
            <w:r>
              <w:rPr>
                <w:rFonts w:ascii="Arial" w:cs="Arial" w:eastAsia="Arial" w:hAnsi="Arial"/>
                <w:sz w:val="18"/>
                <w:szCs w:val="18"/>
                <w:color w:val="auto"/>
              </w:rPr>
              <w:t>2.125%</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Wynn Las Vegas opens, the applicable borrowing margins for revolving loans will be determined by a grid to be determined based on our leverage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ratio.</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Until Wynn Las Vegas opens, we will pay, quarterly in arrears, 0.75% per annum on the daily average of unborrowed availability under the revolving credit facility. After Wynn Las Vegas opens, the annual fee we will be required to pay for unborrowed availability under the revolving credit facility will be determined by a grid to be determined based on our leverage ratio. For unborrowed amounts under the term loan facility, we will pay, quarterly in arrears, 1.00% per annum on the daily average of the unborrowed amounts under the term loan facility.</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Letters of credit issued pursuant to the new credit facilities will accrue fees at the borrowing margins payable on Eurodollar Loans as described above, plus a customary fronting fee.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new credit facilities are obligations of Wynn Las Vegas and guaranteed by each of the subsidiaries of Wynn Las Vegas, other than Wynn Completion Guarantor, LLC. Each guarantee of the obligations of Wynn Las Vegas under the new credit facilities is secured by a security interest in substantially all of the guarantors’ existing and future assets (except World Travel, LLC’s aircraft), and ranks pari passu in right of payment with any existing and future senior indebtedness of such guarantors, including indebtedness with respect to the notes. In addition, each guarantee ranks senior in right of payment to all of the existing and future subordinated indebtedness of each guarantor.</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amended and restated intercreditor agreement, and certain exceptions, compliance with all applicable laws, including gaming laws and regulations, permitted liens and obtaining any necessary regulatory approvals, the obligations of Wynn Las Vegas under the new credit facilities and of each of the guarantors under the guarantee are secured by:</w:t>
      </w:r>
    </w:p>
    <w:p>
      <w:pPr>
        <w:spacing w:after="0" w:line="46" w:lineRule="exact"/>
        <w:rPr>
          <w:sz w:val="20"/>
          <w:szCs w:val="20"/>
          <w:color w:val="auto"/>
        </w:rPr>
      </w:pPr>
    </w:p>
    <w:p>
      <w:pPr>
        <w:ind w:left="900" w:right="60" w:hanging="446"/>
        <w:spacing w:after="0" w:line="290" w:lineRule="auto"/>
        <w:tabs>
          <w:tab w:leader="none" w:pos="9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 first priority security interest in the liquidity reserve account, which may be used to pay costs for the completion of the construction and opening of Wynn Las Vegas and, after the completion of Wynn Las Vegas, to meet our debt service needs in connection with the operation of Wynn Las Vegas. Amounts on deposit in the liquidity reserve account will be applied to the costs of the design, construction and operation of Wynn Las Vegas in accordance with the disbursement agreement. After we have met certain targets for earnings before interest, taxes, depreciation and amortization for a period of two full consecutive fiscal quarters after Wynn Las Vegas opens, but in no event prior to the later of December 31, 2005 and the final completion date of Wynn Las Vegas, so long as no event of default shall then exist, any remaining amounts in the liquidity reserve account will be used to reduce the outstanding balance of the revolving credit facility without reducing the revolving credit facility commitment;</w:t>
      </w:r>
    </w:p>
    <w:p>
      <w:pPr>
        <w:spacing w:after="0" w:line="23" w:lineRule="exact"/>
        <w:rPr>
          <w:rFonts w:ascii="Arial" w:cs="Arial" w:eastAsia="Arial" w:hAnsi="Arial"/>
          <w:sz w:val="16"/>
          <w:szCs w:val="16"/>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first priority pledge of all of our equity interests (other than our equity interest in Wynn Completion Guarantor, LLC);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318" w:lineRule="auto"/>
        <w:tabs>
          <w:tab w:leader="none" w:pos="90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first mortgages on all real property constituting Wynn Las Vegas and Encore, including the 20-acre parcel located next to Wynn Las Vegas upon which we plan to develop Encore and the golf course parcel, as well as substantially all appurtenant rights we or our subsidiaries own related to the development, construction and operation of Wynn Las Vegas and Encore, subject to release of the golf course parcel and certain other assets upon meeting certain maximum leverage tests, minimum earnings before interest, taxes, depreciation and amortization requirements and minimum credit ratings after opening, in each case as may be applicable, and releases related to certain dispositions permitted by the new credit facilities; and</w:t>
      </w:r>
    </w:p>
    <w:p>
      <w:pPr>
        <w:spacing w:after="0" w:line="5" w:lineRule="exact"/>
        <w:rPr>
          <w:rFonts w:ascii="Arial" w:cs="Arial" w:eastAsia="Arial" w:hAnsi="Arial"/>
          <w:sz w:val="15"/>
          <w:szCs w:val="15"/>
          <w:color w:val="auto"/>
        </w:rPr>
      </w:pPr>
    </w:p>
    <w:p>
      <w:pPr>
        <w:jc w:val="both"/>
        <w:ind w:left="900" w:right="40" w:hanging="446"/>
        <w:spacing w:after="0" w:line="256"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first priority security interest in substantially all of our and our restricted subsidiaries’ other existing and future assets, subject to certain exceptions, and further subject to release of certain assets as permitted by the new credit facilities. The new credit facilities will not initially be secured by World Travel, LLC’s aircraft although if we fail to raise certain additional indebtedness secured only by such aircraft by May 23, 2005, we will be required to pledge the aircraft as security for our obligations under the new credit facilities.</w:t>
      </w:r>
    </w:p>
    <w:p>
      <w:pPr>
        <w:spacing w:after="0" w:line="13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Our obligations under the new credit facilities are secured by, among other things, any amounts in the accounts holding the proceeds of the old notes. Our obligations under the new credit facilities are secured on a pari passu basis with our obligations under the notes. The agreement among the lenders under the new credit facilities and the trustee on behalf of the note holders is set forth in an amended and restated intercreditor agreement. See “Intercreditor Agreement.”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Completion Guarantee</w:t>
      </w:r>
    </w:p>
    <w:p>
      <w:pPr>
        <w:spacing w:after="0" w:line="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Wynn Completion Guarantor, LLC, our special purpose subsidiary, has provided a completion guarantee in favor of the lenders under the new credit facilities and the holders of the notes to secure completion in full of the construction and opening of Wynn Las Vegas and, if applicable, Encore. The completion guarantee is initially capped at $50.0 million and consists of cash collateralized by a security interest in a collateral account holding cash or short-term highly rated securities in an aggregate amount of at least $50.0 million, and pledged to the lenders under the new credit facilities and the holders of the notes as security for the completion guarantee. Upon completion of Wynn Las Vegas, if Encore has previously qualified for financing, at least $30.0 million is required to be on deposit in the collateral account supporting Wynn Completion Guarantor, LLC’s obligations under the completion guarantee. Pursuant to the disbursement agreement, these funds will become available to us on a gradual basis to apply to the costs of Wynn Las Vegas or Encore, as the case may be, depending in each case on the status of completed construction. Subject to the intercreditor agreement, upon the occurrence of an event of default under the new credit facilities or the indenture governing the notes, the lenders under the new credit facilities and the holders of the notes will be permitted to exercise remedies against such sums and apply such sums against the obligations under their respective documents. After the final completion of Wynn Las Vegas or, if the Encore Budget, Plans and Specifications are approved by June 30, 2005, Encore, any amounts remaining in this account will be released to us.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Prepayments and Commitment Reductions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scheduled amortization payments described above, we are required to make mandatory prepayments of indebtedness under the new credit facilities from the net proceeds from all debt offerings (other than those constituting permitted debt) and, subject to a reinvestment period, asset sale and insurance or condemnation proceeds received by the issuers and the restricted entities, in each case with specified exceptions. After the opening of Wynn Las Vegas or, if Encore qualifies for financing under the disbursement agreement, after the opening of Encore, we will also be required to make mandatory payments of indebtedness under the new credit facilities from certain percentages of our excess cash flow, which percentages may decrease and/or be eliminated based on our leverage ratio. Mandatory prepayments from asset sales and insurance and condemnation proceeds will be applied to repay the term loan facility, the notes (to the extent accepted by the noteholders), and in certain events, to repay the revolving credit facility and reduce the revolving credit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commitments. Other than with respect to a 1% premium that we are required to pay with respect to certain repayments of our term loans occurring prior to December 14, 2005, we have the option to prepay all or any portion of the indebtedness under the new credit facilities at any time without premium or penalty.</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Covenants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loan documentation contains customary negative covenants and financial covenants. During the term of the new credit facilities, the negative covenants restrict our ability to do certain things, including but not limited to:</w:t>
      </w:r>
    </w:p>
    <w:p>
      <w:pPr>
        <w:spacing w:after="0" w:line="37" w:lineRule="exact"/>
        <w:rPr>
          <w:sz w:val="20"/>
          <w:szCs w:val="20"/>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incur additional indebtedness, including guarantees;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create, incur, assume or permit to exist liens on property and assets;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declare or pay dividends and make distributions or restrict the ability of our subsidiaries to pay dividends and make distributions;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engage in mergers, investments and acquisitions;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execute modifications to material contracts;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engage in sales of assets;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make capital expenditures;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make optional prepayments of certain indebtedness.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covenants include the following:</w:t>
      </w:r>
    </w:p>
    <w:p>
      <w:pPr>
        <w:spacing w:after="0" w:line="77" w:lineRule="exact"/>
        <w:rPr>
          <w:sz w:val="20"/>
          <w:szCs w:val="20"/>
          <w:color w:val="auto"/>
        </w:rPr>
      </w:pPr>
    </w:p>
    <w:p>
      <w:pPr>
        <w:ind w:left="900" w:hanging="446"/>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total interest expense to earnings before interest, taxes, depreciation and amortization; and</w:t>
      </w:r>
    </w:p>
    <w:p>
      <w:pPr>
        <w:spacing w:after="0" w:line="103" w:lineRule="exact"/>
        <w:rPr>
          <w:rFonts w:ascii="Arial" w:cs="Arial" w:eastAsia="Arial" w:hAnsi="Arial"/>
          <w:sz w:val="18"/>
          <w:szCs w:val="18"/>
          <w:color w:val="auto"/>
        </w:rPr>
      </w:pPr>
    </w:p>
    <w:p>
      <w:pPr>
        <w:jc w:val="both"/>
        <w:ind w:left="900" w:hanging="446"/>
        <w:spacing w:after="0" w:line="256"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total debt to earnings before interest, taxes, depreciation and amortization;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Encore Budget, Plans and Specifications are approved by June 30, 2005, such financial covenant will be replaced with a minimum earnings before interest, taxes, depreciation and amortization test during the three full fiscal quarters following the opening of Encore, after which time the original financial covenant of total debt to earnings before interest, taxes, depreciation and amortization shall be reinstated.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Events of Default</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loan documentation for the new credit facilities contains certain events of default, including the failure to make payments when due, defaults under other material agreements or instruments of indebtedness of specific amounts, noncompliance with covenants, material breaches of representations and warranties, bankruptcy events, judgments in excess of specified amounts, ERISA matters, impairment of security interests in collateral, change of control and specified events under the disbursement agreement (including the failure or inability to complete Wynn Las Vegas or, if applicable, Encore by specified completion dates), subject in some cases to applicable notice provisions and grace periods. See “—Disbursement Agreement.” The consequences of an event of default may include termination of the commitments under the new credit facilities, acceleration of all amounts due under the new credit facilities, and various other remedies that could include, among other things, foreclosure on substantially all of our assets.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Conditions to Availability of Funds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Borrowings of loans under the new credit facilities are subject to prior written notice of borrowing, the accuracy of representations and warranties, the absence of any default or event of default and certain other customary conditions to borrowing. Borrowings of loans under the new credit facilities to finance the development or construction of Wynn Las Vegas or Encore are subject to additional conditions precedent set forth in the disbursement agreement. See “Disbursement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DISBURSEMENT AGREEMENT</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entered into a disbursement agreement with Deutsche Bank Trust Company Americas, as the administrative agent, Deutsche Bank Trust Company Americas, as the disbursement agent, and U.S. Bank National Association, as the note trustee. This summary is qualified in its entirety by reference to the agreement itself.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disbursement agreement sets forth our material obligations to complete Wynn Las Vegas and, if applicable, develop, construct and complete Encore (collectively, the “Projects”) and establishes a line item budget and a schedule for the completion of construction of Wynn Las Vegas and, if and when applicable, the construction of Encore. The disbursement agreement also establishes the conditions to, and the relative sequencing of, the making of advances and disbursements under our new credit facilities and from the proceeds of the notes, and establishes the obligations of the lenders and the administrative agent under the new credit facilities to advance and disburse, respectively, funds under the new credit facilities and the obligation of the trustee to release funds from the notes proceeds account upon satisfaction of such conditions. The disbursement agreement also sets forth the mechanics for approving change orders and amendments to the construction budgets and the construction schedules for the Projects. Finally, the disbursement agreement includes certain representations, warranties, covenants and events of default that relate to construction of the Projects.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disbursement agreement, we are permitted to use the proceeds of the old notes and the borrowings under our new credit facilities to pay for costs related to the development, construction, outfitting, and opening of the Projects (including financing costs and interest during construction) and subject to certain limitations, corporate overhead and related costs (collectively, “Project Costs”). Except as provided in the following paragraph, the proceeds of the new credit facilities and the old notes are not be available to pay Project Costs related to Encore until a majority of the arrangers (by number) or a majority of the lenders under our new credit facilities (in consultation with the construction consultant) have approved, among other things, the Encore Budget, Plans and Specifications and certain construction-related agreements and subcontracts (including certain material construction and design contracts), and we shall have satisfied certain other conditions precedent relating to Encore.</w:t>
      </w:r>
    </w:p>
    <w:p>
      <w:pPr>
        <w:spacing w:after="0" w:line="10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Prior to the approval of the Encore Budget, Plans and Specifications, as set forth above, the disbursement agreement permits disbursements of up to $100.0 million in the aggregate from the borrowings under the new credit facilities and the proceeds of the old notes to pay for Project Costs related to Encore pursuant to abbreviated disbursement procedures set forth in the disbursement agreement. In no event shall more than $100.0 million from the proceeds of the new credit facilities and the old notes be disbursed for application toward Project Costs related to Encore prior to the opening of Wynn Las Vegas. Thereafter, if the Encore Budget, Plans and Specifications have been approved, the entire amount of the borrowings under the new credit facilities (subject to exceptions for working capital and other purposes) and the proceeds of the old notes will be available for application toward Project Costs related to Encore in accordance with the disbursement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Sources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disbursement agreement sets forth the order in which funds from the various sources are made available to us. Under the disbursement agreement, we will pay for Project Costs:</w:t>
      </w:r>
    </w:p>
    <w:p>
      <w:pPr>
        <w:spacing w:after="0" w:line="37" w:lineRule="exact"/>
        <w:rPr>
          <w:sz w:val="20"/>
          <w:szCs w:val="20"/>
          <w:color w:val="auto"/>
        </w:rPr>
      </w:pPr>
    </w:p>
    <w:p>
      <w:pPr>
        <w:ind w:left="900" w:right="200" w:hanging="446"/>
        <w:spacing w:after="0" w:line="268" w:lineRule="auto"/>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first, by using any cash equity contribution we receive from time to time, certain of our operating cash flows after opening of Wynn Las Vegas and any other funds which have been deposited into the company’s funds account, until exhaustion thereof;</w:t>
      </w:r>
    </w:p>
    <w:p>
      <w:pPr>
        <w:spacing w:after="0" w:line="37" w:lineRule="exact"/>
        <w:rPr>
          <w:rFonts w:ascii="Arial" w:cs="Arial" w:eastAsia="Arial" w:hAnsi="Arial"/>
          <w:sz w:val="18"/>
          <w:szCs w:val="18"/>
          <w:color w:val="auto"/>
        </w:rPr>
      </w:pPr>
    </w:p>
    <w:p>
      <w:pPr>
        <w:ind w:left="900" w:right="620" w:hanging="446"/>
        <w:spacing w:after="0" w:line="317" w:lineRule="auto"/>
        <w:tabs>
          <w:tab w:leader="none" w:pos="9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second, by using the proceeds from the issuance of the old notes and borrowings under our new credit facilities, until exhaustion of the notes proceeds,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from the notes proceeds account and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from borrowings under the new credit facilities;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third, by using the proceeds of borrowings under the new credit facilities; and</w:t>
      </w:r>
    </w:p>
    <w:p>
      <w:pPr>
        <w:spacing w:after="0" w:line="103"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fourth, by using the funds made available to us pursuant to a formula set forth in the disbursement agreement from the completion guarantee deposit account and, solely with respect to Wynn Las Vegas, from our liquidity reserve account.</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expect that a significant portion of the funds we need to pay Project Costs in respect of Encore will come from our operating cash flows after opening of Wynn Las Vegas. Our failure to achieve operating cash flows, or obtain other funds, sufficient to fund the Project Costs for Encore would prevent us from obtaining disbursements and may cause an event of default under the disbursement agreement. See “Risk Factors—Risks Associated with Our Business—We intend to fund a substantial portion of the development costs of Encore at Wynn Las Vegas and our substantial debt service and other obligations (including the notes) with anticipated cash flows generated at Wynn Las Vegas, which may not be sufficient to fund such development costs and debt service obligations.”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83"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 xml:space="preserve">In order to implement the funding of disbursements, the disbursement agreement calls for the maintenance of certain accounts, each of which, subject to certain exceptions, secures our obligations under the new credit facilities and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secured account holding the proceeds of the old notes only secures our obligations under the notes, and the secured account holding the proceeds of the new credit facilities only secures our obligations to the lenders under the new credit facilities.</w:t>
      </w:r>
    </w:p>
    <w:p>
      <w:pPr>
        <w:spacing w:after="0" w:line="13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Such accounts include, but are not limited to, a company’s funds account, a notes proceeds account, a bank proceeds account, a disbursement account, a cash management account, a completion guarantee deposit account and a liquidity reserve account.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Funds Account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Until termination of the disbursement agreement the following funds will be deposited into our funds account:</w:t>
      </w:r>
    </w:p>
    <w:p>
      <w:pPr>
        <w:spacing w:after="0" w:line="77" w:lineRule="exact"/>
        <w:rPr>
          <w:sz w:val="20"/>
          <w:szCs w:val="20"/>
          <w:color w:val="auto"/>
        </w:rPr>
      </w:pPr>
    </w:p>
    <w:p>
      <w:pPr>
        <w:ind w:left="900" w:hanging="446"/>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all cash equity contributions we receive from time to time or other funds that we designate for application to Project Costs;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certain of our operating cash flows after opening of Wynn Las Vegas;</w:t>
      </w:r>
    </w:p>
    <w:p>
      <w:pPr>
        <w:spacing w:after="0" w:line="103"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certain funds transferred by the disbursement agent from the completion guarantee deposit account or the liquidity reserve account pursuant to the terms of the disbursement agreement;</w:t>
      </w:r>
    </w:p>
    <w:p>
      <w:pPr>
        <w:spacing w:after="0" w:line="37" w:lineRule="exact"/>
        <w:rPr>
          <w:rFonts w:ascii="Arial" w:cs="Arial" w:eastAsia="Arial" w:hAnsi="Arial"/>
          <w:sz w:val="18"/>
          <w:szCs w:val="18"/>
          <w:color w:val="auto"/>
        </w:rPr>
      </w:pPr>
    </w:p>
    <w:p>
      <w:pPr>
        <w:ind w:left="900" w:right="300" w:hanging="446"/>
        <w:spacing w:after="0" w:line="298" w:lineRule="auto"/>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all amounts received by us prior to final completion of Wynn Las Vegas in respect of liquidated damages or other amounts paid to us under our project documents related to construction or otherwise related to construction of Wynn Las Vegas, and all amounts paid to us under the Austi construction guaranty, any payment and performance bond, or any casualty insurance policy (but with respect to casualty insurance, only prior to substantial completion of Wynn Las Vegas (excluding the second entertainment facility and the fairway villas)); and</w:t>
      </w:r>
    </w:p>
    <w:p>
      <w:pPr>
        <w:spacing w:after="0" w:line="18" w:lineRule="exact"/>
        <w:rPr>
          <w:rFonts w:ascii="Arial" w:cs="Arial" w:eastAsia="Arial" w:hAnsi="Arial"/>
          <w:sz w:val="16"/>
          <w:szCs w:val="16"/>
          <w:color w:val="auto"/>
        </w:rPr>
      </w:pPr>
    </w:p>
    <w:p>
      <w:pPr>
        <w:ind w:left="900" w:hanging="446"/>
        <w:spacing w:after="0" w:line="335" w:lineRule="auto"/>
        <w:tabs>
          <w:tab w:leader="none" w:pos="90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all amounts received by us prior to final completion of Encore in respect of liquidated damages or other amounts paid to us under our project documents or otherwise related to construction of Encore, and all amounts paid to us related to Encore under any construction guaranty, any payment and performance bond, or any casualty insurance policy (but with respect to casualty insurance, only prior to substantial completion of Encore).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certain exceptions, amounts on deposit in the company’s funds account will, from time to time:</w:t>
      </w:r>
    </w:p>
    <w:p>
      <w:pPr>
        <w:spacing w:after="0" w:line="77" w:lineRule="exact"/>
        <w:rPr>
          <w:sz w:val="20"/>
          <w:szCs w:val="20"/>
          <w:color w:val="auto"/>
        </w:rPr>
      </w:pPr>
    </w:p>
    <w:p>
      <w:pPr>
        <w:ind w:left="900" w:right="520" w:hanging="446"/>
        <w:spacing w:after="0" w:line="268"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be transferred by the disbursement agent to the disbursement account for application to pay Project Costs in accordance with the disbursement agreement; or</w:t>
      </w:r>
    </w:p>
    <w:p>
      <w:pPr>
        <w:spacing w:after="0" w:line="37"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be applied to prepayment of our obligations under the new credit facilities and the notes (subject to the intercreditor agreement) as set forth in the disbursement agreement.</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Investment income from permitted investments on amounts on deposit in the company’s funds account will be retained in the account until applied as set forth in the disbursement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Proceeds Account</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proceeds of the old notes (after expenses and payments toward reducing or satisfying certain debt) have been deposited into the notes proceeds account. Amounts on deposit in the notes proceeds account are held in escrow and invested in permitted investments by the disbursement agent until transferred, from time to time, by the disbursement agent to the disbursement account for the payment of Project Costs in accordance with the disbursement agreement. Investment income from permitted investments on amounts on deposit in the notes proceeds account will be retained in the account until applied as set forth in the disbursement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Proceeds Account</w:t>
      </w:r>
    </w:p>
    <w:p>
      <w:pPr>
        <w:spacing w:after="0" w:line="8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From time to time, the proceeds of term loans and certain proceeds of revolving loans made under our new credit facilities will be deposited into the bank proceeds account. Amounts on deposit in the bank proceeds account are held in escrow and invested in permitted investments until transferred, from time to time, by the disbursement agent to the disbursement account for the payment of Project Costs in accordance with the disbursement agreement. Investment income from permitted investments on amounts on deposit in the bank proceeds account will be retained in the account until applied as set forth in the disbursement agreement.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Account</w:t>
      </w:r>
    </w:p>
    <w:p>
      <w:pPr>
        <w:spacing w:after="0" w:line="8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The disbursement account holds certain funds advanced from time to time by the lenders under the new credit facilities, as well as funds transferred pursuant to the terms of the disbursement agreement from the company’s funds account, the bank proceeds account, the notes proceeds account and, in some cases, the completion guarantee deposit account and the liquidity reserve account. Amounts on deposit in the disbursement account are applied to pay Project Costs in accordance with the applicable construction budget or are transferred by the disbursement agent to the cash management account.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Management Account</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the closing of the offering of the old notes, we deposited an amount specified in the disbursement agreement into the cash management account. Subject to certain exceptions, we may from time to time draw checks on and otherwise withdraw amounts on deposit in the cash management account to pay budgeted Project Costs that are then due and payable. We may from time to time request advances to replenish amounts drawn from, or increase the amount on deposit in, the cash management account by satisfying the conditions precedent set forth in the disbursement agreement (unless such conditions precedent are waived) and by delivering certificates and certain other items demonstrating that all previous withdrawals from the account have been applied to pay budgeted Project Costs. The balance in the cash management account is not allowed to exceed specified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limit on amounts on deposit in the account may be increased from time to time to an amount mutually agreed upon by us and the disbursement agent (in consultation with the construction consultant), whose consent may not be unreasonably withheld.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Guarantee Deposit Account</w:t>
      </w:r>
    </w:p>
    <w:p>
      <w:pPr>
        <w:spacing w:after="0" w:line="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subsidiary, Wynn Completion Guarantor, LLC, has provided a $50.0 million completion guarantee, for the benefit of the lenders under the new credit facilities and the holders of the notes, to guarantee final completion of Wynn Las Vegas and, if applicable, Encore. We have deposited $50.0 million into an account to secure that subsidiary’s obligations under the completion guarantee. The funds in this account are held in permitted investments, and the account secures our obligations under the new credit facilities and the notes. Pursuant to the disbursement agreement, these funds become available to us pursuant to a formula set forth in the disbursement agreement to pay budgeted Project Costs in respect of Wynn Las Vegas. The disbursement agreement requires that, if the Encore Budget, Plans and Specifications have been approved, then upon the substantial completion of Wynn Las Vegas (excluding the second entertainment facility and the fairway villas) no less than $30.0 million must be on deposit in the completion guarantee deposit account (which could require the Completion Guarantor to replenish such account). Funds in the completion guarantee deposit account will become available to us to pay the costs of Encore pursuant to a formula set forth in the disbursement agreement only after fifty percent of the construction work for Encore has been completed. Upon the occurrence and during the continuance of an event of default under our new credit facilities or the indenture governing the notes, the collateral agent under the intercreditor agreement may exercise remedies against the account and apply funds in the account to pay our obligations under the new credit facilities and the notes in accordance with the intercreditor agreement. Upon final completion of Wynn Las Vegas or, in the event the Encore Budget, Plans and Specifications are approved, upon final completion of Encore, any amounts remaining in this account will be released to 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Reserve Account</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security for our obligation to complete Wynn Las Vegas, we have deposited $30.0 million into the liquidity reserve account. Pursuant to the disbursement agreement, after all amounts on deposit in the completion guarantee deposit account have been spent, funds in the liquidity reserve account will become available to us pursuant to a formula set forth in the disbursement agreement to pay budgeted Project Costs in respect of Wynn Las Vegas until substantial completion of Wynn Las Vegas (excluding the second entertainment facility and the fairway villas). Thereafter, these funds will be available to meet our debt service needs. Upon the occurrence and during the continuance of an event of default under the new credit facilities or the indenture governing the notes, the collateral agent under the intercreditor agreement may exercise remedies against the account and apply funds in the account to pay our secured obligations in accordance with the intercreditor agreement. Once we have met certain financial tests for a period of two full consecutive fiscal quarters after the opening of Wynn Las Vegas, so long as no default or event of default has occurred and is continuing, any remaining funds in the account will be used to reduce the outstanding amounts under our new credit facilities, but without reducing the revolving credit facility commitment (but the release date may not be earlier than the later of December 31, 2005 and the final completion date of Wynn Las Vegas).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Conditions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required to satisfy certain conditions precedent before we are permitted to withdraw funds from certain of the disbursement agreement accounts.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conditions include, among others:</w:t>
      </w:r>
    </w:p>
    <w:p>
      <w:pPr>
        <w:spacing w:after="0" w:line="70" w:lineRule="exact"/>
        <w:rPr>
          <w:sz w:val="20"/>
          <w:szCs w:val="20"/>
          <w:color w:val="auto"/>
        </w:rPr>
      </w:pPr>
    </w:p>
    <w:p>
      <w:pPr>
        <w:ind w:left="900" w:hanging="446"/>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103" w:lineRule="exact"/>
        <w:rPr>
          <w:rFonts w:ascii="Arial" w:cs="Arial" w:eastAsia="Arial" w:hAnsi="Arial"/>
          <w:sz w:val="18"/>
          <w:szCs w:val="18"/>
          <w:color w:val="auto"/>
        </w:rPr>
      </w:pPr>
    </w:p>
    <w:p>
      <w:pPr>
        <w:ind w:left="1160" w:hanging="257"/>
        <w:spacing w:after="0"/>
        <w:tabs>
          <w:tab w:leader="none" w:pos="11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such plans and specifications are amended from time to time in accordance with the disbursement agreement;</w:t>
      </w:r>
    </w:p>
    <w:p>
      <w:pPr>
        <w:spacing w:after="0" w:line="37"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continued expectation that Wynn Las Vegas (excluding the second entertainment facility and fairway villas) will be open for business and will be substantially complete by the date set forth in the Wynn Las Vegas construction schedule (which date may be no later than June 30, 2005, except for certain limited permitted extensions due to force majeure events);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14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continued expectation that substantial completion of Wynn Las Vegas (including the second entertainment facility and fairway villas) will be achieved by the date set forth in the Wynn Las Vegas construction schedule (which date may be no later than September 30, 2005, except for certain limited permitted extensions due to force majeure events);</w:t>
      </w:r>
    </w:p>
    <w:p>
      <w:pPr>
        <w:spacing w:after="0" w:line="45"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after the approval of the Encore Budget, Plans and Specifications, with respect to disbursements relating to Encore, the continued expectation that Encore will be open for business by the date set forth in the Encore construction schedule (which date may be no later than December 31, 2007, except for certain limited permitted extensions due to force majeure events);</w:t>
      </w:r>
    </w:p>
    <w:p>
      <w:pPr>
        <w:spacing w:after="0" w:line="45"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after the approval of the Encore Budget, Plans and Specifications, with respect to disbursements relating to Encore, the continued expectation that substantial completion of Encore will be achieved by the date set forth in the Encore construction schedule (which date may be no later than March 31, 2008, except for certain limited permitted extensions due to force majeure events);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the use of funds in accordance with the construction budgets as adjusted from time to time in accordance with the disbursement agreement;</w:t>
      </w:r>
    </w:p>
    <w:p>
      <w:pPr>
        <w:spacing w:after="0" w:line="99" w:lineRule="exact"/>
        <w:rPr>
          <w:rFonts w:ascii="Arial" w:cs="Arial" w:eastAsia="Arial" w:hAnsi="Arial"/>
          <w:sz w:val="16"/>
          <w:szCs w:val="16"/>
          <w:color w:val="auto"/>
        </w:rPr>
      </w:pPr>
    </w:p>
    <w:p>
      <w:pPr>
        <w:ind w:left="460" w:right="320" w:firstLine="443"/>
        <w:spacing w:after="0" w:line="259" w:lineRule="auto"/>
        <w:tabs>
          <w:tab w:leader="none" w:pos="114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sufficiency of remaining funds (including those portions of the completion guarantee deposit account, liquidity reserve account and construction contingency that are then available to be used to pay Project Costs in accordance with the disbursement agreement) to complete Wynn Las Vegas and Encore; and</w:t>
      </w:r>
    </w:p>
    <w:p>
      <w:pPr>
        <w:spacing w:after="0" w:line="45" w:lineRule="exact"/>
        <w:rPr>
          <w:rFonts w:ascii="Arial" w:cs="Arial" w:eastAsia="Arial" w:hAnsi="Arial"/>
          <w:sz w:val="18"/>
          <w:szCs w:val="18"/>
          <w:color w:val="auto"/>
        </w:rPr>
      </w:pPr>
    </w:p>
    <w:p>
      <w:pPr>
        <w:ind w:left="460" w:right="900" w:firstLine="443"/>
        <w:spacing w:after="0" w:line="268" w:lineRule="auto"/>
        <w:tabs>
          <w:tab w:leader="none" w:pos="114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compliance with line item category budget allocations (as such allocations may be amended from time to time in accordance with the disbursement agreement), taking into account allocations for contingencies;</w:t>
      </w:r>
    </w:p>
    <w:p>
      <w:pPr>
        <w:spacing w:after="0" w:line="37"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delivery by the construction consultant and certain contractors and subcontractors of certificates corroborating various matters set forth in our disbursement request and certificate;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absence of a default or event of default under the credit agreement and the indenture governing the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of the material construction-related agreements being in full force and effect;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our receipt of the material governmental approvals then required;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our delivery to the disbursement agent of the acknowledgments of payment and lien releases required under the disbursement agreement;</w:t>
      </w:r>
    </w:p>
    <w:p>
      <w:pPr>
        <w:spacing w:after="0" w:line="126"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w:t>
      </w:r>
    </w:p>
    <w:p>
      <w:pPr>
        <w:spacing w:after="0" w:line="37"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 and</w:t>
      </w:r>
    </w:p>
    <w:p>
      <w:pPr>
        <w:spacing w:after="0" w:line="37"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until the opening of Wynn Las Vegas, Wynn Resorts and its principal stockholders shall have maintained in full force and effect the existing arrangements among the stockholders to facilitate obtaining the gaming license for Wynn Las Vegas in the event that one of Wynn Resorts’ major stockholders is unable to qualify for such license.</w:t>
      </w:r>
    </w:p>
    <w:p>
      <w:pPr>
        <w:spacing w:after="0" w:line="12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At all times, the administrative agent under the new credit facilities is entitled to waive the conditions precedent with respect to advances under the new credit facilities, from the notes proceeds account and from the company’s funds account without the consent of the trustee under the indenture for the notes. The trustee under the indenture for the notes is entitled to waive the conditions precedent with respect to advances from the notes proceeds account without the consent of the administrative agent or the lenders under the new credit facilities.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Construction Budgets and Schedule</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disbursement agreement contains guidelines for the construction consultant and the disbursement agent to permit amendments to the budgets and the plans and specifications related to the Projects.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guidelines permit increases to any line item category in the applicable construction budget allocated to either Wynn Las Vegas or Encore only to the extent of the sum of:</w:t>
      </w:r>
    </w:p>
    <w:p>
      <w:pPr>
        <w:spacing w:after="0" w:line="37" w:lineRule="exact"/>
        <w:rPr>
          <w:sz w:val="20"/>
          <w:szCs w:val="20"/>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103"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category; and</w:t>
      </w:r>
    </w:p>
    <w:p>
      <w:pPr>
        <w:spacing w:after="0" w:line="37"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use of additional Project revenues or additional company equity and other amounts, to the extent deposited in the appropriate disbursement agreement accounts.</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Prior to substantial completion of Wynn Las Vegas (including the second entertainment facility and the fairway villas), we will not be able to apply any savings realized under the construction budget for Wynn Las Vegas to increase the construction budget for Encore. We are not, at any time, permitted to apply any savings realized under the construction budget for Encore to increase the construction budget for Wynn Las Vegas.</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may, from time to time, amend the construction schedule for Wynn Las Vegas to extend the opening and substantial completion dates for Wynn Las Vegas (excluding the second entertainment facility and the fairway villas) but not beyond June 30, 2005 and the substantial completion date for Wynn Las Vegas (including the second entertainment facility and the fairway villas) but not beyond September 30, 2005 and, if applicable, we may, from time to time amend the construction schedule for Encore to extend the opening date for Encore but not beyond December 31, 2007 and the substantial completion date for Encore but not beyond March 31, 2008, in each case, by delivering to the disbursement agent a certificate describing the amendment and complying with the conditions set forth above with respect to the changes in the applicable construction budget that will result from the extension of such dates. Notwithstanding the foregoing, we have the ability to extend the opening and substantial completion dates for a limited period beyond the deadlines set forth above due to force majeure events.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disbursement agreement obligates us to comply with various affirmative covenants, including the following:</w:t>
      </w:r>
    </w:p>
    <w:p>
      <w:pPr>
        <w:spacing w:after="0" w:line="77" w:lineRule="exact"/>
        <w:rPr>
          <w:sz w:val="20"/>
          <w:szCs w:val="20"/>
          <w:color w:val="auto"/>
        </w:rPr>
      </w:pPr>
    </w:p>
    <w:p>
      <w:pPr>
        <w:ind w:left="900" w:right="40" w:hanging="446"/>
        <w:spacing w:after="0" w:line="268"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use the proceeds of the notes and the borrowings under the new credit facilities advanced pursuant to the disbursement agreement only to pay Project Costs in accordance with the applicable construction budget and the disbursement agreement;</w:t>
      </w:r>
    </w:p>
    <w:p>
      <w:pPr>
        <w:spacing w:after="0" w:line="37"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the Encore Budget, Plans and Specifications have been approved, upon the later of substantial completion of Wynn Las Vegas (excluding the second entertainment facility and the fairway villas) or the date the Encore Budget, Plans and Specifications are approved, cause the amount on deposit in the completion guarantee deposit account to equal at least $30.0 million for utilization with respect to Encore pursuant to the disbursement agreement as described above;</w:t>
      </w:r>
    </w:p>
    <w:p>
      <w:pPr>
        <w:spacing w:after="0" w:line="48"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within three business days after the end of each calendar quarter occurring from and after the opening of Wynn Las Vegas, deposit or cause to be deposited into the company’s funds account an amount equal to an agreed-upon amount of our projected operating cash flows for such quarter to be applied to pay Project Costs for Encore identified on a schedule attached to the disbursement agreement (to the extent sufficient funds are not otherwise available to complete the Projects);</w:t>
      </w:r>
    </w:p>
    <w:p>
      <w:pPr>
        <w:spacing w:after="0" w:line="48"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construct Wynn Las Vegas and, if applicable, Encore, diligently and substantially in accordance with the plans and specifications (as the same may be amended from time to time in accordance with the disbursement agreement) except for delays caused by any event of force majeure;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60" w:hanging="446"/>
        <w:spacing w:after="0" w:line="268"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until the exhaustion of amounts in the notes proceeds account, provide the trustee with certain construction progress reports and other reports, certificates and notices with respect to Wynn Las Vegas and Encore;</w:t>
      </w:r>
    </w:p>
    <w:p>
      <w:pPr>
        <w:spacing w:after="0" w:line="37"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cause to be deposited into the company’s funds account all additional required equity and certain other amounts as and when required (including in connection with any required amendment to our projected operating cash flows schedule attached to the disbursement agreement);</w:t>
      </w:r>
    </w:p>
    <w:p>
      <w:pPr>
        <w:spacing w:after="0" w:line="1" w:lineRule="exact"/>
        <w:rPr>
          <w:rFonts w:ascii="Arial" w:cs="Arial" w:eastAsia="Arial" w:hAnsi="Arial"/>
          <w:sz w:val="16"/>
          <w:szCs w:val="16"/>
          <w:color w:val="auto"/>
        </w:rPr>
      </w:pPr>
    </w:p>
    <w:p>
      <w:pPr>
        <w:ind w:left="900" w:right="840" w:hanging="446"/>
        <w:spacing w:after="0" w:line="268"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cause certain construction materials not yet incorporated into the applicable Project to be stored and identified in accordance with specific requirements;</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cause the primary contractor for the Projects to cause its subcontractors working under a subcontract with a value more than $25.0 million to provide a payment and performance bond to secure its obligations under its subcontract;</w:t>
      </w:r>
    </w:p>
    <w:p>
      <w:pPr>
        <w:spacing w:after="0" w:line="37"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subject to certain exceptions, withhold from each contractor, and require each contractor to withhold from its first tier subcontractors, a retainage equal to 10% of each payment made to that person;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maintain and comply with the required insurance policies.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disbursement agreement also requires us to comply with negative covenants. These covenants limit, among other things, our ability to:</w:t>
      </w:r>
    </w:p>
    <w:p>
      <w:pPr>
        <w:spacing w:after="0" w:line="100" w:lineRule="exact"/>
        <w:rPr>
          <w:sz w:val="20"/>
          <w:szCs w:val="20"/>
          <w:color w:val="auto"/>
        </w:rPr>
      </w:pPr>
    </w:p>
    <w:p>
      <w:pPr>
        <w:ind w:left="900" w:hanging="446"/>
        <w:spacing w:after="0" w:line="259"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waive or terminate any material right under any construction contract guarantee, or any material performance or payment bond without the consent of the administrative agent (such consent not to be unreasonably withheld) unless such waiver or termination could not reasonably be expected to have an adverse effect on us, any noteholder or any lender under the new credit facilities;</w:t>
      </w:r>
    </w:p>
    <w:p>
      <w:pPr>
        <w:spacing w:after="0" w:line="45" w:lineRule="exact"/>
        <w:rPr>
          <w:rFonts w:ascii="Arial" w:cs="Arial" w:eastAsia="Arial" w:hAnsi="Arial"/>
          <w:sz w:val="18"/>
          <w:szCs w:val="18"/>
          <w:color w:val="auto"/>
        </w:rPr>
      </w:pPr>
    </w:p>
    <w:p>
      <w:pPr>
        <w:ind w:left="900" w:right="420" w:hanging="446"/>
        <w:spacing w:after="0" w:line="325" w:lineRule="auto"/>
        <w:tabs>
          <w:tab w:leader="none" w:pos="90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waive or terminate any right under any other construction-related agreement or any required governmental approval for Wynn Las Vegas and, if applicable, Encore, if such waiver or termination could reasonably be expected to cause a material adverse effect;</w:t>
      </w:r>
    </w:p>
    <w:p>
      <w:pPr>
        <w:spacing w:after="0" w:line="1"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implement any material change to the plans and specifications or any change order under the construction-related agreements, if the change or change order: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requires an amendment to the construction budget, unless we comply with the procedures for amending the construction budget;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76" w:lineRule="exact"/>
        <w:rPr>
          <w:rFonts w:ascii="Arial" w:cs="Arial" w:eastAsia="Arial" w:hAnsi="Arial"/>
          <w:sz w:val="18"/>
          <w:szCs w:val="18"/>
          <w:color w:val="auto"/>
        </w:rPr>
      </w:pPr>
    </w:p>
    <w:p>
      <w:pPr>
        <w:ind w:left="460" w:right="140" w:firstLine="443"/>
        <w:spacing w:after="0" w:line="325" w:lineRule="auto"/>
        <w:tabs>
          <w:tab w:leader="none" w:pos="1147" w:val="left"/>
        </w:tabs>
        <w:numPr>
          <w:ilvl w:val="1"/>
          <w:numId w:val="221"/>
        </w:numPr>
        <w:rPr>
          <w:rFonts w:ascii="Arial" w:cs="Arial" w:eastAsia="Arial" w:hAnsi="Arial"/>
          <w:sz w:val="16"/>
          <w:szCs w:val="16"/>
          <w:color w:val="auto"/>
        </w:rPr>
      </w:pPr>
      <w:r>
        <w:rPr>
          <w:rFonts w:ascii="Arial" w:cs="Arial" w:eastAsia="Arial" w:hAnsi="Arial"/>
          <w:sz w:val="16"/>
          <w:szCs w:val="16"/>
          <w:color w:val="auto"/>
        </w:rPr>
        <w:t>could reasonably be expected to delay opening or substantial completion of Wynn Las Vegas or, if applicable, opening or substantial completion of Encore beyond the applicable outside opening or substantial completion dates, subject to any permitted extensions; or</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1"/>
          <w:numId w:val="221"/>
        </w:numPr>
        <w:rPr>
          <w:rFonts w:ascii="Arial" w:cs="Arial" w:eastAsia="Arial" w:hAnsi="Arial"/>
          <w:sz w:val="15"/>
          <w:szCs w:val="15"/>
          <w:color w:val="auto"/>
        </w:rPr>
      </w:pPr>
      <w:r>
        <w:rPr>
          <w:rFonts w:ascii="Arial" w:cs="Arial" w:eastAsia="Arial" w:hAnsi="Arial"/>
          <w:sz w:val="15"/>
          <w:szCs w:val="15"/>
          <w:color w:val="auto"/>
        </w:rPr>
        <w:t>could reasonably be expected to cause the Projects not to comply with legal requirements and governmental approvals in any material respect; or</w:t>
      </w:r>
    </w:p>
    <w:p>
      <w:pPr>
        <w:spacing w:after="0" w:line="111" w:lineRule="exact"/>
        <w:rPr>
          <w:rFonts w:ascii="Arial" w:cs="Arial" w:eastAsia="Arial" w:hAnsi="Arial"/>
          <w:sz w:val="15"/>
          <w:szCs w:val="15"/>
          <w:color w:val="auto"/>
        </w:rPr>
      </w:pPr>
    </w:p>
    <w:p>
      <w:pPr>
        <w:ind w:left="900" w:right="40" w:hanging="446"/>
        <w:spacing w:after="0" w:line="268"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amend the construction budget or the construction schedule for Wynn Las Vegas and, if applicable, Encore, except in accordance with the procedures set forth in the disbursement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Remedies on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disbursement agreement provides that each of the following constitutes an “event of default” thereunder:</w:t>
      </w:r>
    </w:p>
    <w:p>
      <w:pPr>
        <w:spacing w:after="0" w:line="77" w:lineRule="exact"/>
        <w:rPr>
          <w:sz w:val="20"/>
          <w:szCs w:val="20"/>
          <w:color w:val="auto"/>
        </w:rPr>
      </w:pPr>
    </w:p>
    <w:p>
      <w:pPr>
        <w:ind w:left="900" w:hanging="446"/>
        <w:spacing w:after="0"/>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occurrence of an event of default under the credit agreement or under the indenture governing the notes;</w:t>
      </w:r>
    </w:p>
    <w:p>
      <w:pPr>
        <w:spacing w:after="0" w:line="103"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failure, from time to time, of remaining funds (including those portions of the completion guarantee deposit account, liquidity reserve account and construction contingency that are then available to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60"/>
        <w:spacing w:after="0" w:line="357" w:lineRule="auto"/>
        <w:rPr>
          <w:sz w:val="20"/>
          <w:szCs w:val="20"/>
          <w:color w:val="auto"/>
        </w:rPr>
      </w:pPr>
      <w:r>
        <w:rPr>
          <w:rFonts w:ascii="Arial" w:cs="Arial" w:eastAsia="Arial" w:hAnsi="Arial"/>
          <w:sz w:val="15"/>
          <w:szCs w:val="15"/>
          <w:color w:val="auto"/>
        </w:rPr>
        <w:t>used to pay Project Costs in accordance with the disbursement agreement) to be sufficient to complete each Project on or before the applicable outside substantial completion deadlines, if such failure has not been remedied within 30 days (subject to a limited extension for force majeure events);</w:t>
      </w:r>
    </w:p>
    <w:p>
      <w:pPr>
        <w:ind w:left="900" w:right="60" w:hanging="446"/>
        <w:spacing w:after="0" w:line="268"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our failure, for 60 consecutive days, to submit an advance request for disbursement of funds which is approved by the disbursement agent (subject to a limited extension for force majeure events);</w:t>
      </w:r>
    </w:p>
    <w:p>
      <w:pPr>
        <w:spacing w:after="0" w:line="37"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our default in compliance with any affirmative or negative covenant contained in the disbursement agreement, subject, in certain cases, to certain cure periods;</w:t>
      </w:r>
    </w:p>
    <w:p>
      <w:pPr>
        <w:spacing w:after="0" w:line="37"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default in any material respect by us or any other party thereto under the primary construction contracts or the construction guarantee or any other construction-related agreement with a contract value in excess of a specified threshold, subject to certain cure and substitution rights;</w:t>
      </w:r>
    </w:p>
    <w:p>
      <w:pPr>
        <w:spacing w:after="0" w:line="1"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default by us or any other party thereto under any other construction-related agreement the effect of which reasonably could be expected to have a material adverse effect, subject to certain cure and substitution rights;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primary construction contracts or any construction contract guarantee shall have terminated or otherwise become invalid or illegal;</w:t>
      </w:r>
    </w:p>
    <w:p>
      <w:pPr>
        <w:spacing w:after="0" w:line="126" w:lineRule="exact"/>
        <w:rPr>
          <w:rFonts w:ascii="Arial" w:cs="Arial" w:eastAsia="Arial" w:hAnsi="Arial"/>
          <w:sz w:val="16"/>
          <w:szCs w:val="16"/>
          <w:color w:val="auto"/>
        </w:rPr>
      </w:pPr>
    </w:p>
    <w:p>
      <w:pPr>
        <w:ind w:left="900" w:right="320" w:hanging="446"/>
        <w:spacing w:after="0" w:line="268"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of the other material construction-related agreements shall have terminated or otherwise become invalid or illegal, subject to certain cure and substitution rights;</w:t>
      </w:r>
    </w:p>
    <w:p>
      <w:pPr>
        <w:spacing w:after="0" w:line="37"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our abandonment of Wynn Las Vegas or, if the Encore Budget, Plans and Specifications have been approved and we have elected to pursue such Project, Encore, in either case for a period of 45 days, or otherwise ceasing to pursue the operations of such Project for a period of 45 days, in each case other than as a result of any force majeure event; or</w:t>
      </w:r>
    </w:p>
    <w:p>
      <w:pPr>
        <w:spacing w:after="0" w:line="45"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our failure to achieve the opening or substantial completion date of Wynn Las Vegas or, if applicable, the opening or substantial completion date of Encore, in each case on or before the applicable scheduled opening or substantial completion date as set forth in the applicable construction schedule, as in effect from time to time.</w:t>
      </w:r>
    </w:p>
    <w:p>
      <w:pPr>
        <w:spacing w:after="0" w:line="12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Upon the occurrence and during the continuance of an event of default under the disbursement agreement, the lenders under our new credit facilities and the holders of the notes will be entitled to suspend their respective obligation to make any further disbursements under the disbursement agreement.</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administrative agent under the new credit facilities has the right (without obtaining the consent of the trustee, the holders of the notes, the trustee for the second mortgage notes or the holders of any outstanding second mortgage notes) to amend the disbursement agreement or waive any defaults under the disbursement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may not change the sequence of funding of the proceeds of the notes, relative to the funding of the proceeds of the new credit facilities without the consent of the trustee. See “Risk Factors—Risks Related to the Offering and the Notes—The agent under our new credit facilities has the ability to waive defaults and conditions to disbursement of funds under the disbursement agreement” and “Intercreditor Agreement.”</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disbursement agreement will terminate after final completion of Wynn Las Vegas or, if the Encore Budget, Plans and Specifications have been approved and we have elected to pursue such Project, after final completion of Encore. The disbursement agreement will cease to apply to Wynn Las Vegas in any way after final completion of Wynn Las Vegas. The trustee under the indenture for the notes will cease to be a party to the disbursement agreement (and shall not have any rights, obligations or remedies thereunder) upon exhaustion of the amounts on deposit in the notes proceeds account (at which time Wynn Las Vegas will be entitled to close the notes proceeds account). Upon termination of the disbursement agreement, all amounts remaining in any disbursement agreement accounts will be released to us, and the covenants contained in the disbursement agreement will cease to apply.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INTERCREDITOR AGREEMENT</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An intercreditor agreement (hereinafter, the “intercreditor agreement”) was entered into among the agent under the new credit facilities, the trustee on behalf of the note holders, the representative of any future first lien indebtedness permitted to be incurred which is secured by any shared collateral (together with indebtedness under the new credit facilities and the notes, the “senior debt”) and the representative of any future second lien indebtedness permitted to be incurred which is secured by any shared collateral (the “junior debt”) and Deutsche Bank Trust Company Americas, in its capacity as collateral agent for each of the other parties. ** The intercreditor agreement sets forth certain agreements among the parties regarding, among other things, the priority of their claims and interests in the shared collateral securing the senior debt and the junior debt and other assets we own, the method of decision-making among the lenders, the note holders, any other senior debt holders and the junior debt holders, the arrangements applicable to actions with respect to approval rights and waivers, certain limitations on rights of enforcement upon default and the application of proceeds of enforcement. The following summary is qualified in its entirety by reference to the agreement itself.</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Collateral Agent</w:t>
      </w:r>
    </w:p>
    <w:p>
      <w:pPr>
        <w:spacing w:after="0" w:line="77" w:lineRule="exact"/>
        <w:rPr>
          <w:sz w:val="20"/>
          <w:szCs w:val="20"/>
          <w:color w:val="auto"/>
        </w:rPr>
      </w:pPr>
    </w:p>
    <w:p>
      <w:pPr>
        <w:ind w:right="540" w:firstLine="456"/>
        <w:spacing w:after="0" w:line="256" w:lineRule="auto"/>
        <w:rPr>
          <w:sz w:val="20"/>
          <w:szCs w:val="20"/>
          <w:color w:val="auto"/>
        </w:rPr>
      </w:pPr>
      <w:r>
        <w:rPr>
          <w:rFonts w:ascii="Arial" w:cs="Arial" w:eastAsia="Arial" w:hAnsi="Arial"/>
          <w:sz w:val="18"/>
          <w:szCs w:val="18"/>
          <w:color w:val="auto"/>
        </w:rPr>
        <w:t>Under the intercreditor agreement, each party appoints Deutsche Bank Trust Company Americas to act as collateral agent with respect to all of the collateral securing the senior debt (including with respect to the notes and the new credit facilities), and certain of the collateral securing the junior debt, to exercise any remedies in respect thereof upon the occurrence of an event of default, and to act as specified in the intercreditor agreement under each of the security documents to which it is a party.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Shared Collateral; Priority of Liens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intercreditor agreement provides that:</w:t>
      </w:r>
    </w:p>
    <w:p>
      <w:pPr>
        <w:spacing w:after="0" w:line="77" w:lineRule="exact"/>
        <w:rPr>
          <w:sz w:val="20"/>
          <w:szCs w:val="20"/>
          <w:color w:val="auto"/>
        </w:rPr>
      </w:pPr>
    </w:p>
    <w:p>
      <w:pPr>
        <w:ind w:left="900" w:right="300" w:hanging="446"/>
        <w:spacing w:after="0" w:line="306" w:lineRule="auto"/>
        <w:tabs>
          <w:tab w:leader="none" w:pos="90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liens granted for the benefit of the note holders with respect to our assets and the assets pledged by the guarantors are pari passu in priority (which priority is first, subject to permitted liens) with the liens on such assets granted for the benefit of the lenders under the new credit facilities and the liens on such assets that may be granted for the benefit of any other senior debt holders; and</w:t>
      </w:r>
    </w:p>
    <w:p>
      <w:pPr>
        <w:spacing w:after="0" w:line="12"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liens on such assets granted for the benefit of the junior debt holders are junior to the liens on such assets granted for the benefit of the note holders, the lenders under the new credit facilities and any other senior debt holder;</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security interest in the proceeds of the notes on deposit from time to time in a secured account as described in the disbursement agreement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for the sole benefit of the holders of the notes, and the security interest in the proceeds of term loans and certain proceeds of revolving loans made under the new credit facilities which are deposited from time to time in a secured account as described in the disbursement agreement shall be for the sole benefit of the lenders under the new credit facilities.</w:t>
      </w:r>
    </w:p>
    <w:p>
      <w:pPr>
        <w:spacing w:after="0" w:line="13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foregoing shall be effective at all times during the term of the intercreditor agreement, notwithstanding: (i) the initiation of any bankruptcy, moratorium, reorganization or other insolvency proceeding with respect to any credit party; (ii) the priorities which would otherwise result from the order of creation, attachment or perfection of any such lien; (iii) the taking of possession of any of the collateral by the collateral agent, any lender, the trustee, any note holder, any holder (or representative of any holder) of other senior debt, or any holder (or representative of any holder) of any junior debt or; (iv) the filing of any financing statement or the recording of any deed of trust, mortgage or other instrument in any recording office; (v) the order in which any of the obligations with respect to the senior debt or the junior debt were created or in which any of the loan or note documents were filed or recorded; or (vi) whether any such lien is now perfected, hereafter ceases to be perfected, is avoidable by any bankruptcy trustee or otherwise is set aside, invalidated or lapses.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Actions of the Collateral Agent</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intercreditor agreement provides that the collateral agent has the sole and exclusive right to exercise rights and enforce remedies under the security documents to which it is a party. In exercising its rights and enforcing its remedies under such security documents, the collateral agent shall, subject to the terms and conditions of the intercreditor agreement, at all times act at the direction of the required secured creditors in respect of any particular matter. The identity of the required secured creditors is determined as follows:</w:t>
      </w:r>
    </w:p>
    <w:p>
      <w:pPr>
        <w:spacing w:after="0" w:line="49" w:lineRule="exact"/>
        <w:rPr>
          <w:sz w:val="20"/>
          <w:szCs w:val="20"/>
          <w:color w:val="auto"/>
        </w:rPr>
      </w:pPr>
    </w:p>
    <w:p>
      <w:pPr>
        <w:ind w:left="900" w:hanging="446"/>
        <w:spacing w:after="0"/>
        <w:tabs>
          <w:tab w:leader="none" w:pos="900" w:val="left"/>
        </w:tabs>
        <w:numPr>
          <w:ilvl w:val="0"/>
          <w:numId w:val="225"/>
        </w:numPr>
        <w:rPr>
          <w:rFonts w:ascii="Arial" w:cs="Arial" w:eastAsia="Arial" w:hAnsi="Arial"/>
          <w:sz w:val="15"/>
          <w:szCs w:val="15"/>
          <w:color w:val="auto"/>
        </w:rPr>
      </w:pPr>
      <w:r>
        <w:rPr>
          <w:rFonts w:ascii="Arial" w:cs="Arial" w:eastAsia="Arial" w:hAnsi="Arial"/>
          <w:sz w:val="15"/>
          <w:szCs w:val="15"/>
          <w:color w:val="auto"/>
        </w:rPr>
        <w:t>for purposes of causing the collateral agent to commence enforcement proceedings against the shared collateral pursuant to the security documents:</w:t>
      </w:r>
    </w:p>
    <w:p>
      <w:pPr>
        <w:spacing w:after="0" w:line="138" w:lineRule="exact"/>
        <w:rPr>
          <w:rFonts w:ascii="Arial" w:cs="Arial" w:eastAsia="Arial" w:hAnsi="Arial"/>
          <w:sz w:val="15"/>
          <w:szCs w:val="15"/>
          <w:color w:val="auto"/>
        </w:rPr>
      </w:pPr>
    </w:p>
    <w:p>
      <w:pPr>
        <w:ind w:left="1360" w:right="40" w:hanging="555"/>
        <w:spacing w:after="0" w:line="256" w:lineRule="auto"/>
        <w:tabs>
          <w:tab w:leader="none" w:pos="13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at any time after the expiration of 30 days following the earlier of (i) a payment event of default with respect to the notes or (ii) an acceleration of the notes, then holders of the majority of the aggregate outstanding amount of notes and loans under the new credit facilities shall constitute the required secured creditors for purposes of causing the collateral agent to commence enforcement proceedings pursuant to the security documents; and</w:t>
      </w:r>
    </w:p>
    <w:p>
      <w:pPr>
        <w:spacing w:after="0" w:line="48" w:lineRule="exact"/>
        <w:rPr>
          <w:rFonts w:ascii="Arial" w:cs="Arial" w:eastAsia="Arial" w:hAnsi="Arial"/>
          <w:sz w:val="18"/>
          <w:szCs w:val="18"/>
          <w:color w:val="auto"/>
        </w:rPr>
      </w:pPr>
    </w:p>
    <w:p>
      <w:pPr>
        <w:jc w:val="both"/>
        <w:ind w:left="1360" w:right="140" w:hanging="555"/>
        <w:spacing w:after="0" w:line="259" w:lineRule="auto"/>
        <w:tabs>
          <w:tab w:leader="none" w:pos="13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at any time that an event of default exists under the new credit facilities, then the agent on behalf of the lenders under the new credit facilities shall constitute the required secured creditors for purposes of causing the collateral agent to commence enforcement proceedings pursuant to the security documents;</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if an event of default as a result of (i) a payment event of default with respect to the notes or (ii) the acceleration of the notes has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and is continuing for more than 30 days and an event of default has occurred and is continuing under the new credit facilities, then, for purposes of causing the collateral agent to commence enforcement proceedings against the shared collateral pursuant to the security documents, either (x) the agent on behalf of the lenders under the new credit facilities or (y) the holders of the majority of the aggregate outstanding amount of notes and loans under the new credit facilities shall constitute the required secured creditors;</w:t>
      </w:r>
    </w:p>
    <w:p>
      <w:pPr>
        <w:spacing w:after="0" w:line="48" w:lineRule="exact"/>
        <w:rPr>
          <w:sz w:val="20"/>
          <w:szCs w:val="20"/>
          <w:color w:val="auto"/>
        </w:rPr>
      </w:pPr>
    </w:p>
    <w:p>
      <w:pPr>
        <w:ind w:left="900" w:right="300" w:hanging="446"/>
        <w:spacing w:after="0" w:line="268"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for purposes of causing the collateral agent to commence enforcement proceedings against the account holding the proceeds of the offering of old notes, the trustee acting on behalf of the holders of the notes shall constitute the required secured creditors;</w:t>
      </w:r>
    </w:p>
    <w:p>
      <w:pPr>
        <w:spacing w:after="0" w:line="37"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for purposes of causing the collateral agent to commence enforcement proceedings against the account holding the proceeds of term loans and certain proceeds of revolving loans made under the new credit facilities, the agent under the new credit facilities shall constitute the required secured creditors;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once enforcement proceedings have been commenced in accordance with the first bullet-point above, only the required secured creditors that directed the collateral agent to commence such proceedings shall be required to direct the collateral agent to discontinue the proceedings;</w:t>
      </w:r>
    </w:p>
    <w:p>
      <w:pPr>
        <w:spacing w:after="0" w:line="1" w:lineRule="exact"/>
        <w:rPr>
          <w:rFonts w:ascii="Arial" w:cs="Arial" w:eastAsia="Arial" w:hAnsi="Arial"/>
          <w:sz w:val="16"/>
          <w:szCs w:val="16"/>
          <w:color w:val="auto"/>
        </w:rPr>
      </w:pPr>
    </w:p>
    <w:p>
      <w:pPr>
        <w:ind w:left="900" w:right="80" w:hanging="446"/>
        <w:spacing w:after="0" w:line="287" w:lineRule="auto"/>
        <w:tabs>
          <w:tab w:leader="none" w:pos="9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for purposes of directing the manner and method of enforcement proceedings once commenced in accordance with the first bullet-point above, the collateral agent shall make all decisions that it deems appropriate to diligently prosecute and complete such proceedings unless instructed to do otherwise by any joint committee formed by the holders of the notes and the lenders under the new credit facilities or, if no such joint committee has been formed, by both the trustee and the agent on behalf of the lenders under the new credit facilities, acting together, who shall constitute the required secured creditors under such circumstances. If the collateral agent requests instructions from the required secured creditors with respect to the manner and method of enforcement proceedings, then if such a joint committee has been formed and is then in effect, such joint committee shall constitute the required secured creditors or, if such a joint committee has not been formed or is not then in effect, both the trustee and the agent on behalf of the lenders under the new credit facilities, acting together, shall constitute the required secured creditors. If the trustee and the agent for the lenders under the new credit facilities have both failed to respond to the collateral agent’s request for instructions or if the collateral agent receives conflicting instructions from the trustee and the agent for the lenders under the new credit facilities, the collateral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0"/>
        <w:spacing w:after="0" w:line="294" w:lineRule="auto"/>
        <w:rPr>
          <w:sz w:val="20"/>
          <w:szCs w:val="20"/>
          <w:color w:val="auto"/>
        </w:rPr>
      </w:pPr>
      <w:r>
        <w:rPr>
          <w:rFonts w:ascii="Arial" w:cs="Arial" w:eastAsia="Arial" w:hAnsi="Arial"/>
          <w:sz w:val="16"/>
          <w:szCs w:val="16"/>
          <w:color w:val="auto"/>
        </w:rPr>
        <w:t>agent shall not act under the requested instructions until either (i) a non-conflicting instruction is received from both the trustee and the agent for the lenders under the new credit facilities or (ii) an instruction is received from the holders of a majority of the then outstanding indebtedness under the indenture and the new credit facilities. If either of the trustee or agent for the lenders under the new credit facilities responds with instructions to the collateral agent within ten business days but the other fails to respond during such time period, then the required secured creditors under such circumstances shall constitute the party who responded during such time frame;</w:t>
      </w:r>
    </w:p>
    <w:p>
      <w:pPr>
        <w:spacing w:after="0" w:line="35" w:lineRule="exact"/>
        <w:rPr>
          <w:sz w:val="20"/>
          <w:szCs w:val="20"/>
          <w:color w:val="auto"/>
        </w:rPr>
      </w:pPr>
    </w:p>
    <w:p>
      <w:pPr>
        <w:ind w:left="900" w:hanging="446"/>
        <w:spacing w:after="0" w:line="285" w:lineRule="auto"/>
        <w:tabs>
          <w:tab w:leader="none" w:pos="90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for purposes of amending, modifying, varying or waiving any provisions of the security documents in respect of the shared collateral, including waiving any event of default thereunder, the agent for the lenders under the new credit facilities shall constitute the required secured creditors entitled to amend, modify, vary or waive any provision of the security documents in respect of the shared collateral (without the consent of the trustee, the holders of the notes, the representative of any other senior debt, the holders of any other senior debt, the representative of any junior debt or the holders of any junior debt). Any such amendments, modifications or waivers shall be effective, and shall automatically apply to, any security documents entered into for the benefit of any other senior debt and junior debt including the notes. Notwithstanding the foregoing, unless such amendment, modification, variance or waiver is expressly permitted to occur without the consent of the trustee under the terms of the indenture and without the consent of the representative of any junior debt under the terms of any indenture, note or other document evidencing or governing such junior debt, to the extent that such amendment, modification, variance or waiver will result in the release of any portion of the collateral under the shared security documents, the consent of the trustee will be required and the consent of a representative of such junior debt or holder of such junior debt may be required. To the extent such amendment, modification, variance or waiver will adversely affect the interests of any holders of senior debt or junior debt in a manner that does not similarly affect the interests of the lenders under the new credit facilities, the consent of a representative of such senior or junior debt, as the case may be, will be required. In addition, any default occurring under a shared security document by reason of a default under the indenture or the instrument governing any junior debt may only be waived by the trustee or the representative of any junior debt, as the case may be;</w:t>
      </w:r>
    </w:p>
    <w:p>
      <w:pPr>
        <w:spacing w:after="0" w:line="31" w:lineRule="exact"/>
        <w:rPr>
          <w:rFonts w:ascii="Arial" w:cs="Arial" w:eastAsia="Arial" w:hAnsi="Arial"/>
          <w:sz w:val="16"/>
          <w:szCs w:val="16"/>
          <w:color w:val="auto"/>
        </w:rPr>
      </w:pPr>
    </w:p>
    <w:p>
      <w:pPr>
        <w:ind w:left="900" w:right="280" w:hanging="446"/>
        <w:spacing w:after="0" w:line="259" w:lineRule="auto"/>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for purposes of adjusting settlement of all insurance claims and condemnation awards in the event of any covered loss, theft or destruction or condemnation of any shared collateral, and all claims under insurance constituting shared collateral, then, subject to the following paragraphs, the required secured creditors at such times shall be the agent under the new credit facilities;</w:t>
      </w:r>
    </w:p>
    <w:p>
      <w:pPr>
        <w:spacing w:after="0" w:line="45" w:lineRule="exact"/>
        <w:rPr>
          <w:rFonts w:ascii="Arial" w:cs="Arial" w:eastAsia="Arial" w:hAnsi="Arial"/>
          <w:sz w:val="18"/>
          <w:szCs w:val="18"/>
          <w:color w:val="auto"/>
        </w:rPr>
      </w:pPr>
    </w:p>
    <w:p>
      <w:pPr>
        <w:ind w:left="900" w:right="380" w:hanging="446"/>
        <w:spacing w:after="0" w:line="347" w:lineRule="auto"/>
        <w:tabs>
          <w:tab w:leader="none" w:pos="90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if at the time of an action by the required secured creditors all of our obligations under the new credit facilities have been paid in full and the commitments of the lenders under the new credit facilities have terminated, then the required secured creditors at such times shall be the trustee;</w:t>
      </w:r>
    </w:p>
    <w:p>
      <w:pPr>
        <w:jc w:val="both"/>
        <w:ind w:left="900" w:right="360" w:hanging="446"/>
        <w:spacing w:after="0" w:line="306" w:lineRule="auto"/>
        <w:tabs>
          <w:tab w:leader="none" w:pos="90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if at the time of an action by the required secured creditors all of our obligations under the notes have been paid in full and all of our obligations under the new credit facilities have been paid in full and the commitments of the lenders under the new credit facilities have terminated, then the required secured creditors at such times shall be each representative of any other senior debt; and</w:t>
      </w:r>
    </w:p>
    <w:p>
      <w:pPr>
        <w:spacing w:after="0" w:line="12"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notes, all of our obligations under the new credit facilities and all of our obligations under any other senior debt have all been paid in full and the commitments of the lenders under the new credit facilities and the commitments of any other lenders under any other senior debt have terminated, then the required secured creditors at such times shall be each representative of any junior debt.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Permanent Standstill With Respect to Junior Debt</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intercreditor agreement provides that, if there is a payment default or an acceleration with respect to the senior debt, then the collateral agent shall have the right to notify the representative of any junior debt of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default, and any payments thereafter received by any junior debt holders (continuing until such time, if any, as all such defaults have been cured) shall be turned over to the collateral agent for application against the indebtedness under the senior debt, and be applied in accordance with the intercreditor agreement.</w:t>
      </w:r>
    </w:p>
    <w:p>
      <w:pPr>
        <w:spacing w:after="0" w:line="4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intercreditor agreement provides that, at any time that there is any outstanding indebtedness under the senior debt, the representative of any junior debt (and the junior debt holders) shall not be permitted to exercise any remedies, or to instruct the collateral agent to exercise any remedies, with respect to the collateral following a default under any instrument governing such junior debt, except with the prior consent of each representative of senior debt (including the agent under the new credit facilities and the trustee). In particular, the representative of such junior debt will not have the right to (or instruct the collateral agent to) commence foreclosure proceedings against any portion of the collateral, or take other actions with respect to the collateral, except as described in the previous sentence.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representative of any junior debt shall have the right upon a default:</w:t>
      </w:r>
    </w:p>
    <w:p>
      <w:pPr>
        <w:spacing w:after="0" w:line="77" w:lineRule="exact"/>
        <w:rPr>
          <w:sz w:val="20"/>
          <w:szCs w:val="20"/>
          <w:color w:val="auto"/>
        </w:rPr>
      </w:pPr>
    </w:p>
    <w:p>
      <w:pPr>
        <w:ind w:left="900" w:right="320" w:hanging="446"/>
        <w:spacing w:after="0" w:line="268"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take actions to preserve or protect the liens securing such junior debt (so long as the actions are not adverse to the lenders under the new credit facilities, the holders of the notes or the holders of any other senior debt);</w:t>
      </w:r>
    </w:p>
    <w:p>
      <w:pPr>
        <w:spacing w:after="0" w:line="37"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purchase or pay off all amounts owed under the senior debt (provided that such junior debt holders shall not be required in such circumstances to pay any prepayment charges or premiums payable under the terms of the senior debt);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accelerate such junior indebtedness;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to commence an involuntary bankruptcy proceeding with respect to Wynn Las Vegas, Wynn Capital and/or any of the guarantors of the notes.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Application of Proceeds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Proceeds received in connection with any exercise of remedies against the shared collateral shall be applied:</w:t>
      </w:r>
    </w:p>
    <w:p>
      <w:pPr>
        <w:spacing w:after="0" w:line="77" w:lineRule="exact"/>
        <w:rPr>
          <w:sz w:val="20"/>
          <w:szCs w:val="20"/>
          <w:color w:val="auto"/>
        </w:rPr>
      </w:pPr>
    </w:p>
    <w:p>
      <w:pPr>
        <w:ind w:left="900" w:hanging="446"/>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first, to certain costs and expenses of the collateral agent in connection with undertaking such enforcement;</w:t>
      </w:r>
    </w:p>
    <w:p>
      <w:pPr>
        <w:spacing w:after="0" w:line="103"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second, to the payment of all principal and interest outstanding under the senior debt (including with respect to any protective advances made by the agent or lenders under our new credit facilities or the holders of the notes or the trustee), pro rata among the senior debt based on the outstanding amounts thereof;</w:t>
      </w:r>
    </w:p>
    <w:p>
      <w:pPr>
        <w:spacing w:after="0" w:line="45"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third, to the payment of all obligations outstanding under the senior debt other than principal and interest, pro rata among the senior debt based on the outstanding amounts thereof;</w:t>
      </w:r>
    </w:p>
    <w:p>
      <w:pPr>
        <w:spacing w:after="0" w:line="37" w:lineRule="exact"/>
        <w:rPr>
          <w:rFonts w:ascii="Arial" w:cs="Arial" w:eastAsia="Arial" w:hAnsi="Arial"/>
          <w:sz w:val="18"/>
          <w:szCs w:val="18"/>
          <w:color w:val="auto"/>
        </w:rPr>
      </w:pPr>
    </w:p>
    <w:p>
      <w:pPr>
        <w:ind w:left="900" w:right="160" w:hanging="446"/>
        <w:spacing w:after="0" w:line="325" w:lineRule="auto"/>
        <w:tabs>
          <w:tab w:leader="none" w:pos="90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fourth, to the payment of all principal and interest outstanding under the junior debt (including with respect to any protective advances made by the holders of the junior debt or their representatives), pro rata among the junior debt based on the outstanding amounts thereof;</w:t>
      </w:r>
    </w:p>
    <w:p>
      <w:pPr>
        <w:spacing w:after="0" w:line="1"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fifth, to the payment of all obligations outstanding under the junior debt other than principal and interest, pro rata among the junior debt based on the outstanding amounts thereof;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sixth, to whomever is lawfully entitled to receive any remaining funds.</w:t>
      </w:r>
    </w:p>
    <w:p>
      <w:pPr>
        <w:spacing w:after="0" w:line="18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addition, the intercreditor agreement provides that certain non-pro rata payments received by any note holder, any lender under the new credit facilities or any other senior debt holder shall be remitted to the collateral agent for redistribution in a pro rata manner among each senior debt holder. The payments subject to this pro rata redistribution requirement include, among other things, (i) proceeds of any exercise of any lender or holder’s right of setoff, banker’s lien or counterclaim, or from any security or from any realization (whether through attachment, foreclosure or otherwise) of our assets or our affiliates’ assets, and (ii) payments made after an event of default has occurred and is continuing.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Arrangements in Bankruptcy</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intercreditor agreement provides that in any bankruptcy of Wynn Las Vegas, Wynn Capital or any of the guarantors, no junior debt holders and no representative of any junior debt shall, among other things:</w:t>
      </w:r>
    </w:p>
    <w:p>
      <w:pPr>
        <w:spacing w:after="0" w:line="37" w:lineRule="exact"/>
        <w:rPr>
          <w:sz w:val="20"/>
          <w:szCs w:val="20"/>
          <w:color w:val="auto"/>
        </w:rPr>
      </w:pPr>
    </w:p>
    <w:p>
      <w:pPr>
        <w:ind w:left="900" w:right="20" w:hanging="446"/>
        <w:spacing w:after="0" w:line="259" w:lineRule="auto"/>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challenge the liens of the lenders under the new credit facilities, the holders of the notes or the holders of other senior debt (and the lenders, the holders of the notes and the holders of other senior debt correspondingly shall agree not to take any action challenging the liens in favor of any such junior debt holders);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oppose or contest any motion of the agent under the new credit facilities, the trustee or any representative of other senior debt holders for relief from the automatic stay or any injunction against foreclosure or enforcement of the new credit facilities, the notes or other senior debt;</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oppose or contest a credit bid of indebtedness under the new credit facilities, the notes or other senior debt at any foreclosure sale;</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oppose or contest any use of cash collateral that has been approved by the agent under the new credit facilities, the trustee, or any representative of other senior debt holders so long as such use of cash collateral calls for:</w:t>
      </w:r>
    </w:p>
    <w:p>
      <w:pPr>
        <w:spacing w:after="0" w:line="37" w:lineRule="exact"/>
        <w:rPr>
          <w:rFonts w:ascii="Arial" w:cs="Arial" w:eastAsia="Arial" w:hAnsi="Arial"/>
          <w:sz w:val="18"/>
          <w:szCs w:val="18"/>
          <w:color w:val="auto"/>
        </w:rPr>
      </w:pPr>
    </w:p>
    <w:p>
      <w:pPr>
        <w:ind w:left="1360" w:hanging="555"/>
        <w:spacing w:after="0" w:line="268" w:lineRule="auto"/>
        <w:tabs>
          <w:tab w:leader="none" w:pos="13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Wynn Capital or certain of their affiliates, or for the preservation of the collateral;</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such junior debt; or</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payment of bankruptcy administrative expenses; or</w:t>
      </w:r>
    </w:p>
    <w:p>
      <w:pPr>
        <w:spacing w:after="0" w:line="103"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vote to accept any plan of reorganization or restructuring plan unless lenders collectively holding two-thirds of the aggregate outstanding amount of loans under the new credit facilities and the holders of the notes collectively holding two-thirds of the aggregate outstanding amount of the notes have voted to accept such plan.</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foregoing provisions shall not restrict the representative of any junior debt (and any junior debt holders) from, subject to the terms of the intercreditor agreement, voting unsecured claims based upon the indebtedness owed to them, or contesting any valuation of the collateral asserted for purposes of valuing the secured claims of the lenders under the new credit facilities and/or the note holders and/or any other senior debt holders and/or any junior debt holders (except that the representative of such junior debt and the junior debt holders shall not have the right to assert the lack of adequate protection of their liens as a basis for opposing relief sought in the bankruptcy that has been approved by the agent under the new credit facilities).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Waivers by Junior Debt Holders</w:t>
      </w:r>
    </w:p>
    <w:p>
      <w:pPr>
        <w:spacing w:after="0" w:line="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Under the intercreditor agreement, the junior debt holders waive certain rights generally afforded junior creditors relative to senior creditors under applicable law, including each of the following:</w:t>
      </w:r>
    </w:p>
    <w:p>
      <w:pPr>
        <w:spacing w:after="0" w:line="37" w:lineRule="exact"/>
        <w:rPr>
          <w:sz w:val="20"/>
          <w:szCs w:val="20"/>
          <w:color w:val="auto"/>
        </w:rPr>
      </w:pPr>
    </w:p>
    <w:p>
      <w:pPr>
        <w:ind w:left="900" w:hanging="446"/>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under equitable principles;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right to challenge the liens of the senior debt holders based upon any of the following:</w:t>
      </w:r>
    </w:p>
    <w:p>
      <w:pPr>
        <w:spacing w:after="0" w:line="103" w:lineRule="exact"/>
        <w:rPr>
          <w:rFonts w:ascii="Arial" w:cs="Arial" w:eastAsia="Arial" w:hAnsi="Arial"/>
          <w:sz w:val="18"/>
          <w:szCs w:val="18"/>
          <w:color w:val="auto"/>
        </w:rPr>
      </w:pPr>
    </w:p>
    <w:p>
      <w:pPr>
        <w:ind w:left="1360" w:right="20" w:hanging="555"/>
        <w:spacing w:after="0" w:line="268" w:lineRule="auto"/>
        <w:tabs>
          <w:tab w:leader="none" w:pos="13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disbursement of any funds under the new credit facilities, the indenture or any other senior debt agreement (even if conditions to any such advances have not been satisfied);</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 change in the dates or terms for payments under the new credit facilities, the indenture or any other senior debt agreement;</w:t>
      </w:r>
    </w:p>
    <w:p>
      <w:pPr>
        <w:spacing w:after="0" w:line="103" w:lineRule="exact"/>
        <w:rPr>
          <w:rFonts w:ascii="Arial" w:cs="Arial" w:eastAsia="Arial" w:hAnsi="Arial"/>
          <w:sz w:val="18"/>
          <w:szCs w:val="18"/>
          <w:color w:val="auto"/>
        </w:rPr>
      </w:pPr>
    </w:p>
    <w:p>
      <w:pPr>
        <w:ind w:left="1360" w:right="20" w:hanging="555"/>
        <w:spacing w:after="0" w:line="332" w:lineRule="auto"/>
        <w:tabs>
          <w:tab w:leader="none" w:pos="13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an increase or reduction in the amount of any available credit or an increase or reduction in the amount of principal obligations under the new credit facilities, the notes or any other senior debt agreement, or the interest, premium, fees or other amounts payable thereunder;</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320"/>
          </w:cols>
          <w:pgMar w:left="240" w:top="459" w:right="3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60" w:hanging="555"/>
        <w:spacing w:after="0"/>
        <w:tabs>
          <w:tab w:leader="none" w:pos="13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failure to take necessary or appropriate action to enforce or perfect any lien; or</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exercise of rights or remedies under any security documents with respect to the senior debt; and</w:t>
      </w:r>
    </w:p>
    <w:p>
      <w:pPr>
        <w:spacing w:after="0" w:line="103"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any claim arising out of any action or failure to act or any error of judgment or negligence on the part of the agent under the new credit facilities, the trustee or any representative of other senior debt, other than gross negligence or willful misconduct, to the maximum extent permitted by law.</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 Duty to Inform</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Each of the agent under the new credit facilities (on behalf of itself and the lenders), the trustee (on behalf of itself and the holders of the notes), the representative of any other senior debt (on behalf of itself and any other senior debt holders) and the representative of any junior debt (on behalf of itself and any junior debt holders) waive any claim that any other party to the intercreditor agreement has any duty to keep the other parties to the intercreditor agreement informed as to circumstances bearing upon the risk of nonpayment of the new credit facilities, the notes, any other senior debt or any junior debt.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of Liability</w:t>
      </w:r>
    </w:p>
    <w:p>
      <w:pPr>
        <w:spacing w:after="0" w:line="77"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representative of each class of senior debt and each class of junior debt (acting on their own behalf and on behalf of the holders of such debt) release each other such representative from all liability to the full extent permitted by law, except for fraud and willful misconduct. Each such representative (on its own behalf and on behalf of the holders of debt it represents) waives any and all duties and other obligations, including fiduciary duties, that may be owed to it by any other such representative, except as specifically set forth in the intercreditor agreement.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Intercreditor Agreement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Except as provided in the next sentence, any amendments to the intercreditor agreement shall require the consent of each party who, at the time of such amendment, is a party thereto. Notwithstanding the foregoing, the agent under the new credit facilities will also have the right, at any time when the amount outstanding under the new credit facilities equals or exceeds $100.0 million, to amend the intercreditor agreement without the consent of the trustee or the holders of the notes, so long as such amendment only affects the subordination provisions in respect of any junior debt but does not affect the provisions governing the relationship between the lenders under the new credit facilities and the holders of the notes.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Arrangements Also Applicable to Refinancing</w:t>
      </w:r>
    </w:p>
    <w:p>
      <w:pPr>
        <w:spacing w:after="0" w:line="7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intercreditor agreement provides that the intercreditor arrangements described above also shall apply to (i) any replacement debt arising as a consequence of refinancing of the new credit facilities or the notes, (ii) any additional senior debt permitted under the new credit facilities and the indenture governing the notes and (iii) any additional junior debt permitted under the new credit facilities and the indenture governing the notes.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existing United States federal income tax law, which is subject to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financial institutions, insurance companies, broker-dealers, tax-exempt organizations (including private foundations) and partnerships and their partners), or to persons that hold the old notes as part of a straddle, hedge, conversion, constructive sale, or other integrated security transaction for United States federal income tax purposes or that have a functional currency other than the United States dollar, all of whom may be subject to tax rules that differ significantly from those summarized below. In addition, this summary does not address any state, local, or non-United States tax considerations. Each prospective investor is urged to consult his tax advisor regarding the United States federal, state, local, and non-United States income and other tax considerations of the acquisition, ownership, and disposition of the new notes.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420" w:firstLine="456"/>
        <w:spacing w:after="0" w:line="302"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these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180 days after the consummation of the exchange offer, we will make this prospectus, as amended or</w:t>
      </w:r>
    </w:p>
    <w:p>
      <w:pPr>
        <w:spacing w:after="0" w:line="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supplemented, available to any broker-dealer for use in connection with any such resale. In addition, until , 2005, all dealers effecting transactions in the new notes may be required to deliver a prospectus.</w:t>
      </w:r>
    </w:p>
    <w:p>
      <w:pPr>
        <w:spacing w:after="0" w:line="12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w:t>
      </w:r>
    </w:p>
    <w:p>
      <w:pPr>
        <w:spacing w:after="0" w:line="37" w:lineRule="exact"/>
        <w:rPr>
          <w:sz w:val="20"/>
          <w:szCs w:val="20"/>
          <w:color w:val="auto"/>
        </w:rPr>
      </w:pPr>
    </w:p>
    <w:p>
      <w:pPr>
        <w:ind w:left="900" w:hanging="446"/>
        <w:spacing w:after="0"/>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103"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that resells new notes that were received by it for its own account pursuant to the exchange offer and any broker or dealer that participates in a distribution of new notes may be deemed to be an “underwriter” within the meaning of the Securities Act and any profit of any such resale of new notes and any commission or concessions received by any such persons may be deemed to be underwriting compensation under the Securities Act. Any broker-dealer that resells new notes that were received by it for its own account in the exchange offer and any broker-dealer that participates in a distribution of those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The letter of transmittal states that, by acknowledging that it will deliver and by delivering a prospectus, a broker-dealer will not be deemed to admit that it is an “underwriter” within the meaning of the Securities Act.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77" w:lineRule="exact"/>
        <w:rPr>
          <w:sz w:val="20"/>
          <w:szCs w:val="20"/>
          <w:color w:val="auto"/>
        </w:rPr>
      </w:pPr>
    </w:p>
    <w:p>
      <w:pPr>
        <w:ind w:left="900" w:right="40" w:hanging="446"/>
        <w:spacing w:after="0" w:line="325" w:lineRule="auto"/>
        <w:tabs>
          <w:tab w:leader="none" w:pos="90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may not rely on the applicable interpretation of the staff of the SEC’s position contained in Exxon Capital Holdings Corp., SEC no-action letter (April 13, 1988), Morgan, Stanley &amp; Co. Inc., SEC no-action letter (June 5, 1991) and Shearman &amp; Sterling, SEC no-action letter (July 2, 1993); and</w:t>
      </w:r>
    </w:p>
    <w:p>
      <w:pPr>
        <w:spacing w:after="0" w:line="1"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18"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For a period of 180 days after the expiration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Certain legal matters in connection with this exchange offer will be passed upon for us by Skadden, Arps, Slate, Meagher &amp; Flom LLP, Los Angeles, California. Certain matters of Nevada law will be passed upon for us by Schreck Brignone, Las Vegas, Nevada.</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consolidated financial statements of Wynn Las Vegas, LLC as of December 31, 2004 and 2003 and for each of the three years ended December 31, 2004, 2003 and 2002 and the period from inception to December 31, 2004 included in this prospectus, have been audited by Deloitte &amp; Touche LLP, an independent registered public accounting firm, as stated in their report appearing herein, and have been so included in reliance upon the report of such firm given upon their authority as experts in accounting and auditing.</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not currently subject to the periodic reporting and other informational requirements of the Exchange Act. The indenture governing the notes requires that we file reports under the Exchange Act with the SEC (unless the SEC will not accept such filings) and furnish information to the trustee and holders of the notes. See “Description of the New Notes—Certain Covenants—Reports.”</w:t>
      </w:r>
    </w:p>
    <w:p>
      <w:pPr>
        <w:spacing w:after="0" w:line="12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Upon the effectiveness of the registration statement, we will become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450 Fifth Street, N.W., Washington, D.C. 20549 and through the SEC’s Internet site at http://www.sec.gov. You may obtain information on the operation of the Public Reference Room by calling the SEC at 1-800-SEC-0330.</w:t>
      </w:r>
    </w:p>
    <w:p>
      <w:pPr>
        <w:spacing w:after="0" w:line="99"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Wynn Resorts, Limited, a Nevada corporation (“Wynn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340"/>
          </w:cols>
          <w:pgMar w:left="240" w:top="460" w:right="3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80" w:type="dxa"/>
            <w:vAlign w:val="bottom"/>
            <w:gridSpan w:val="7"/>
          </w:tcPr>
          <w:p>
            <w:pPr>
              <w:spacing w:after="0"/>
              <w:rPr>
                <w:sz w:val="20"/>
                <w:szCs w:val="20"/>
                <w:color w:val="auto"/>
              </w:rPr>
            </w:pPr>
            <w:r>
              <w:rPr>
                <w:rFonts w:ascii="Arial" w:cs="Arial" w:eastAsia="Arial" w:hAnsi="Arial"/>
                <w:sz w:val="18"/>
                <w:szCs w:val="18"/>
                <w:b w:val="1"/>
                <w:bCs w:val="1"/>
                <w:color w:val="auto"/>
              </w:rPr>
              <w:t>WYNN LAS VEGAS, LLC AND SUBSIDIARIES</w:t>
            </w:r>
          </w:p>
        </w:tc>
        <w:tc>
          <w:tcPr>
            <w:tcW w:w="6340" w:type="dxa"/>
            <w:vAlign w:val="bottom"/>
          </w:tcPr>
          <w:p>
            <w:pPr>
              <w:spacing w:after="0"/>
              <w:rPr>
                <w:sz w:val="19"/>
                <w:szCs w:val="19"/>
                <w:color w:val="auto"/>
              </w:rPr>
            </w:pPr>
          </w:p>
        </w:tc>
      </w:tr>
      <w:tr>
        <w:trPr>
          <w:trHeight w:val="326"/>
        </w:trPr>
        <w:tc>
          <w:tcPr>
            <w:tcW w:w="5080" w:type="dxa"/>
            <w:vAlign w:val="bottom"/>
            <w:gridSpan w:val="7"/>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Report of Independent Registered Public Accounting Firm</w:t>
              </w:r>
            </w:hyperlink>
          </w:p>
        </w:tc>
        <w:tc>
          <w:tcPr>
            <w:tcW w:w="6340" w:type="dxa"/>
            <w:vAlign w:val="bottom"/>
          </w:tcPr>
          <w:p>
            <w:pPr>
              <w:ind w:left="6100"/>
              <w:spacing w:after="0"/>
              <w:rPr>
                <w:sz w:val="20"/>
                <w:szCs w:val="20"/>
                <w:color w:val="auto"/>
              </w:rPr>
            </w:pPr>
            <w:r>
              <w:rPr>
                <w:rFonts w:ascii="Arial" w:cs="Arial" w:eastAsia="Arial" w:hAnsi="Arial"/>
                <w:sz w:val="18"/>
                <w:szCs w:val="18"/>
                <w:color w:val="auto"/>
                <w:w w:val="81"/>
              </w:rPr>
              <w:t>F-2</w:t>
            </w:r>
          </w:p>
        </w:tc>
      </w:tr>
      <w:tr>
        <w:trPr>
          <w:trHeight w:val="196"/>
        </w:trPr>
        <w:tc>
          <w:tcPr>
            <w:tcW w:w="41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Consolidated Balance Sheets</w:t>
              </w:r>
            </w:hyperlink>
          </w:p>
        </w:tc>
        <w:tc>
          <w:tcPr>
            <w:tcW w:w="960" w:type="dxa"/>
            <w:vAlign w:val="bottom"/>
            <w:gridSpan w:val="2"/>
          </w:tcPr>
          <w:p>
            <w:pPr>
              <w:spacing w:after="0"/>
              <w:rPr>
                <w:sz w:val="17"/>
                <w:szCs w:val="17"/>
                <w:color w:val="auto"/>
              </w:rPr>
            </w:pPr>
          </w:p>
        </w:tc>
        <w:tc>
          <w:tcPr>
            <w:tcW w:w="6340" w:type="dxa"/>
            <w:vAlign w:val="bottom"/>
          </w:tcPr>
          <w:p>
            <w:pPr>
              <w:ind w:left="6100"/>
              <w:spacing w:after="0" w:line="196" w:lineRule="exact"/>
              <w:rPr>
                <w:sz w:val="20"/>
                <w:szCs w:val="20"/>
                <w:color w:val="auto"/>
              </w:rPr>
            </w:pPr>
            <w:r>
              <w:rPr>
                <w:rFonts w:ascii="Arial" w:cs="Arial" w:eastAsia="Arial" w:hAnsi="Arial"/>
                <w:sz w:val="18"/>
                <w:szCs w:val="18"/>
                <w:color w:val="auto"/>
                <w:w w:val="81"/>
              </w:rPr>
              <w:t>F-3</w:t>
            </w:r>
          </w:p>
        </w:tc>
      </w:tr>
      <w:tr>
        <w:trPr>
          <w:trHeight w:val="20"/>
        </w:trPr>
        <w:tc>
          <w:tcPr>
            <w:tcW w:w="2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99">
              <w:r>
                <w:rPr>
                  <w:rFonts w:ascii="Arial" w:cs="Arial" w:eastAsia="Arial" w:hAnsi="Arial"/>
                  <w:sz w:val="18"/>
                  <w:szCs w:val="18"/>
                  <w:color w:val="0000EE"/>
                  <w:w w:val="87"/>
                </w:rPr>
                <w:t>Consolidated Statements of Operations and Comprehensive Loss</w:t>
              </w:r>
            </w:hyperlink>
          </w:p>
        </w:tc>
        <w:tc>
          <w:tcPr>
            <w:tcW w:w="500" w:type="dxa"/>
            <w:vAlign w:val="bottom"/>
          </w:tcPr>
          <w:p>
            <w:pPr>
              <w:spacing w:after="0"/>
              <w:rPr>
                <w:sz w:val="17"/>
                <w:szCs w:val="17"/>
                <w:color w:val="auto"/>
              </w:rPr>
            </w:pPr>
          </w:p>
        </w:tc>
        <w:tc>
          <w:tcPr>
            <w:tcW w:w="6340" w:type="dxa"/>
            <w:vAlign w:val="bottom"/>
          </w:tcPr>
          <w:p>
            <w:pPr>
              <w:ind w:left="610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32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00">
              <w:r>
                <w:rPr>
                  <w:rFonts w:ascii="Arial" w:cs="Arial" w:eastAsia="Arial" w:hAnsi="Arial"/>
                  <w:sz w:val="18"/>
                  <w:szCs w:val="18"/>
                  <w:color w:val="0000EE"/>
                  <w:w w:val="88"/>
                </w:rPr>
                <w:t>Consolidated Statements of Member’s Equity</w:t>
              </w:r>
            </w:hyperlink>
          </w:p>
        </w:tc>
        <w:tc>
          <w:tcPr>
            <w:tcW w:w="1860" w:type="dxa"/>
            <w:vAlign w:val="bottom"/>
            <w:gridSpan w:val="3"/>
          </w:tcPr>
          <w:p>
            <w:pPr>
              <w:spacing w:after="0"/>
              <w:rPr>
                <w:sz w:val="17"/>
                <w:szCs w:val="17"/>
                <w:color w:val="auto"/>
              </w:rPr>
            </w:pPr>
          </w:p>
        </w:tc>
        <w:tc>
          <w:tcPr>
            <w:tcW w:w="6340" w:type="dxa"/>
            <w:vAlign w:val="bottom"/>
          </w:tcPr>
          <w:p>
            <w:pPr>
              <w:ind w:left="610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5080" w:type="dxa"/>
            <w:vAlign w:val="bottom"/>
            <w:gridSpan w:val="7"/>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Consolidated Statements of Cash Flows</w:t>
              </w:r>
            </w:hyperlink>
          </w:p>
        </w:tc>
        <w:tc>
          <w:tcPr>
            <w:tcW w:w="6340" w:type="dxa"/>
            <w:vAlign w:val="bottom"/>
          </w:tcPr>
          <w:p>
            <w:pPr>
              <w:ind w:left="6100"/>
              <w:spacing w:after="0" w:line="196" w:lineRule="exact"/>
              <w:rPr>
                <w:sz w:val="20"/>
                <w:szCs w:val="20"/>
                <w:color w:val="auto"/>
              </w:rPr>
            </w:pPr>
            <w:r>
              <w:rPr>
                <w:rFonts w:ascii="Arial" w:cs="Arial" w:eastAsia="Arial" w:hAnsi="Arial"/>
                <w:sz w:val="18"/>
                <w:szCs w:val="18"/>
                <w:color w:val="auto"/>
                <w:w w:val="81"/>
              </w:rPr>
              <w:t>F-6</w:t>
            </w: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96"/>
        </w:trPr>
        <w:tc>
          <w:tcPr>
            <w:tcW w:w="5080" w:type="dxa"/>
            <w:vAlign w:val="bottom"/>
            <w:gridSpan w:val="7"/>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Notes to Consolidated Financial Statements</w:t>
              </w:r>
            </w:hyperlink>
          </w:p>
        </w:tc>
        <w:tc>
          <w:tcPr>
            <w:tcW w:w="6340" w:type="dxa"/>
            <w:vAlign w:val="bottom"/>
          </w:tcPr>
          <w:p>
            <w:pPr>
              <w:ind w:left="6100"/>
              <w:spacing w:after="0" w:line="196" w:lineRule="exact"/>
              <w:rPr>
                <w:sz w:val="20"/>
                <w:szCs w:val="20"/>
                <w:color w:val="auto"/>
              </w:rPr>
            </w:pPr>
            <w:r>
              <w:rPr>
                <w:rFonts w:ascii="Arial" w:cs="Arial" w:eastAsia="Arial" w:hAnsi="Arial"/>
                <w:sz w:val="18"/>
                <w:szCs w:val="18"/>
                <w:color w:val="auto"/>
                <w:w w:val="81"/>
              </w:rPr>
              <w:t>F-7</w:t>
            </w:r>
          </w:p>
        </w:tc>
      </w:tr>
      <w:tr>
        <w:trPr>
          <w:trHeight w:val="383"/>
        </w:trPr>
        <w:tc>
          <w:tcPr>
            <w:tcW w:w="20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40" w:type="dxa"/>
            <w:vAlign w:val="bottom"/>
          </w:tcPr>
          <w:p>
            <w:pPr>
              <w:ind w:left="52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Member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Wynn Las Vegas, LLC and subsidiaries (a development stage company) (the “Company”) as of December 31, 2004 and 2003, and the related consolidated statements of operations and comprehensive loss, member’s equity, and cash flows for each of the three years in the period ended December 31, 2004 and for the period from April 21, 2000 (date of inception) to December 31, 2004. These financial statements are the responsibility of the Company’s management. Our responsibility is to express an opinion on these financial statements based on our audits.</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Wynn Las Vegas, LLC and subsidiaries as of December 31, 2004 and 2003, and the results of their operations and their cash flows for each of the three years in the period ended December 31, 2004, and for the period from April 21, 2000 (date of inception) to December 31, 2004, in conformity with accounting principles generally accepted in the United States of America.</w:t>
      </w:r>
    </w:p>
    <w:p>
      <w:pPr>
        <w:spacing w:after="0" w:line="130"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2005</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59" w:right="3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vMerge w:val="restart"/>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25,691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663,289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297,829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1,854,882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62,370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2,788,101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1,209,183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and construction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15,888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122,274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1,336,175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19,558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542,107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1,511,434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1,452,550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Deficiency accumulated from inception during the development stage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(185,890)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1,276,667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2,788,101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1,209,183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40"/>
              <w:spacing w:after="0"/>
              <w:rPr>
                <w:sz w:val="20"/>
                <w:szCs w:val="20"/>
                <w:color w:val="auto"/>
              </w:rPr>
            </w:pPr>
            <w:r>
              <w:rPr>
                <w:rFonts w:ascii="Arial" w:cs="Arial" w:eastAsia="Arial" w:hAnsi="Arial"/>
                <w:sz w:val="18"/>
                <w:szCs w:val="18"/>
                <w:color w:val="auto"/>
                <w:w w:val="94"/>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20" w:type="dxa"/>
            <w:vAlign w:val="bottom"/>
          </w:tcPr>
          <w:p>
            <w:pPr>
              <w:ind w:left="5580"/>
              <w:spacing w:after="0"/>
              <w:rPr>
                <w:sz w:val="20"/>
                <w:szCs w:val="20"/>
                <w:color w:val="auto"/>
              </w:rPr>
            </w:pPr>
            <w:r>
              <w:rPr>
                <w:rFonts w:ascii="Arial" w:cs="Arial" w:eastAsia="Arial" w:hAnsi="Arial"/>
                <w:sz w:val="18"/>
                <w:szCs w:val="18"/>
                <w:color w:val="auto"/>
              </w:rPr>
              <w:t>F-3</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-4193540</wp:posOffset>
            </wp:positionV>
            <wp:extent cx="56134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-4193540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-4193540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-4193540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-557530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57023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3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1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2"/>
                <w:szCs w:val="12"/>
                <w:color w:val="auto"/>
              </w:rPr>
            </w:pPr>
          </w:p>
        </w:tc>
        <w:tc>
          <w:tcPr>
            <w:tcW w:w="11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41,073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16,437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18,981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(46,431)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(18,981)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(5,048)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4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(118,351)</w:t>
            </w:r>
          </w:p>
        </w:tc>
        <w:tc>
          <w:tcPr>
            <w:tcW w:w="1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(118,351)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(115,486)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(112,456)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(161,917)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(15,973)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(185,890)</w:t>
            </w:r>
          </w:p>
        </w:tc>
        <w:tc>
          <w:tcPr>
            <w:tcW w:w="0" w:type="dxa"/>
            <w:vAlign w:val="bottom"/>
          </w:tcPr>
          <w:p>
            <w:pPr>
              <w:spacing w:after="0"/>
              <w:rPr>
                <w:sz w:val="1"/>
                <w:szCs w:val="1"/>
                <w:color w:val="auto"/>
              </w:rPr>
            </w:pPr>
          </w:p>
        </w:tc>
      </w:tr>
      <w:tr>
        <w:trPr>
          <w:trHeight w:val="322"/>
        </w:trPr>
        <w:tc>
          <w:tcPr>
            <w:tcW w:w="6420" w:type="dxa"/>
            <w:vAlign w:val="bottom"/>
            <w:gridSpan w:val="2"/>
          </w:tcPr>
          <w:p>
            <w:pPr>
              <w:spacing w:after="0"/>
              <w:rPr>
                <w:sz w:val="20"/>
                <w:szCs w:val="20"/>
                <w:color w:val="auto"/>
              </w:rPr>
            </w:pPr>
            <w:r>
              <w:rPr>
                <w:rFonts w:ascii="Arial" w:cs="Arial" w:eastAsia="Arial" w:hAnsi="Arial"/>
                <w:sz w:val="18"/>
                <w:szCs w:val="18"/>
                <w:color w:val="auto"/>
              </w:rPr>
              <w:t>Change in fair value of interest rate swaps</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8,793</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(160,703)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(7,180)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(175,883)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228536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28536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 (DEFICIENCY)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inception</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2000</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430"/>
        </w:trPr>
        <w:tc>
          <w:tcPr>
            <w:tcW w:w="7060" w:type="dxa"/>
            <w:vAlign w:val="bottom"/>
            <w:gridSpan w:val="2"/>
          </w:tcPr>
          <w:p>
            <w:pPr>
              <w:spacing w:after="0"/>
              <w:rPr>
                <w:sz w:val="20"/>
                <w:szCs w:val="20"/>
                <w:color w:val="auto"/>
              </w:rPr>
            </w:pPr>
            <w:r>
              <w:rPr>
                <w:rFonts w:ascii="Arial" w:cs="Arial" w:eastAsia="Arial" w:hAnsi="Arial"/>
                <w:sz w:val="18"/>
                <w:szCs w:val="18"/>
                <w:color w:val="auto"/>
              </w:rPr>
              <w:t>Net loss accumulated during the development stage</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430"/>
        </w:trPr>
        <w:tc>
          <w:tcPr>
            <w:tcW w:w="706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237,075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229,075</w:t>
            </w:r>
          </w:p>
        </w:tc>
        <w:tc>
          <w:tcPr>
            <w:tcW w:w="0" w:type="dxa"/>
            <w:vAlign w:val="bottom"/>
          </w:tcPr>
          <w:p>
            <w:pPr>
              <w:spacing w:after="0"/>
              <w:rPr>
                <w:sz w:val="1"/>
                <w:szCs w:val="1"/>
                <w:color w:val="auto"/>
              </w:rPr>
            </w:pPr>
          </w:p>
        </w:tc>
      </w:tr>
      <w:tr>
        <w:trPr>
          <w:trHeight w:val="430"/>
        </w:trPr>
        <w:tc>
          <w:tcPr>
            <w:tcW w:w="7060" w:type="dxa"/>
            <w:vAlign w:val="bottom"/>
            <w:gridSpan w:val="2"/>
          </w:tcPr>
          <w:p>
            <w:pPr>
              <w:spacing w:after="0"/>
              <w:rPr>
                <w:sz w:val="20"/>
                <w:szCs w:val="20"/>
                <w:color w:val="auto"/>
              </w:rPr>
            </w:pPr>
            <w:r>
              <w:rPr>
                <w:rFonts w:ascii="Arial" w:cs="Arial" w:eastAsia="Arial" w:hAnsi="Arial"/>
                <w:sz w:val="18"/>
                <w:szCs w:val="18"/>
                <w:color w:val="auto"/>
              </w:rPr>
              <w:t>Change in the fair value of interest rate swaps</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8,793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221,895</w:t>
            </w:r>
          </w:p>
        </w:tc>
        <w:tc>
          <w:tcPr>
            <w:tcW w:w="0" w:type="dxa"/>
            <w:vAlign w:val="bottom"/>
          </w:tcPr>
          <w:p>
            <w:pPr>
              <w:spacing w:after="0"/>
              <w:rPr>
                <w:sz w:val="1"/>
                <w:szCs w:val="1"/>
                <w:color w:val="auto"/>
              </w:rPr>
            </w:pPr>
          </w:p>
        </w:tc>
      </w:tr>
      <w:tr>
        <w:trPr>
          <w:trHeight w:val="430"/>
        </w:trPr>
        <w:tc>
          <w:tcPr>
            <w:tcW w:w="706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1,215,475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Change in the fair value of interest rate swaps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(161,917)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1,276,667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-27305</wp:posOffset>
            </wp:positionV>
            <wp:extent cx="57023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3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13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4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(161,917)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(15,973)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(4,833)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(185,890)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accumulated during the development stage to</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OID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12,507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21,480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11,505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(88,328)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(2,098)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(954,370)</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(409,014)</w:t>
            </w: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(66,004)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(1,429,393)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(422,449)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436,588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(792,229)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(36,249)</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(4,339)</w:t>
            </w: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(10,402)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33,268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(1,193,063)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12,833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(557,356)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(1,734,476)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237,075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(888,753)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1,817,459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381,334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2,198,793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(39,858)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(61,735)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1,288,848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556,674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1,845,522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10,735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7,499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7,499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18,234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contributions and transfers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152,374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860</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2,142</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to affiliates contributed by parent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814,745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Change in fair value of interest rate swaps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1,214</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8,793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-923290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-923290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-923290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-923290</wp:posOffset>
            </wp:positionV>
            <wp:extent cx="53594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-923290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-923290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-923290</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-923290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-923290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-923290</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Wynn Las Vegas, LLC was formed on April 17, 2001 as a Nevada limited liability company. Originally named Hotel A, LLC its name was changed to Wynn Las Vegas, LLC on May 15, 2002. Unless the context otherwise requires, all references herein to the “Company,” refer to Wynn Las Vegas, LLC, a Nevada corporation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$2.7 billion destination resort and casino on the site of the former Desert Inn Resort and Casino (the “Desert Inn”) on “the Strip” in Las Vegas, Nevada, which will open to the public on April 28, 2005.</w:t>
      </w:r>
    </w:p>
    <w:p>
      <w:pPr>
        <w:spacing w:after="0" w:line="10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2004, the Company owned the one share that was issued and outstanding. At and for the period from its inception through December 31, 2004, Wynn Capital has neither any significant net assets nor any operating activity. Its sole function is to serve as the co-issuer of the mortgage notes described below. Wynn Las Vegas, LLC and Wynn Capital together are hereinafter referred to as the “Issuers”.</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October 25, 2002, Wynn Resorts completed the initial public offering of approximately $450.0 million of its common stock (before underwriting discounts and commissions), the Issuers concurrently issued $370.0 million aggregate principal amount of 12% second mortgage notes due 2010 (the “Second Mortgage Notes”) and the Company obtained commitments for approximately $1.2 billion of various credit facilities. Capital contributions from Wynn Resorts, the proceeds of the Second Mortgage Notes and a portion of the credit facilities were used to fund construction of Wynn Las Vegas. Also in October 2002, Valvino Lamore, LLC, Wynn Resorts’ predecessor (“Valvino”) transferred certain of its assets directly to the Company, including its 100% equity interests in both World Travel, LLC (“World Travel”) and Las Vegas Jet, LLC (“Las Vegas Jet”), companies which own and operate, respectively, the Company’s aircraft.</w:t>
      </w:r>
    </w:p>
    <w:p>
      <w:pPr>
        <w:spacing w:after="0" w:line="107" w:lineRule="exact"/>
        <w:rPr>
          <w:sz w:val="20"/>
          <w:szCs w:val="20"/>
          <w:color w:val="auto"/>
        </w:rPr>
      </w:pPr>
    </w:p>
    <w:p>
      <w:pPr>
        <w:ind w:right="240" w:firstLine="456"/>
        <w:spacing w:after="0" w:line="278" w:lineRule="auto"/>
        <w:rPr>
          <w:sz w:val="20"/>
          <w:szCs w:val="20"/>
          <w:color w:val="auto"/>
        </w:rPr>
      </w:pPr>
      <w:r>
        <w:rPr>
          <w:rFonts w:ascii="Arial" w:cs="Arial" w:eastAsia="Arial" w:hAnsi="Arial"/>
          <w:sz w:val="16"/>
          <w:szCs w:val="16"/>
          <w:color w:val="auto"/>
        </w:rPr>
        <w:t xml:space="preserve">On December 14, 2004, the Company effected a series of transactions to refinance its debt and to facilitate the development of a second casino resort known as “Encore at Wynn Las Vegas” on land adjacent to Wynn Las Vegas. These transactions included, among other things, issuance by the Issuers of $1.3 billion of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(the “First Mortgage Notes”), a tender offer for all of the outstanding Second Mortgage Notes, satisfaction and discharge of the remaining Second Mortgage Notes, and replacement of the Company’s previous credit facilities with new credit facilities.</w:t>
      </w:r>
    </w:p>
    <w:p>
      <w:pPr>
        <w:spacing w:after="0" w:line="101" w:lineRule="exact"/>
        <w:rPr>
          <w:sz w:val="20"/>
          <w:szCs w:val="20"/>
          <w:color w:val="auto"/>
        </w:rPr>
      </w:pPr>
    </w:p>
    <w:p>
      <w:pPr>
        <w:ind w:right="7940" w:firstLine="8"/>
        <w:spacing w:after="0" w:line="332" w:lineRule="auto"/>
        <w:tabs>
          <w:tab w:leader="none" w:pos="176"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Development Stage Risk Factors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 development stage company, the Company has risks that may impact its ability to become an operating enterprise or to remain in existence. The Company is subject to many rules and regulations in the development and construction phases and in operating casino gaming facilities, including but not limited to maintaining compliance with debt covenants, receiving the appropriate permits for particular construction activities, securing state and local gaming licenses for the ownership and operation of Wynn Las Vegas and maintaining ongoing suitability requirements in Nevada. Completion and opening of Wynn Las Vegas is dependent upon compliance with these rules and regulations.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77"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accounts and transactions have been eliminated.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Certain amounts in the December 31, 2003 and 2002 consolidated financial statements have been reclassified to conform to the December 31, 2004 presentation.</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During 2004, the Company recorded the amounts charged to affiliates and amounts reimbursed by executive officers of the company for use of the corporate aircraft in preopening expenses as a reduction of the cost of operating the aircraft. Previously, such amounts had been recorded as revenues in the Company’s statements of operations and comprehensive loss. Approximately $2.5 million, $2.7 million and $7.7 million for the 2003 and 2002 fiscal years and the period from inception to December 31, 2004, respectively were reclassified from revenues to preopening expenses to conform to the 2004 presentation.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reclassifications had no effect on the previously reported net loss accumulated during the development stage.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purchase maturity of three months or less. Cash equivalents are carried at cost, which approximates fair value.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Investments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Restricted cash and investments consist of certificates of deposits to collateralize certain construction insurance claims, cash deposits for certain required sales taxes, and certain of the proceeds of the Company’s financing activities invested in approved money market funds or government-backed treasury notes and interest-only strips. Certain of these funds are restricted by the agreements governing the Company’s debt instruments for the payment of certain construction and development costs relating to Wynn Las Vegas. Amounts classified as current are equal to current construction payables and other accruals also classified as current.</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classifies its marketable securities in one of three categories: held-to-maturity, trading or available-for-sale, in accordance with SFAS No. 115, “Accounting for Certain Investments in Debt and Equity Securities.” In accordance with SFAS No. 115, held-to-maturity securities are those securities for which a company has the ability and intent to hold until maturity. Trading securities are those bought and held principally for the purpose of selling them in the near term. All other securities are classified as available-for-sale. The Company’s marketable securities of $763.2 million and $340.4 million as of December 31, 2004 and 2003, respectively, are classified as held-to-maturity. Accordingly, these securities are recorded at cost, adjusted for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amortization of premiums or accretion of discounts. The carrying value of these marketable securities approximates fair value due to their relatively short-term maturities and market rates of interest.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Restricted cash and investments at December 31, 2004 and 2003 also include approximately $0 and $2.6 million, respectively of accrued interest receivable on the marketable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40" w:type="dxa"/>
            <w:vAlign w:val="bottom"/>
          </w:tcPr>
          <w:p>
            <w:pPr>
              <w:jc w:val="right"/>
              <w:spacing w:after="0"/>
              <w:rPr>
                <w:sz w:val="20"/>
                <w:szCs w:val="20"/>
                <w:color w:val="auto"/>
              </w:rPr>
            </w:pPr>
            <w:r>
              <w:rPr>
                <w:rFonts w:ascii="Arial" w:cs="Arial" w:eastAsia="Arial" w:hAnsi="Arial"/>
                <w:sz w:val="18"/>
                <w:szCs w:val="18"/>
                <w:color w:val="auto"/>
              </w:rPr>
              <w:t>1 to 3 years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Parking garage</w:t>
            </w:r>
          </w:p>
        </w:tc>
        <w:tc>
          <w:tcPr>
            <w:tcW w:w="384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Airplanes</w:t>
            </w:r>
          </w:p>
        </w:tc>
        <w:tc>
          <w:tcPr>
            <w:tcW w:w="3840" w:type="dxa"/>
            <w:vAlign w:val="bottom"/>
          </w:tcPr>
          <w:p>
            <w:pPr>
              <w:jc w:val="right"/>
              <w:spacing w:after="0"/>
              <w:rPr>
                <w:sz w:val="20"/>
                <w:szCs w:val="20"/>
                <w:color w:val="auto"/>
              </w:rPr>
            </w:pPr>
            <w:r>
              <w:rPr>
                <w:rFonts w:ascii="Arial" w:cs="Arial" w:eastAsia="Arial" w:hAnsi="Arial"/>
                <w:sz w:val="18"/>
                <w:szCs w:val="18"/>
                <w:color w:val="auto"/>
              </w:rPr>
              <w:t>7 to 20 years</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40" w:type="dxa"/>
            <w:vAlign w:val="bottom"/>
          </w:tcPr>
          <w:p>
            <w:pPr>
              <w:jc w:val="right"/>
              <w:spacing w:after="0"/>
              <w:rPr>
                <w:sz w:val="20"/>
                <w:szCs w:val="20"/>
                <w:color w:val="auto"/>
              </w:rPr>
            </w:pPr>
            <w:r>
              <w:rPr>
                <w:rFonts w:ascii="Arial" w:cs="Arial" w:eastAsia="Arial" w:hAnsi="Arial"/>
                <w:sz w:val="18"/>
                <w:szCs w:val="18"/>
                <w:color w:val="auto"/>
              </w:rPr>
              <w:t>5 to 20 years</w:t>
            </w:r>
          </w:p>
        </w:tc>
      </w:tr>
    </w:tbl>
    <w:p>
      <w:pPr>
        <w:spacing w:after="0" w:line="14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 The design and development costs for Wynn Las Vegas are capitalized and depreciation has not yet commenced.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capitalizes interest costs associated with debt incurred in connection with its major construction projects. Interest capitalization will cease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$115.0 million, $87.3 million, $13.5 and $222.1 million was capitalized for the years ended December 31, 2004, 2003 and 2002, for the period from inception to December 31, 2004,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 and Water Rights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recorded its trademarks at cost and the water rights acquired as part of the overall purchase price of the Desert Inn, at appraised value. Radio frequencies, which are included in other assets, are recorded at cost. These intangible assets have indefinite useful lives, and accordingly, are not amortized, but are periodically reviewed for impairment.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Direct and incremental costs incurred in obtaining loans or in connection with the issuance of long-term debt are capitalized and amortized to interest over the terms of the related debt agreements. Approximately $8.9 million, $9.2 million, $1.6 million and $21.2 million was amortized to interest during the years ended December 31, 2004, 2003 and 2002, and for the period from inception to December 31, 2004, respectively.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deferred financing costs recognized at December 31, 2004, the Company expects approximately $7.9 million, $7.8 million, $7.7 million, $2.8 million and $2.7 million will be amortized to interest during 2005, 2006, 2007 through 2011, 2012 and 2013, and 2014,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deferred financing costs as of December 31, 2004 and 2003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Wynn</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1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Second</w:t>
            </w:r>
          </w:p>
        </w:tc>
        <w:tc>
          <w:tcPr>
            <w:tcW w:w="6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Las Vegas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First</w:t>
            </w: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Deferred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Mortgage</w:t>
            </w:r>
          </w:p>
        </w:tc>
        <w:tc>
          <w:tcPr>
            <w:tcW w:w="100" w:type="dxa"/>
            <w:vAlign w:val="bottom"/>
          </w:tcPr>
          <w:p>
            <w:pPr>
              <w:spacing w:after="0"/>
              <w:rPr>
                <w:sz w:val="12"/>
                <w:szCs w:val="12"/>
                <w:color w:val="auto"/>
              </w:rPr>
            </w:pPr>
          </w:p>
        </w:tc>
        <w:tc>
          <w:tcPr>
            <w:tcW w:w="5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Credit</w:t>
            </w:r>
          </w:p>
        </w:tc>
        <w:tc>
          <w:tcPr>
            <w:tcW w:w="480" w:type="dxa"/>
            <w:vAlign w:val="bottom"/>
          </w:tcPr>
          <w:p>
            <w:pPr>
              <w:spacing w:after="0"/>
              <w:rPr>
                <w:sz w:val="12"/>
                <w:szCs w:val="12"/>
                <w:color w:val="auto"/>
              </w:rPr>
            </w:pPr>
          </w:p>
        </w:tc>
        <w:tc>
          <w:tcPr>
            <w:tcW w:w="10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FF&amp;E</w:t>
            </w:r>
          </w:p>
        </w:tc>
        <w:tc>
          <w:tcPr>
            <w:tcW w:w="1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Mortgage</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Financing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2"/>
              </w:rPr>
              <w:t>Notes</w:t>
            </w:r>
          </w:p>
        </w:tc>
        <w:tc>
          <w:tcPr>
            <w:tcW w:w="6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Facilities</w:t>
            </w:r>
          </w:p>
        </w:tc>
        <w:tc>
          <w:tcPr>
            <w:tcW w:w="480" w:type="dxa"/>
            <w:vAlign w:val="bottom"/>
          </w:tcPr>
          <w:p>
            <w:pPr>
              <w:spacing w:after="0"/>
              <w:rPr>
                <w:sz w:val="15"/>
                <w:szCs w:val="15"/>
                <w:color w:val="auto"/>
              </w:rPr>
            </w:pPr>
          </w:p>
        </w:tc>
        <w:tc>
          <w:tcPr>
            <w:tcW w:w="10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Facility</w:t>
            </w:r>
          </w:p>
        </w:tc>
        <w:tc>
          <w:tcPr>
            <w:tcW w:w="12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5"/>
                <w:szCs w:val="15"/>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Costs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 amounts in millions)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400" w:type="dxa"/>
            <w:vAlign w:val="bottom"/>
            <w:gridSpan w:val="2"/>
          </w:tcPr>
          <w:p>
            <w:pPr>
              <w:spacing w:after="0"/>
              <w:rPr>
                <w:sz w:val="20"/>
                <w:szCs w:val="20"/>
                <w:color w:val="auto"/>
              </w:rPr>
            </w:pPr>
            <w:r>
              <w:rPr>
                <w:rFonts w:ascii="Arial" w:cs="Arial" w:eastAsia="Arial" w:hAnsi="Arial"/>
                <w:sz w:val="18"/>
                <w:szCs w:val="18"/>
                <w:color w:val="auto"/>
              </w:rPr>
              <w:t>Add: 2003 Financing costs</w:t>
            </w:r>
          </w:p>
        </w:tc>
        <w:tc>
          <w:tcPr>
            <w:tcW w:w="100" w:type="dxa"/>
            <w:vAlign w:val="bottom"/>
          </w:tcPr>
          <w:p>
            <w:pPr>
              <w:spacing w:after="0"/>
              <w:rPr>
                <w:sz w:val="24"/>
                <w:szCs w:val="24"/>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2003 Amortization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14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400" w:type="dxa"/>
            <w:vAlign w:val="bottom"/>
            <w:gridSpan w:val="2"/>
          </w:tcPr>
          <w:p>
            <w:pPr>
              <w:spacing w:after="0"/>
              <w:rPr>
                <w:sz w:val="20"/>
                <w:szCs w:val="20"/>
                <w:color w:val="auto"/>
              </w:rPr>
            </w:pPr>
            <w:r>
              <w:rPr>
                <w:rFonts w:ascii="Arial" w:cs="Arial" w:eastAsia="Arial" w:hAnsi="Arial"/>
                <w:sz w:val="18"/>
                <w:szCs w:val="18"/>
                <w:color w:val="auto"/>
              </w:rPr>
              <w:t>Add: 2004 Financing costs</w:t>
            </w:r>
          </w:p>
        </w:tc>
        <w:tc>
          <w:tcPr>
            <w:tcW w:w="100" w:type="dxa"/>
            <w:vAlign w:val="bottom"/>
          </w:tcPr>
          <w:p>
            <w:pPr>
              <w:spacing w:after="0"/>
              <w:rPr>
                <w:sz w:val="24"/>
                <w:szCs w:val="24"/>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2004 writeoffs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4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2004 Amortization</w:t>
            </w:r>
          </w:p>
        </w:tc>
        <w:tc>
          <w:tcPr>
            <w:tcW w:w="10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c>
          <w:tcPr>
            <w:tcW w:w="1480" w:type="dxa"/>
            <w:vAlign w:val="bottom"/>
            <w:gridSpan w:val="4"/>
          </w:tcPr>
          <w:p>
            <w:pPr>
              <w:jc w:val="right"/>
              <w:ind w:right="5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6"/>
              </w:rPr>
              <w:t>$ —</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39878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31305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3898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amortization amounted to $19.8 million and $12.3 million as of December 31, 2004 and 2003,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As of December 31, 2004 and 2003, management does not believe any assets have been impaired. For assets to be held and used, we review fixed assets for impairment whenever indicators of impairment exist. If an indicator of impairment exists,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measured based on fair value compared to carrying value, with fair value typically based on a discounted cash flow model. If an asset is still under development, future cash flows include remaining construction costs.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and the use of derivative financial instruments. The Company accounts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Pre-opening costs, consisting primarily of salaries and wages, legal and consulting fees, insurance, and utilities and travel,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Incidental Operations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accordance with SFAS No. 67, “Accounting for Costs and Initial Rental Operations of Real Estate Projects,” the golf course and related operations are being accounted for as incidental operations. Under this method, incidental operations with a net income are excluded from the operating results and the net income is recorded as a reduction in the carrying value of land. Incidental operations with a net loss are stated separately on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jc w:val="both"/>
        <w:ind w:right="640" w:firstLine="456"/>
        <w:spacing w:after="0" w:line="370" w:lineRule="auto"/>
        <w:rPr>
          <w:sz w:val="20"/>
          <w:szCs w:val="20"/>
          <w:color w:val="auto"/>
        </w:rPr>
      </w:pPr>
      <w:r>
        <w:rPr>
          <w:rFonts w:ascii="Arial" w:cs="Arial" w:eastAsia="Arial" w:hAnsi="Arial"/>
          <w:sz w:val="15"/>
          <w:szCs w:val="15"/>
          <w:color w:val="auto"/>
        </w:rPr>
        <w:t>The Company reports its operations on the consolidated tax return of Wynn Resorts. As a limited liability company, the Company is classified as a partnership for federal income tax purposes. Accordingly, no provision has been made for federal income taxes as such taxes are liabilities of its member.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Comprehensive income (loss) is a broad concept of an enterprise’s financial performance that includes all changes in equity during a period that arise from transactions and economic events from nonowner sources. Comprehensive income (loss) is net income (loss) plus “other comprehensive income (loss),” which consists of revenues, expenses, gains and losses that do not affect net income under accounting principles generally accepted in the United States of America. Other comprehensive income (loss) for the Company reflects the change in the fair value of interest rate swaps while the accumulated other comprehensive income reflected on the balance sheet consists of the cumulative adjustment to the fair value of the Company’s interest rate swaps.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Equity Instruments Issued to Employees and Consultants of the Company</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applies the provisions of Emerging Issues Task Force (“EITF”) 00-23, “Options Granted to Employees of Entities under Common Control” and records the cost of equity instruments granted by Wynn Resorts to employees of the Company in the Company’s consolidated financial statements as a capital contribution. See footnote 7 for further discussion on Wynn Resorts’ stock-based compensation plans.</w:t>
      </w:r>
    </w:p>
    <w:p>
      <w:pPr>
        <w:spacing w:after="0" w:line="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permitted by SFAS No. 148, “Accounting for Stock-Based Compensation—Transition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fair-value recognition provisions of SFAS No. 123 to stock-based employee compensation (amounts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3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 w:type="dxa"/>
            <w:vAlign w:val="bottom"/>
          </w:tcPr>
          <w:p>
            <w:pPr>
              <w:spacing w:after="0"/>
              <w:rPr>
                <w:sz w:val="4"/>
                <w:szCs w:val="4"/>
                <w:color w:val="auto"/>
              </w:rPr>
            </w:pPr>
          </w:p>
        </w:tc>
        <w:tc>
          <w:tcPr>
            <w:tcW w:w="3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w w:val="92"/>
              </w:rPr>
              <w:t>Inception Through</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740" w:type="dxa"/>
            <w:vAlign w:val="bottom"/>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7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3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0" w:type="dxa"/>
            <w:vAlign w:val="bottom"/>
          </w:tcPr>
          <w:p>
            <w:pPr>
              <w:spacing w:after="0"/>
              <w:rPr>
                <w:sz w:val="8"/>
                <w:szCs w:val="8"/>
                <w:color w:val="auto"/>
              </w:rPr>
            </w:pPr>
          </w:p>
        </w:tc>
        <w:tc>
          <w:tcPr>
            <w:tcW w:w="3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 as reported</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$(161,917)</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2"/>
              </w:rPr>
              <w:t>$ (15,973)</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9"/>
              </w:rPr>
              <w:t>$(4,833)</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(185,890)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w w:val="93"/>
              </w:rPr>
              <w:t>Less: total stock-based employee compensation expenses determined under the fair-</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640"/>
              <w:spacing w:after="0"/>
              <w:rPr>
                <w:sz w:val="20"/>
                <w:szCs w:val="20"/>
                <w:color w:val="auto"/>
              </w:rPr>
            </w:pPr>
            <w:r>
              <w:rPr>
                <w:rFonts w:ascii="Arial" w:cs="Arial" w:eastAsia="Arial" w:hAnsi="Arial"/>
                <w:sz w:val="18"/>
                <w:szCs w:val="18"/>
                <w:color w:val="auto"/>
              </w:rPr>
              <w:t>value based method for all awards</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(1,750)</w:t>
            </w: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(997)</w:t>
            </w: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(8)</w:t>
            </w:r>
          </w:p>
        </w:tc>
        <w:tc>
          <w:tcPr>
            <w:tcW w:w="130" w:type="dxa"/>
            <w:vAlign w:val="bottom"/>
          </w:tcPr>
          <w:p>
            <w:pPr>
              <w:spacing w:after="0"/>
              <w:rPr>
                <w:sz w:val="19"/>
                <w:szCs w:val="19"/>
                <w:color w:val="auto"/>
              </w:rPr>
            </w:pPr>
          </w:p>
        </w:tc>
        <w:tc>
          <w:tcPr>
            <w:tcW w:w="1030" w:type="dxa"/>
            <w:vAlign w:val="bottom"/>
            <w:gridSpan w:val="3"/>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3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0" w:type="dxa"/>
            <w:vAlign w:val="bottom"/>
          </w:tcPr>
          <w:p>
            <w:pPr>
              <w:spacing w:after="0"/>
              <w:rPr>
                <w:sz w:val="8"/>
                <w:szCs w:val="8"/>
                <w:color w:val="auto"/>
              </w:rPr>
            </w:pPr>
          </w:p>
        </w:tc>
        <w:tc>
          <w:tcPr>
            <w:tcW w:w="3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$(163,667)</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2"/>
              </w:rPr>
              <w:t>$ (16,970)</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9"/>
              </w:rPr>
              <w:t>$(4,841)</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(188,645)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3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800" w:type="dxa"/>
            <w:vAlign w:val="bottom"/>
          </w:tcPr>
          <w:p>
            <w:pPr>
              <w:ind w:left="5540"/>
              <w:spacing w:after="0"/>
              <w:rPr>
                <w:sz w:val="20"/>
                <w:szCs w:val="20"/>
                <w:color w:val="auto"/>
              </w:rPr>
            </w:pPr>
            <w:r>
              <w:rPr>
                <w:rFonts w:ascii="Arial" w:cs="Arial" w:eastAsia="Arial" w:hAnsi="Arial"/>
                <w:sz w:val="18"/>
                <w:szCs w:val="18"/>
                <w:color w:val="auto"/>
              </w:rPr>
              <w:t>F-11</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-325755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-325755</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149606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9606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Instruments Issued to Consultants and Vendors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the provisions of Emerging Issues Task Force (“EITF”) 96-18, “Accounting for Equity Instruments That are Issued to Other Than Employees for Acquiring, or in Conjunction with Selling, Goods or Services” and EITF 00-18, “Accounting Recognition for Certain Transactions Involving Equity Instruments Granted to Other Than Employees.”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October 21, 2002, the Company entered into an amended production services agreement with the executive producer of the water-based live theatrical attraction (the “Show”) which will commence in the Wynn Theater upon the opening of Wynn Las Vegas. As additional compensation for the production services to be rendered, Wynn Resorts granted 189,723 restricted shares of Common Stock to the executive producer, which will fully vest on June 30, 2006, provided that a complete run of the Show at Wynn Las Vegas has commenced and not been discontinued. As a result of performance-based vesting conditions, the grant has no effect on the Company’s financial position or results of operations until such time as the performance conditions have been satisfied.</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May 4, 2004, Wynn Resorts granted 25,000 nonqualified stock options to a consultant to assist in the development and initial operation of the Wynn Las Vegas lake-mountain feature through May 31, 2005. These options vest 25% per year, with the first portion vesting in May 2005. In accordance with the above policy, the measurement date is the date performance is complete and the mark-to-market fair value of the options is recognized as compensation cost amortized over the service period. This cost is capitalized to the cost of the Wynn Las Vegas project. As of December 31, 2004, approximately $594,000 has been recognized in construction in progress to reflect the value of the services rendered as of that date.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December 2004, the FASB issued SFAS No. 123(R), “Share Based Payment.” This statement is a revision of SFAS No. 123, “Accounting for Stock-Based Compensation” and supercedes APB Opinion No. 25, “Accounting for Stock Issued to Employees” and related interpretations. This statement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This statement is effective for the first interim or annual period beginning after June 15, 2005. Accordingly, the Company will adopt its provisions effective July 1, 2005. The Company has not yet determined the impact that adoption of this statement will have on its consolidated financial position or results of operations.</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December 2004, the FASB issued SFAS No. 151, “Inventory Costs, an amendment of ARB No. 43, Chapter 4.” This statement amends the guidance in ARB No. 43, Chapter 4, “Inventory Pricing” to clarify the accounting for abnormal amounts of idle facility expense, freight, handling costs, and waster material (spoilage). Paragraph 5 of ARB 43, Chapter 4, previously stated that “...under some circumstances, items such as idle facility expense, excessive spoilage, double freight, and rehandling costs may be so abnormal as to require treatment as current period charges....” This statement requires that those items be recognized as current-period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charges regardless of whether they meet the criterion of “so abnormal.” In addition, this statement requires that allocation of the fixed production overheads to the costs of conversion be based on the normal capacity of the production facilities. This statement is effective for fiscal years beginning after June 15, 2005. Accordingly, the Company will adopt its provisions effective January 1, 2006. The Company does not anticipate that adoption of this statement will have a material impact on its consolidated financial position or results of operations.</w:t>
      </w:r>
    </w:p>
    <w:p>
      <w:pPr>
        <w:spacing w:after="0" w:line="13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2004, the FASB issued SFAS No. 153, “Exchanges of Nonmonetary Assets, an amendment of APB Opinion No. 29.” The guidance in APB Opinion No. 29, “Accounting for Nonmonetary Transactions</w:t>
      </w:r>
      <w:r>
        <w:rPr>
          <w:rFonts w:ascii="Arial" w:cs="Arial" w:eastAsia="Arial" w:hAnsi="Arial"/>
          <w:sz w:val="16"/>
          <w:szCs w:val="16"/>
          <w:i w:val="1"/>
          <w:iCs w:val="1"/>
          <w:color w:val="auto"/>
        </w:rPr>
        <w:t>,</w:t>
      </w:r>
      <w:r>
        <w:rPr>
          <w:rFonts w:ascii="Arial" w:cs="Arial" w:eastAsia="Arial" w:hAnsi="Arial"/>
          <w:sz w:val="16"/>
          <w:szCs w:val="16"/>
          <w:color w:val="auto"/>
        </w:rPr>
        <w:t>”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This statement is effective for nonmonetary asset exchanges occurring in fiscal periods beginning after June 15, 2005. Accordingly, the Company will adopt its provisions for the fiscal quarter beginning July 1, 2005. The Company has not yet determined the impact that adoption of this statement will have on its consolidated financial position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8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periodically incurs costs on behalf of Stephen A. Wynn, Wynn Resorts’ Chairman of the Board, Chief Executive Officer and one of its principal stockholders (“Mr. Wynn”) and other executive officers of Wynn Resorts, including costs with respect to their personal use of corporate aircraft. Mr. Wynn and these other officers have amounts on deposit to prepay any such items. These deposits are replenished on an ongoing basis as needed.</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6, 2004, Holdings entered into agreements with Mr. Wynn that confirm and clarify the Company’s rights to use the “Wynn” name and Mr. Wynn’s persona in connection with its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7"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On December 29, 2004, the Company entered into an agreement with Mr. Wynn for the lease of a villa suite in the Wynn Las Vegas resort to Mr. and Mrs. Wynn as their personal residence. The agreement becomes effective on the earlier of the date that Mr. and Mrs. Wynn first occupy the suite or the initial opening of Wynn Las Vegas to the public. The term of the agreement continues from year to year unless terminated on at least 90 days’ written notice prior to the end of any lease year, or upon the death of Mr. Wynn. Rent will be determined each year by the Audit Committee of the Board of Directors of Wynn Resorts (the “Audit Committee”), and will be based on the fair market value of the use of the suite accommodations. The Audit Committee has determined, based on a third-party appraisal, that the rental for the first lease year will be $580,000. All services for, and maintenance of, the suite are included in the rental, with certain exceptions.</w:t>
      </w:r>
    </w:p>
    <w:p>
      <w:pPr>
        <w:spacing w:after="0" w:line="9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the period from inception through December 31, 2004, the accompanying statements of operations include allocations from Valvino or Wynn Resorts, its successor, for legal, accounting, human resource,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information services, real estate, or other corporate support services. The corporate support service allocations have been determined on a basis that Wynn Resorts or Valvino and the Company consider to be reasonable estimates of the utilization of service provided or the benefit received by the Company. The allocation methods include specific identification, relative cost, square footage and headcount. Allocated costs are reflected in pre-opening costs and amounted to approximately $80,000, $120,000, $239,000 and $635,000 for the years ended December 31, 2004, 2003, 2002 and for the period from inception to December 31, 2004, respectively. During 2004, 2003, 2002 and for the period from inception to December 31, 2004, the Company also transferred the salary cost of an officer dedicated to Wynn Resorts’ development opportunity in the Macau Special Administrative Region of the People’s Republic of China amounting to approximately $0, $312,000, $153,000 and $465,000, for the years ended December 31, 2004, 2003, 2002 and for the period from inception to December 31, 2004, respectively, to an affiliate. Given the development stage nature of the Company’s operations for the periods presented, management does not believe it is practicable to estimate the cost that would have been incurred if the Company had operated as a stand-alone entity.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December 31, 2004 and 2003 consist of the following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Parking garage</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1,448,328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565,230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1,858,522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767,168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(3,640)</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1,854,882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$763,254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45847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25"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 connection with the December 2004 refinancing of the Company’s debt and associated corporate simplification restructuring, the Company received land, a parking garage and furniture, fixtures and equipment with a net book value of approximately $145.1 million, $885,000 and $235,000 from Valvino and other affiliates. These assets were transferred at their carrying value.</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2004, the Company purchased a corporate aircraft for approximately $43.5 million and incurred additional amounts for capital improvements and enhancements to these aircraft. The Company also sold its former corporate aircraft for $33.0 million and recorded a loss on the sale of the aircraft of approximately $550,000.</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Wynn Las Vegas project.</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December 31, 2004 and 2003, the Company had approximately 20 acres of land held for Encore. This land had a book value of approximately $74.4 million and $78.6 million as of December 31, 2004 and 2003,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December 31, 2004 and 2003 consists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6.625% First Mortgage Notes, due December 1, 2014.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1,300,000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$400.0 million Delay Draw Term Loan Facility; interest at LIBOR plus 2.125% (approximately 4.575%)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26,564</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2"/>
              </w:rPr>
              <w:t>12% Second Mortgage Notes, net of original issue discount of approximately $531,000 and $22.8 million, respectively due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1, 2010; effective interest at approximately 12.9%</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$188.5 Million FF&amp;E Facility; interest at LIBOR plus 4%; (approximately 5.2%)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1,336,175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385,220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31635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1635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Mortgage Notes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October 30, 2002, the Issuers issued $370.0 million aggregate principal amount of the Second Mortgage Notes maturing November 1, 2010 with semi-annual interest payments beginning in May 2003.</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Second Mortgage Notes were issued for approximately $343.3 million, net of an original issue discount of approximately $26.7 million and issuance costs of approximately $14.4 million. The net proceeds were used to finance the development and construction of Wynn Las Vegas, to pay pre-opening expenses and meet debt service obligations.</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June 14, 2004, the Issuers redeemed approximately $122.4 million of the Second Mortgage Notes. The total price of the redemption was approximately $138.9 million, equal to 112.0% of the aggregate principal amount of the Notes redeemed, plus accrued and unpaid interest thereon. In connection with the redemption, the Company wrote off approximately $7.0 million of the unamortized original issue discount and approximately $3.9 million of unamortized deferred financing costs associated with the Notes. Accordingly, the Company recognized a loss on the early retirement of debt of approximately $25.6 million to reflect these writeoffs and the $14.7 million redemption premium.</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December 14, 2004, the Issuers redeemed approximately $237.4 million in aggregate principal amount of the Second Mortgage Notes and effected a discharge of the Second Mortgage Notes indenture and related collateral documents. The approximately $10.1 million principal amount of Second Mortgage Notes remaining outstanding after the consummation of the tender offer has been called for redemption in accordance with the indenture on November 1, 2006, at a price of 112% of the principal amount, plus accrued and unpaid interest to the redemption date.</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order to effect the satisfaction and discharge, the Issuers deposited in trust with the trustee of the Second Mortgage Notes government securities with an aggregate face value of approximately $10.1 million and approximately $3.0 million of additional funds (the amounts necessary to pay when due all interest payments and the redemption price on the redemption date), to satisfy and discharge the remaining amounts payable under the Second Mortgage Notes indenture. As a result of the satisfaction and discharge, the Issuers are not subject to any restrictive covenants under the Second Mortgage Notes indenture, and the guarantees and collateral securing the Second Mortgage Notes were released. However, the Company will continue to report the outstanding liability and the associated cash restricted for the repayment on its balance sheet until the Second Mortgage Note holders are fully repaid on November 1, 2006, from the funds deposited in trust.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First Mortgage Notes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14, 2004, the Issuers issued $1.3 billion aggregate principal amount of 6.625% First Mortgage Notes due 2014 (the “First Mortgage Notes”). The First Mortgage Notes mature on December 1, 2014 and bear interest at the rate of 6.625% per year. The Company may redeem up to 35% of the aggregate principal amount of the First Mortgage Notes at any time prior to December 1, 2007 at a redemption price of 106.625% with the proceeds of one or more of the Company’s qualified equity offerings that are contributed to Wynn Las Vegas, LLC. Commencing December 1, 2009, the First Mortgage Notes are redeemable at the Company’s option at a premium starting at 103.313% and declining ratably to par.</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indenture governing the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First Mortgage Notes are obligations of the Issuers, guaranteed by each of the subsidiaries of Wynn Las Vegas, LLC, other than Wynn Completion Guarantor, LLC. Wynn Resorts does not guarantee the obligations of the Issuers. Subject to an intercreditor agreement and certain exceptions, the First Mortgage Notes and the guarantees thereof are secured by: (1) a first priority security interest in a liquidity reserve account, which may be used to pay costs for the completion of the construction and opening Wynn Las Vegas and, after the completion of Wynn Las Vegas, to meet Wynn Las Vegas, LLC’s debt service needs in connection with the operation of Wynn Las Vegas; (2) all amounts on deposit from time to time in a completion guarantee deposit account held by Wynn Completion Guarantor, LLC; (3) a first priority pledge of all of the member’s interests owned by Wynn Las Vegas, LLC in its subsidiaries (other than Wynn Completion Guarantor, LLC) and of Wynn Resorts Holdings, LLC’s 100% member’s interest in Wynn Las Vegas, LLC; (4) first mortgages on all real property constituting Wynn Las Vegas, its golf course and Encore; and (5) a first priority security interest in substantially all other existing and future assets of Wynn Las Vegas, LLC and the guarantors, excluding, among other things, an aircraft beneficially owned by World Travel, LLC. The First Mortgage Notes are also secured by certain of the net proceeds from the sale of the First Mortgage Notes.</w:t>
      </w:r>
    </w:p>
    <w:p>
      <w:pPr>
        <w:spacing w:after="0" w:line="10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First Mortgage Notes rank pari passu in right of payment with their existing and future senior secured indebtedness, including indebtedness with respect to the new Wynn Las Vegas credit facilities described below, and rank senior in right of payment to all of their existing and future subordinated indebtedness.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Previous Credit Facilities</w:t>
      </w:r>
      <w:r>
        <w:rPr>
          <w:rFonts w:ascii="Arial" w:cs="Arial" w:eastAsia="Arial" w:hAnsi="Arial"/>
          <w:sz w:val="16"/>
          <w:szCs w:val="16"/>
          <w:color w:val="auto"/>
        </w:rPr>
        <w:t>. Effective October 30, 2002, Wynn Las Vegas, LLC entered into a $750.0 million senior secured revolving credit facility (the</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 Revolver”) and a $250.0 million delay draw senior secured term loan facility (the “Previous Term Loan”, and together with the Previous Revolver, the “Previous Credit Facilities”) for additional construction financing for Wynn Las Vegas. Subsequently, the Previous Revolver was increased to $800.0 million.</w:t>
      </w:r>
    </w:p>
    <w:p>
      <w:pPr>
        <w:spacing w:after="0" w:line="9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Previous Revolver and the Previous Term Loan were to mature in October 2008 and October 2009, respectively. Annual interest was charged on outstanding borrowings at the London Interbank Offered Rate (“LIBOR”) plus 4% on the Previous Revolver and LIBOR plus 5.5% on the Previous Term Loan. In addition, the Previous Revolver required quarterly payments on the unused available borrowings at an annual rate of 2%,</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59" w:right="2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while the Previous Term Loan required quarterly payments at an annual rate of 2.5% through December 31, 2002, 3% from January 1, 2003 to June 30, 2003 and 4% thereafter.</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December 14, 2004, as part of refinancing the Wynn Las Vegas indebtedness, the Company terminated the Previous Credit Facilities and repaid the approximately $458.6 million principal amount outstanding. The Company recorded a loss on the extinguishment of the debt of approximately $1.1 million from the writeoff of a portion of the unamortized deferred financing costs. The Previous Credit Facilities were replaced with new credit facilities as described below.</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New Credit Facilities</w:t>
      </w:r>
      <w:r>
        <w:rPr>
          <w:rFonts w:ascii="Arial" w:cs="Arial" w:eastAsia="Arial" w:hAnsi="Arial"/>
          <w:sz w:val="18"/>
          <w:szCs w:val="18"/>
          <w:color w:val="auto"/>
        </w:rPr>
        <w:t>. On December 14, 2004, Wynn Las Vegas, LLC entered into a credit agreement (the “New Credit Agreement”) and related ancillary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for secured revolving credit and term loan facilities in the aggregate amount of $1.0 billion. The new credit facilities (the “New Credit Facilities”) consist of a revolving credit facility (the “New Revolver”) in the amount of $600.0 million and a term loan facility (the “New Term Loans”) in the amount of $400.0 million.</w:t>
      </w:r>
    </w:p>
    <w:p>
      <w:pPr>
        <w:spacing w:after="0" w:line="13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New Revolver will terminate and be payable in full on December 14, 2009, and the New Term Loans will mature on December 14, 2011. Wynn Las Vegas, LLC is required to draw half of the New Term Loans by February 14, 2005 and the remaining half of the New Term Loans by March 14, 2005.</w:t>
      </w:r>
    </w:p>
    <w:p>
      <w:pPr>
        <w:spacing w:after="0" w:line="7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amount available under the New Credit Facilities will be reduced by $550.0 million if the budget, plans and specifications for Encore (the “Encore Budget, Plans and Specifications”) have not been approved by a majority of the arrangers or a majority of the lenders under the New Credit Agreement by June 30, 2005. This may result in a reduction of availability under the New Revolver, prepayment of loans under the New Term Loans or any combination of the two.</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calculating interest, loans under the New Credit Facilities will be designated, at the election of Wynn Las Vegas, LLC, as Eurodollar Loans or, in certain circumstances, Base Rate Loans. Eurodollar Loans under the New Revolver and New Term Loans bear interest at LIBOR plus 2.25% and LIBOR plus 2.125%, respectively. Interest on Eurodollar Loans shall be payable at the end of the applicable interest period in the case of interest periods of one, two or three months, and every three months in the case of interest periods of six months. Base Rate Loans are expected to bear interest at (a) the greater of (i) the rate most recently announced by Deutsche Bank as its “prime rate,” or (ii) the Federal Funds Rate plus 1/2 of 1% per annum; plus (b) a borrowing margin 1.25% or 1.125% under the New Revolver and New Term Loans, respectively. Interest on Base Rate Loans will be payable quarterly in arrears.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opening of Wynn Las Vegas or, if Encore qualifies for financing under the New Disbursement Agreement (as defined below), after the opening of Encore (collectively, “an Encore Qualifying Event”), the applicable borrowing margins for revolving loans will be based on Wynn Las Vegas, LLC’s leverage ratio, ranging from 1.25% to 2.5% per annum for Eurodollar Loans and 0.25% to 1.5% per annum for Base Rate Loans. Until an Encore Qualifying Event, Wynn Las Vegas, LLC will pay, quarterly in arrears, 0.75% per annum on the daily average of unborrowed availability under the revolving credit facility. After an Encore Qualifying Event, the annual fee Wynn Las Vegas, LLC will be required to pay for unborrowed availability under the revolving credit facility will be based on Wynn Las Vegas, LLC’s leverage ratio, ranging from 0.25% to 0.50% per annum. For unborrowed amounts under the New Term Loans, Wynn Las Vegas, LLC expects to pay, quarterly in arrears, 1.00% per annum on the daily average of the unborrowed amounts under the New Term Loans.</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New Credit Facilities are obligations of Wynn Las Vegas, LLC, guaranteed by each of the subsidiaries of Wynn Las Vegas, LLC, other than Wynn Completion Guarantor, LLC. Subject to an intercreditor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59" w:right="2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and certain exceptions, the obligations of Wynn Las Vegas, LLC and each of the guarantors under the new credit facilities are secured by: (1) a first priority security interest in a liquidity reserve account, which may be used to pay costs for the completion of the construction and opening of the Wynn Las Vegas hotel and casino resort and, after the completion of Wynn Las Vegas, to meet Wynn Las Vegas, LLC’s debt service needs in connection with the operation of Wynn Las Vegas; (2) all amounts on deposit from time to time in a completion guarantee deposit account held by Wynn Completion Guarantor, LLC; (3) all amounts on deposit from time to time in a secured account holding the proceeds of the New Credit Facilities; (4) a first priority pledge of all member’s interests owned by Wynn Las Vegas, LLC in its subsidiaries (other than Wynn Completion Guarantor, LLC) and Wynn Resorts Holdings, LLC’s 100% member’s interest in Wynn Las Vegas, LLC; (5) first mortgages on all real property constituting Wynn Las Vegas, its golf course and Encore; and (6) a first priority security interest in substantially all other existing and future assets of Wynn Las Vegas, LLC and the guarantors, excluding an aircraft owned by World Travel, LLC; provided, that the aircraft may be pledged to secure the New Credit Facilities under certain circumstances.</w:t>
      </w:r>
    </w:p>
    <w:p>
      <w:pPr>
        <w:spacing w:after="0" w:line="10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New Credit Facilities rank pari passu in right of payment with their existing and future senior indebtedness, including indebtedness with respect to the First Mortgage Notes and ranks senior in right of payment to all of their existing and future subordinated indebtedness.</w:t>
      </w:r>
    </w:p>
    <w:p>
      <w:pPr>
        <w:spacing w:after="0" w:line="12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 addition to scheduled amortization payments, Wynn Las Vegas, LLC will be required to make mandatory prepayments of indebtedness under the New Credit Facilities from the net proceeds of all debt offerings (other than those constituting certain permitted debt). After an Encore Qualifying Event, Wynn Las Vegas, LLC will also be required to make mandatory repayments of indebtedness under the New Credit Facilities from specified percentages of excess cash flow, which percentages may decrease and/or be eliminated based on Wynn Las Vegas, LLC’s leverage ratio. Other than with respect to a 1% premium that Wynn Las Vegas, LLC will be required to pay with respect to certain repayments of Wynn Las Vegas, LLC’s term loans occurring prior to December 14, 2005, Wynn Las Vegas, LLC will have the option to prepay all or any portion of the indebtedness under the New Credit Facilities at any time without premium or penalty.</w:t>
      </w:r>
    </w:p>
    <w:p>
      <w:pPr>
        <w:spacing w:after="0" w:line="91"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New Credit Agreement contains customary negative covenants and financial covenants, including negative covenants that will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(i) maintaining a ratio of earnings before interest, taxes, depreciation and amortization to total interest expense, and (ii) total debt to earnings before interest, taxes, depreciation and amortization.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2004, the Company was in compliance with all covenants.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FF&amp;E Facility</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Effective October 30, 2002, Wynn Las Vegas, LLC entered into a $188.5 million FF&amp;E facility (the “FF&amp;E Facility”) to provide financing and refinancing for furniture, fixtures and equipment to be used at Wynn Las Vegas.</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On December 14, 2004, as part of the refinancing of the Wynn Las Vegas indebtedness, the Company terminated the FF&amp;E Facility and repaid the approximately $70.3 million principal amount outstanding. The Company recorded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60" w:right="2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loss on the extinguishment of the debt of approximately $9.6 million, comprised of a $1.6 million prepayment penalty and the writeoff of unamortized deferred financing costs of approximately $8.0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Disbursement Agreement</w:t>
      </w:r>
    </w:p>
    <w:p>
      <w:pPr>
        <w:spacing w:after="0" w:line="7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Wynn Las Vegas, LLC was subject to a disbursement agreement under the Previous Credit Facilities. When the Wynn Las Vegas indebtedness was refinanced, Wynn Las Vegas, LLC entered into a new disbursement agreement (the “New Disbursement Agreement”).</w:t>
      </w:r>
    </w:p>
    <w:p>
      <w:pPr>
        <w:spacing w:after="0" w:line="7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New Disbursement Agreement sets forth Wynn Las Vegas, LLC’s material obligations to complete the Wynn Las Vegas hotel and casino resort and, if applicable, develop, construct and complete Encore (collectively, the “Projects”) and establishes mechanics for approval of a line-item budget and a schedule for the completion of construction of Wynn Las Vegas, and if and when applicable, the construction of Encore.</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New Disbursement Agreement also establishes the conditions to, and the relative sequencing of, the making of advances and disbursements under the New Credit Facilities and from the proceeds of the First Mortgage Notes, and establishes the obligations of the lenders and the administrative agent under the New Credit Facilities to advance and disburse, respectively, funds under the New Credit Facilities and the obligation of the First Mortgage Notes trustee to release funds from the First Mortgage Notes proceeds account upon satisfaction of such conditions. The New Disbursement Agreement also sets forth the mechanics for approving change orders and amendments to the construction budgets and the construction schedules for the Projects. The New Disbursement Agreement includes certain representations, warranties, covenants and events of default that relate to construction of the Projects.</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Under the New Disbursement Agreement, Wynn Las Vegas, LLC is permitted to use the proceeds of the First Mortgage Notes and borrowings under the New Credit Facilities to pay for costs related to the development, construction, outfitting and opening of the Projects (including financing costs and interest during construction) and, subject to certain limitations, corporate overhead and related costs (collectively, “Project Costs”). Except as provided in the following paragraph, the proceeds of the New Credit Facilities and the First Mortgage Notes will not be available to pay Project Costs related to Encore until a majority of the arrangers (by number) or a majority of the lenders under the new credit facilities (in consultation with the construction consultant) have approved, among other things, the Encore Budget, Schedule, Plans and Specifications and certain construction-related agreements (including certain material construction and design contracts), and Wynn Las Vegas, LLC shall have satisfied certain other conditions precedent relating to Encore.</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Prior to the approval of the Encore Budget, Schedule, Plans and Specifications, as set forth above, the New Disbursement Agreement will permit disbursements of up to $100.0 million in the aggregate from the borrowings under the new credit facilities and the proceeds of the First Mortgage Notes to pay for Project Costs related to Encore at Wynn Las Vegas pursuant to abbreviated disbursement procedures set forth in the New Disbursement Agreement. No more than $100.0 million from the proceeds of the New Credit Facilities and the First Mortgage Notes will be disbursed for application toward Project Costs related to Encore prior to the opening of Wynn Las Vegas. Thereafter, if the Encore Budget, Schedule, Plans and Specifications have been approved, the entire amount of the borrowings under the new credit facilities (subject to exceptions for working capital and other purposes, including amounts necessary for final completion of Wynn Las Vegas) and the remaining proceeds of the First Mortgage Notes will be available for application toward Project Costs related to Encore in accordance with the New Disbursement Agreement.</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New Disbursement Agreement sets forth the order in which funds from the various sources will be made available to Wynn Las Vegas, LLC. Wynn Las Vegas, LLC expects that a significant portion of the funds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needed to pay Project Costs in respect of Encore will come from Wynn Las Vegas, LLC’s operating cash flows after opening of Wynn Las Vegas. Wynn Las Vegas, LLC’s failure to achieve operating cash flows, or obtain other funds, sufficient to fund certain of the Project Costs for Encore would prevent Wynn Las Vegas, LLC from obtaining disbursements and may cause an event of default under the Disbursement Agreement and, as a result, under the Indenture and the Credit Agreement.</w:t>
      </w:r>
    </w:p>
    <w:p>
      <w:pPr>
        <w:spacing w:after="0" w:line="13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New Disbursement Agreement will terminate after final completion of Wynn Las Vegas or, if the Encore Budget, Schedule, Plans and Specifications have been approved and Wynn Las Vegas, LLC has elected to construct it, after final completion of Encore. The New Disbursement Agreement will cease to apply to Wynn Las Vegas, LLC after final completion of Wynn Las Vegas. Upon termination of the Disbursement Agreement, all amounts remaining in any New Disbursement Agreement accounts other than amounts on deposit in the liquidity reserve account will be released to Wynn Las Vegas, LLC, and the covenants contained in the New Disbursement Agreement will cease to apply. Amounts remaining on deposit in the liquidity reserve account at substantial completion will be available to Wynn Las Vegas, LLC under certain circumstances to pay debt service. Upon satisfaction of certain financial tests, amounts remaining in the liquidity reserve account will be applied to repay the revolving loans under the New Credit Facilities (without reduction in revolving loan commitments thereunder).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Completion Guarantee and Liquidity Reserve</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part of the original Wynn Las Vegas financing, the Company contributed $50 million of the capital contributions of Wynn Resorts to Wynn Completion Guarantor, LLC, a special purpose subsidiary of Wynn Las Vegas, LLC formed in October 2002 to provide a completion guarantee in favor of the lenders under the Previous Credit Facilities and the Second Mortgage Notes to secure completion of Wynn Las Vegas.</w:t>
      </w:r>
    </w:p>
    <w:p>
      <w:pPr>
        <w:spacing w:after="0" w:line="9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the Company deposited $30.0 million of the capital contributions from Wynn Resorts’ into a required escrow Liquidity Reserve Account to secure the completion and opening of Wynn Las Vegas.</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part of refinancing the Wynn Las Vegas indebtedness, the Company’s new debt agreements retained both the completion guarantee deposit and the liquidity reserve. The liquidity reserve is solely for use of the Wynn Las Vegas project. The $50 million completion guarantee relates to Wynn Las Vegas. Upon completion of Wynn Las Vegas, if the Encore Budget, Plans and Specifications are approved, at least $30 million is required to be on deposit in the completion guarantee collateral account as available to complete Encore. These funds will become gradually available to the Company as construction progresses.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Interest Rate Swaps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Previous Credit Facilities required the Company to obtain interest rate protection for at least $325 million of borrowings thereunder, and in May 2003 and June 2003, the Company entered into two interest rate swap arrangements to hedge the underlying interest rate risk on a total of $825 million of expected future borrowings under the Previous Credit Facilities that were to mature in October 2008 and October 2009. These two interest rate swaps were accounted for as cash flow hedges under the provisions of SFAS No. 133.</w:t>
      </w:r>
    </w:p>
    <w:p>
      <w:pPr>
        <w:spacing w:after="0" w:line="13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December 14, 2004, concurrent with refinancing Wynn Las Vegas’ indebtedness, the Company terminated the two interest rate swaps. As a result of the termination, the Company received approximately $9.6 million in settlement of the related asset. The balance of $9.6 million in accumulated other comprehensive income will be amortized as a reduction to interest expense over the original contract life of the two interest rate swaps. Approximately $200,000 of amortization was recognized during 2004. Approximately $4.8 million will be amortized to earnings in 2005.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Also concurrent with the refinancing, the Company entered into two new interest rate swap arrangements to hedge the underlying interest rate risk on a total of $400.0 million of expected future term loan borrowings under New Credit Facilities, which bear interest at LIBOR plus 2.125%. Under each of these two new interest rate swap arrangements, the Company will receive payments at a variable rate of LIBOR and pay a fixed rate of 3.793% on $200 million notional amount set forth in the swap instruments from February and March 2005, respectively through December 2008. These effective dates of the two swaps were designed to correspond with the amounts and timing of expected term loan borrowings. The interest rate swaps are expected to be effective as hedging instruments as long as sufficient term loan borrowings are outstanding, and effectively fixes the interest rate on these borrowings at approximately 5.918%. Any ineffectiveness will increase the Company’s recorded interest expense in the consolidated financial statements.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December 31, 2003, the Company recorded in other assets the fair value of the net effect of the two former interest rate swaps of approximately $8.8 million. Because there had been no ineffectiveness in the hedging relationship, the corresponding change in fair value of equal amount was reported in other comprehensive income for the year ended December 31, 2003. As of December 31, 2004, the Company recorded in other assets the fair value of the net effect of the two new interest rate swaps of approximately $583,000. Because there has been no ineffectiveness in the hedging relationship, the corresponding change in fair value of equal amount is reported in other comprehensive income for the year ended December 31, 2004.</w:t>
      </w:r>
    </w:p>
    <w:p>
      <w:pPr>
        <w:spacing w:after="0" w:line="10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net book value of the First Mortgage Notes at December 31, 2004 was approximately $1.3 billion. The estimated fair value of the First Mortgage Notes based upon most recent trades at December 31, 2004 was approximately $1.3 billion. The Company discharged its Second Mortgage Notes as previously noted, however, the net book value and the fair value of the Second Mortgage Notes based upon the November 1, 2006 12% call premium, was approximately $9.6 million and $11.4 million, respectively. The net book value of the Company’s borrowings under the $400 Million Delay Draw Term Loan of approximately $26.6 million approximates its fair value due to its floating market rate of interest.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are as follows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6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2006</w:t>
            </w:r>
          </w:p>
        </w:tc>
        <w:tc>
          <w:tcPr>
            <w:tcW w:w="6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2008</w:t>
            </w:r>
          </w:p>
        </w:tc>
        <w:tc>
          <w:tcPr>
            <w:tcW w:w="6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Thereafter</w:t>
            </w:r>
          </w:p>
        </w:tc>
        <w:tc>
          <w:tcPr>
            <w:tcW w:w="6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1,310,142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1,336,706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89"/>
              </w:rPr>
              <w:t>Less: original issue discount</w:t>
            </w:r>
          </w:p>
        </w:tc>
        <w:tc>
          <w:tcPr>
            <w:tcW w:w="6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1,336,175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300" w:type="dxa"/>
            <w:vAlign w:val="bottom"/>
            <w:gridSpan w:val="2"/>
          </w:tcPr>
          <w:p>
            <w:pPr>
              <w:jc w:val="right"/>
              <w:ind w:right="3620"/>
              <w:spacing w:after="0"/>
              <w:rPr>
                <w:sz w:val="20"/>
                <w:szCs w:val="20"/>
                <w:color w:val="auto"/>
              </w:rPr>
            </w:pPr>
            <w:r>
              <w:rPr>
                <w:rFonts w:ascii="Arial" w:cs="Arial" w:eastAsia="Arial" w:hAnsi="Arial"/>
                <w:sz w:val="18"/>
                <w:szCs w:val="18"/>
                <w:color w:val="auto"/>
              </w:rPr>
              <w:t>F-21</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9760" w:firstLine="8"/>
        <w:spacing w:after="0" w:line="398" w:lineRule="auto"/>
        <w:tabs>
          <w:tab w:leader="none" w:pos="176" w:val="left"/>
        </w:tabs>
        <w:numPr>
          <w:ilvl w:val="0"/>
          <w:numId w:val="23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on July 27, 2000. The plan allows employees of the Company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$159,000, $90,000, $31,000, and $299,000 for the years ended December 31, 2004, 2003 and 2002, and for the period from inception to December 31, 2004,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 Plan</w:t>
      </w:r>
    </w:p>
    <w:p>
      <w:pPr>
        <w:spacing w:after="0" w:line="77"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Wynn Resorts established the 2002 Stock Incentive Plan (the “Stock Plan”) which provides for the grant of (i) Incentive Stock Options (“ISO”), (ii) compensatory (i.e. non qualified) stock options (“NQSO”), and (iii) restricted shares of Wynn Resorts’ common stock for employees, directors and independent contractors or consultants of Wynn Resorts and its subsidiaries, including the Company. However, only employees are eligible to receive incentive stock options.</w:t>
      </w:r>
    </w:p>
    <w:p>
      <w:pPr>
        <w:spacing w:after="0" w:line="7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Options are granted at the current market price at the date of grant. The Stock Plan provides for a variety of vesting schedules, including immediate, twenty-five percent after two years and 25% each year for the next 3 years thereafter, cliff vest at the vesting date, and others to be determined at the time of grant. All options expire ten years from the date of grant.</w:t>
      </w:r>
    </w:p>
    <w:p>
      <w:pPr>
        <w:spacing w:after="0" w:line="13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Stock Plan will terminate ten years from the date of adoption, unless terminated earlier by Wynn Resorts’ Board of Directors, and no options or restricted shares may be granted under the Stock Plan after such date.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2002, 2003 and 2004, a number of persons currently employed by the Company were each granted various numbers of options for shares of Wynn Resorts’ common stock at the market price on the dates of the respective grants. Total options outstanding at December 31, 2004 and 2003 were 1,133,000 and 887,500 options, respectively.</w:t>
      </w:r>
    </w:p>
    <w:p>
      <w:pPr>
        <w:spacing w:after="0" w:line="121" w:lineRule="exact"/>
        <w:rPr>
          <w:sz w:val="20"/>
          <w:szCs w:val="20"/>
          <w:color w:val="auto"/>
        </w:rPr>
      </w:pPr>
    </w:p>
    <w:p>
      <w:pPr>
        <w:ind w:right="8740" w:firstLine="8"/>
        <w:spacing w:after="0" w:line="332" w:lineRule="auto"/>
        <w:tabs>
          <w:tab w:leader="none" w:pos="176"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Wynn Las Vegas</w:t>
      </w:r>
    </w:p>
    <w:p>
      <w:pPr>
        <w:spacing w:after="0" w:line="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Construction Contracts. </w:t>
      </w:r>
      <w:r>
        <w:rPr>
          <w:rFonts w:ascii="Arial" w:cs="Arial" w:eastAsia="Arial" w:hAnsi="Arial"/>
          <w:sz w:val="18"/>
          <w:szCs w:val="18"/>
          <w:color w:val="auto"/>
        </w:rPr>
        <w:t>As of December 31, 2004, Wynn Las Vegas’ project budget, as amended and excluding the incremental cost anticipated for</w:t>
      </w:r>
      <w:r>
        <w:rPr>
          <w:rFonts w:ascii="Arial" w:cs="Arial" w:eastAsia="Arial" w:hAnsi="Arial"/>
          <w:sz w:val="18"/>
          <w:szCs w:val="18"/>
          <w:i w:val="1"/>
          <w:iCs w:val="1"/>
          <w:color w:val="auto"/>
        </w:rPr>
        <w:t xml:space="preserve"> </w:t>
      </w:r>
      <w:r>
        <w:rPr>
          <w:rFonts w:ascii="Arial" w:cs="Arial" w:eastAsia="Arial" w:hAnsi="Arial"/>
          <w:sz w:val="18"/>
          <w:szCs w:val="18"/>
          <w:color w:val="auto"/>
        </w:rPr>
        <w:t>Encore, was approximately $2.7 billion. This amount includes the cost of acquiring approximately 235 acres of land, costs of design and construction, capitalized interest, pre-opening expenses, financing fees and construction contingencies.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Through December 31, 2004, the Company funded approximately $2.0 billion of the total $2.7 billion of budgeted project costs, primarily from a combination of contributed capital, proceeds from the issuance of the recently discharged Second Mortgage Notes and a portion of the previous credit facilities. As of December 31, 2004, budgeted costs still to be incurred totaled approximately $670.0 million, and the Company had availability under its new credit facilities and long-term restricted cash available for the project sufficient to complete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open Wynn Las Vegas. In addition, the Company has a $50.0 million completion guarantee balance and a $30.0 million liquidity reserve available for Wynn Las Vegas. As these amounts are committed for use, the Wynn Las Vegas project budget will increase correspondingly.</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At December 31, 2004, the project budget’s various contractual commitments for developing, constructing and equipping Wynn Las Vegas includes guaranteed maximum price contracts with the three prime contractors for the construction of the hotel and casino for approximately $1.1 billion, construction of the Wynn Las Vegas golf course for approximately $18.1 million and construction of the parking garage for approximately $10.1 million. The parking garage is substantially complete and is currently used for parking by construction personnel. The golf course and the hotel and casino are nearing substantial completion. Wynn Las Vegas will open on April 28, 2005.</w:t>
      </w:r>
    </w:p>
    <w:p>
      <w:pPr>
        <w:spacing w:after="0" w:line="129"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i w:val="1"/>
          <w:iCs w:val="1"/>
          <w:color w:val="auto"/>
        </w:rPr>
        <w:t xml:space="preserve">Encore. </w:t>
      </w:r>
      <w:r>
        <w:rPr>
          <w:rFonts w:ascii="Arial" w:cs="Arial" w:eastAsia="Arial" w:hAnsi="Arial"/>
          <w:sz w:val="15"/>
          <w:szCs w:val="15"/>
          <w:color w:val="auto"/>
        </w:rPr>
        <w:t>The Company continues to refine the scope and design of Encore. Previously, Encore was to include a hotel tower with approximately 1,500 mini-suites, a small amount of ancillary gaming space, restaurants, a spa, swimming pools, additional retail and approximately 30,000 square feet of meeting rooms. It was expected to cost no more than $900.0 million and to open in the second half of 2007. As initially planned, Encore was an addition to Wynn Las Vegas.</w:t>
      </w:r>
    </w:p>
    <w:p>
      <w:pPr>
        <w:spacing w:after="0" w:line="7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Due to anticipated demand for Wynn Las Vegas, continued strength in the Las Vegas market, and the Company’s desire to maximize the potential of its substantial real estate assets, the Company anticipates a significant increase in the scope of Encore, elevating it to the status of a free standing casino resort; one which is integrated with Wynn Las Vegas through its public space. Although the scope and design of the project have not been finalized, and remain subject to the approval of Wynn Resorts’ Board of Directors, the Company now expects that Encore will include approximately 2,000 full suites in its hotel tower—meaning separate living rooms and bedrooms in each unit—as well as significant additional casino, convention and meeting space, additional entertainment venues, restaurants, a spa and salon, swimming pools and retail space. The Company currently anticipates that Encore will open in the first half of 2008.</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expects that the remaining proceeds from Wynn Las Vegas, LLC’s sale of First Mortgage Notes on December 14, 2004, together with remaining availability under its existing credit facilities and cash flow from the operations of Wynn Las Vegas, will be sufficient to pay for expenditures of up to $1.4 billion on the Encore project without incurring additional debt or receiving additional capital contributions from Wynn Resorts. The availability of notes proceeds and funds under the credit agreement in excess of $100.0 million is subject to approval of the Encore Budget, Plans and Specifications by a majority of arrangers or lenders. Once the Company has finalized the scope and plans for Encore, the Company will seek the necessary consents and approvals from its lenders and noteholders.</w:t>
      </w:r>
    </w:p>
    <w:p>
      <w:pPr>
        <w:spacing w:after="0" w:line="13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Entertainment Productions. </w:t>
      </w:r>
      <w:r>
        <w:rPr>
          <w:rFonts w:ascii="Arial" w:cs="Arial" w:eastAsia="Arial" w:hAnsi="Arial"/>
          <w:sz w:val="16"/>
          <w:szCs w:val="16"/>
          <w:color w:val="auto"/>
        </w:rPr>
        <w:t>The Company has entered into long-term agreements with Productions du Dragon, S.A., a creative production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(“Dragon”) and Calitri Services and Licensing Limited Liability Company, its affiliated production services company (“Calitri”), for the licensing, creation, development and executive production of the water-based production show at Wynn Las Vegas to be named “Le Rêve, A Small Collection of Imperfect Dreams”. Under these agreements the Company is required to pay certain up-front creation and licensing fees, production costs and, upon opening of the production, a royalty of 10% of net ticket revenues and gross retail sales, and 50% of the show profits to Dragon and Calitri as calculated in accordance with the terms of the agreements. The term of each of the agreements is ten years after the opening date of the show, which will coincide with the opening of Wynn Las Vegas, with one five-year renewal option.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also has an option with the Dragon and Calitri for the development of a second production show for Wynn Las Vegas or for another project.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exercise of the option will require the payment of an additional $1 million and any additional project will require additional funds to develop.</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June 2004, the Company purchased the rights to stage “Avenue Q,” the Tony Award-winning musical production currently playing on Broadway in New York City. The Company also entered into a Production Services Agreement with Q Las Vegas, LLC, an affiliate of the New York producer, for all production services. The Company will present this show at Wynn Las Vegas’ second showroom, which is scheduled for completion in the third quarter of 2005.</w:t>
      </w:r>
    </w:p>
    <w:p>
      <w:pPr>
        <w:spacing w:after="0" w:line="9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At December 31, 2004 and December 31, 2003, other assets included $32.9 million and $8.7 million, respectively, of amounts paid or accrued for production rights, creation and development costs in conjunction with these entertainment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is the lessor under leases for five retail outlets and has entered into license and distribution agreements for five additional retail outlets, and joint venture agreements for the operation of one other retail outlet and the Ferrari and Maserati dealership at Wynn Las Vegas. Each of these retail outlets will open concurrently with the opening of Wynn Las Vegas. In connection with these arrangements, Wynn Las Vegas has provided some of the retail tenants an allowance for improvements. These improvement allowances are included in the budgeted costs to construct Wynn Las Vegas.</w:t>
      </w:r>
    </w:p>
    <w:p>
      <w:pPr>
        <w:spacing w:after="0" w:line="9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to the above, to accommodate its preopening and casino marketing efforts, the Company is the lessee under several leases for office space, a hangar for its corporate aircraft, warehouse facilities and certain office equipment.</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At December 31, 2004, the Company was obligated under non-cancelable operating leases to make future minimum lease payments as follows ($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6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2006</w:t>
            </w:r>
          </w:p>
        </w:tc>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2008</w:t>
            </w:r>
          </w:p>
        </w:tc>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Thereafter</w:t>
            </w:r>
          </w:p>
        </w:tc>
        <w:tc>
          <w:tcPr>
            <w:tcW w:w="6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domestic subsidiaries are covered under a self-insured medical plan up to a maximum of $40,000 per year for each insured person.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Amounts in excess of these thresholds are covered by the Company’s insurance programs, subject to customary policy limits.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five-year terms and typically indicate a base salary with specified annual increases, and often contain provisions for guaranteed bonuses. Certain of the executives are also entitled to a separation payment if terminated without “cause” or upon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voluntary termination of employment for “good reason” following a “change of control” (as these terms are defined in the employment contracts). The total future obligation under these contractions is approximately $ 34.9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is a party to various lawsuits relating to routine matters incidental to its business. As with all litigation, no assurance can be provided as to the outcome of the following matters and we note that litigation inherently involves significant costs.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February 23, 2004, the Company reached a settlement with all of the plaintiffs with respect to all claims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The plaintiffs sought various forms of declaratory relief concerning the continued existence and governance of the homeowners’ association. In addition, the plaintiffs challenged the termination in June 2001 of the CC&amp;R’s recorded against the residential lots. The plaintiffs also made various claims with respect to easement rights, including rights of access to the golf course and interior and perimeter roadways, maintenance of a golf course view, prohibition of commercial development of the golf course and trespass. In accordance with the settlement the Company affiliate paid $23 million in exchange for the 10 remaining residences and dismissal by the plaintiffs with prejudice of all of the actions and subsequently transferred the land to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met its requirement to draw at least $200 million of the New Term Loans by February 14, 2005 and the remaining $200 million on March 14,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Consolidating Financial Information of Guarantors and Issuers</w:t>
      </w:r>
    </w:p>
    <w:p>
      <w:pPr>
        <w:spacing w:after="0" w:line="8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following consolidating financial statements present information related to the Issuers of the First Mortgage Notes and their guarantor subsidiaries (World Travel, LLC; Las Vegas Jet, LLC; Wynn Show Performers, LLC; Wynn Golf, LLC and Wynn Sunrise, LLC) and non-guarantor subsidiary (Wynn Completion Guarantor, LLC) as of December 31, 2004 and 2003, for the years ended December 31, 2004, 2003 and 2002 and for the period from inception to December 31, 2004.</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fails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7"/>
              </w:rPr>
              <w:t>Guarantor</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Issuers</w:t>
            </w:r>
          </w:p>
        </w:tc>
        <w:tc>
          <w:tcPr>
            <w:tcW w:w="20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5"/>
                <w:szCs w:val="15"/>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115,301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144,934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613,246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50,043</w:t>
            </w:r>
          </w:p>
        </w:tc>
        <w:tc>
          <w:tcPr>
            <w:tcW w:w="100" w:type="dxa"/>
            <w:vAlign w:val="bottom"/>
          </w:tcPr>
          <w:p>
            <w:pPr>
              <w:spacing w:after="0"/>
              <w:rPr>
                <w:sz w:val="24"/>
                <w:szCs w:val="24"/>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663,289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1,692,228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162,654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1,854,882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Water rights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6,144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62,370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54,026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972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2,575,486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169,998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50,043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8,292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154,334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1,336,175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1,336,175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Due to affiliates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(192,550)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163,560</w:t>
            </w:r>
          </w:p>
        </w:tc>
        <w:tc>
          <w:tcPr>
            <w:tcW w:w="80" w:type="dxa"/>
            <w:vAlign w:val="bottom"/>
          </w:tcPr>
          <w:p>
            <w:pPr>
              <w:spacing w:after="0"/>
              <w:rPr>
                <w:sz w:val="19"/>
                <w:szCs w:val="19"/>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48,548</w:t>
            </w:r>
          </w:p>
        </w:tc>
        <w:tc>
          <w:tcPr>
            <w:tcW w:w="100" w:type="dxa"/>
            <w:vAlign w:val="bottom"/>
          </w:tcPr>
          <w:p>
            <w:pPr>
              <w:spacing w:after="0"/>
              <w:rPr>
                <w:sz w:val="19"/>
                <w:szCs w:val="19"/>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1,298,819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164,067</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48,548</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1,511,434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1,452,550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11,195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(11,195)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1,452,550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Deficit accumulated from inception during the development stage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(185,890)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(5,264)</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(185,890)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1,276,667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5,931</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2,575,486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169,998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50,043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00" w:type="dxa"/>
            <w:vAlign w:val="bottom"/>
            <w:gridSpan w:val="4"/>
          </w:tcPr>
          <w:p>
            <w:pPr>
              <w:jc w:val="right"/>
              <w:ind w:right="820"/>
              <w:spacing w:after="0"/>
              <w:rPr>
                <w:sz w:val="20"/>
                <w:szCs w:val="20"/>
                <w:color w:val="auto"/>
              </w:rPr>
            </w:pPr>
            <w:r>
              <w:rPr>
                <w:rFonts w:ascii="Arial" w:cs="Arial" w:eastAsia="Arial" w:hAnsi="Arial"/>
                <w:sz w:val="18"/>
                <w:szCs w:val="18"/>
                <w:color w:val="auto"/>
              </w:rPr>
              <w:t>F-26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-3962400</wp:posOffset>
            </wp:positionV>
            <wp:extent cx="366585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665855"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-325755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-325755</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-325755</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85115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85115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58,312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247,508</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50,321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297,829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728,663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Water rights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50,972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18,745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1,131,990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34,912</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50,321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1,209,183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385,220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385,220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464,953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910,095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(11,925)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Deficit accumulated from inception during the development stage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(23,973)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817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817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1,131,990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34,912</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50,321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1,209,183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20" w:type="dxa"/>
            <w:vAlign w:val="bottom"/>
            <w:gridSpan w:val="4"/>
          </w:tcPr>
          <w:p>
            <w:pPr>
              <w:jc w:val="right"/>
              <w:ind w:right="1040"/>
              <w:spacing w:after="0"/>
              <w:rPr>
                <w:sz w:val="20"/>
                <w:szCs w:val="20"/>
                <w:color w:val="auto"/>
              </w:rPr>
            </w:pPr>
            <w:r>
              <w:rPr>
                <w:rFonts w:ascii="Arial" w:cs="Arial" w:eastAsia="Arial" w:hAnsi="Arial"/>
                <w:sz w:val="18"/>
                <w:szCs w:val="18"/>
                <w:color w:val="auto"/>
              </w:rPr>
              <w:t>F-27</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-3825240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-3825240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-3825240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-3825240</wp:posOffset>
            </wp:positionV>
            <wp:extent cx="284289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842895"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3873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-325755</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-325755</wp:posOffset>
            </wp:positionV>
            <wp:extent cx="3873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53594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4"/>
              </w:rPr>
              <w:t>Guarantor</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9"/>
              </w:rPr>
              <w:t>Issuers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43,950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(45,869)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678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(118,351)</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subsidiaries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(116,048)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678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(115,486)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(161,917)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678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(161,917)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F-28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-325755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-325755</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-325755</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48450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-325755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46736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 w:type="dxa"/>
            <w:vAlign w:val="bottom"/>
          </w:tcPr>
          <w:p>
            <w:pPr>
              <w:spacing w:after="0"/>
              <w:rPr>
                <w:sz w:val="14"/>
                <w:szCs w:val="14"/>
                <w:color w:val="auto"/>
              </w:rPr>
            </w:pPr>
          </w:p>
        </w:tc>
        <w:tc>
          <w:tcPr>
            <w:tcW w:w="11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6"/>
              </w:rPr>
              <w:t>Nonguarantor</w:t>
            </w:r>
          </w:p>
        </w:tc>
        <w:tc>
          <w:tcPr>
            <w:tcW w:w="24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Issuers</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17,038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17,637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(17,637)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(18,981)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700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9"/>
                <w:szCs w:val="19"/>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ind w:left="32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700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accumulated during the development stage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(15,973)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693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980" w:type="dxa"/>
            <w:vAlign w:val="bottom"/>
            <w:gridSpan w:val="4"/>
          </w:tcPr>
          <w:p>
            <w:pPr>
              <w:jc w:val="right"/>
              <w:ind w:right="1020"/>
              <w:spacing w:after="0"/>
              <w:rPr>
                <w:sz w:val="20"/>
                <w:szCs w:val="20"/>
                <w:color w:val="auto"/>
              </w:rPr>
            </w:pPr>
            <w:r>
              <w:rPr>
                <w:rFonts w:ascii="Arial" w:cs="Arial" w:eastAsia="Arial" w:hAnsi="Arial"/>
                <w:sz w:val="18"/>
                <w:szCs w:val="18"/>
                <w:color w:val="auto"/>
              </w:rPr>
              <w:t>F-29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-325755</wp:posOffset>
            </wp:positionV>
            <wp:extent cx="361442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61442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Issuers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4,533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(4,635)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(4,855)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(1,015)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(953)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w w:val="86"/>
              </w:rPr>
              <w:t>953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953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accumulated during the development stage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(4,833)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953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00" w:type="dxa"/>
            <w:vAlign w:val="bottom"/>
            <w:gridSpan w:val="2"/>
          </w:tcPr>
          <w:p>
            <w:pPr>
              <w:jc w:val="right"/>
              <w:ind w:right="72"/>
              <w:spacing w:after="0"/>
              <w:rPr>
                <w:sz w:val="20"/>
                <w:szCs w:val="20"/>
                <w:color w:val="auto"/>
              </w:rPr>
            </w:pPr>
            <w:r>
              <w:rPr>
                <w:rFonts w:ascii="Arial" w:cs="Arial" w:eastAsia="Arial" w:hAnsi="Arial"/>
                <w:sz w:val="18"/>
                <w:szCs w:val="18"/>
                <w:color w:val="auto"/>
              </w:rPr>
              <w:t>F-30</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-325755</wp:posOffset>
            </wp:positionV>
            <wp:extent cx="3816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-325755</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-325755</wp:posOffset>
            </wp:positionV>
            <wp:extent cx="2159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INCEPTION TO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Guarantor</w:t>
            </w: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Issuers</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66,400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(1,970)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(69,020)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(118,351)</w:t>
            </w:r>
          </w:p>
        </w:tc>
        <w:tc>
          <w:tcPr>
            <w:tcW w:w="120" w:type="dxa"/>
            <w:vAlign w:val="bottom"/>
          </w:tcPr>
          <w:p>
            <w:pPr>
              <w:spacing w:after="0"/>
              <w:rPr>
                <w:sz w:val="18"/>
                <w:szCs w:val="18"/>
                <w:color w:val="auto"/>
              </w:rPr>
            </w:pPr>
          </w:p>
        </w:tc>
        <w:tc>
          <w:tcPr>
            <w:tcW w:w="11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from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(3,769)</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(116,870)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(112,456)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(185,890)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(185,890)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F-31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-325755</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-325755</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-325755</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48450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-325755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Issuers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2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 (loss) accumulated during the development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(161,917)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(562)</w:t>
            </w: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20"/>
              <w:spacing w:after="0"/>
              <w:rPr>
                <w:sz w:val="20"/>
                <w:szCs w:val="20"/>
                <w:color w:val="auto"/>
              </w:rPr>
            </w:pPr>
            <w:r>
              <w:rPr>
                <w:rFonts w:ascii="Arial" w:cs="Arial" w:eastAsia="Arial" w:hAnsi="Arial"/>
                <w:sz w:val="18"/>
                <w:szCs w:val="18"/>
                <w:color w:val="auto"/>
                <w:w w:val="79"/>
              </w:rPr>
              <w:t>678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(116)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(161,917)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accumulated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during the development stage to net cash provided by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1,580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2,213</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OID</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50,499</w:t>
            </w: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(2,723)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21,012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(91,765)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678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(861,556)</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(92,814)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(422,727)</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278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(35,281)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129,669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58,024</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460"/>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186,737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(1,189,627)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(1,193,063)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(39,858)</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(888,753)</w:t>
            </w:r>
          </w:p>
        </w:tc>
        <w:tc>
          <w:tcPr>
            <w:tcW w:w="14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1,817,459</w:t>
            </w: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1,817,459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1,288,848</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1,288,848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7,456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18,236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25,692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F-32</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-325755</wp:posOffset>
            </wp:positionV>
            <wp:extent cx="57848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-325755</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-325755</wp:posOffset>
            </wp:positionV>
            <wp:extent cx="2159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-325755</wp:posOffset>
            </wp:positionV>
            <wp:extent cx="3873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-325755</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2159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46736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4"/>
                <w:szCs w:val="14"/>
                <w:color w:val="auto"/>
              </w:rPr>
            </w:pP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3"/>
              </w:rPr>
              <w:t>Issuers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1"/>
              </w:rPr>
              <w:t>Subsidiaries</w:t>
            </w:r>
          </w:p>
        </w:tc>
        <w:tc>
          <w:tcPr>
            <w:tcW w:w="14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(15,973)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(1,337)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520"/>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644</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(15,973)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accumulated during the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development stage to net cash provided by 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 and OID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ind w:left="22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(3,392)</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(408,882)</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(409,014)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436,785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436,588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(4,353)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(9,430)</w:t>
            </w: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540"/>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9"/>
                <w:szCs w:val="19"/>
                <w:color w:val="auto"/>
              </w:rPr>
            </w:pPr>
          </w:p>
        </w:tc>
        <w:tc>
          <w:tcPr>
            <w:tcW w:w="11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10,728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F-33</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-325755</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-325755</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-325755</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-325755</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-325755</wp:posOffset>
            </wp:positionV>
            <wp:extent cx="3873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-325755</wp:posOffset>
            </wp:positionV>
            <wp:extent cx="5873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3873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4"/>
              </w:rPr>
              <w:t>Guarantor</w:t>
            </w:r>
          </w:p>
        </w:tc>
        <w:tc>
          <w:tcPr>
            <w:tcW w:w="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Issuers</w:t>
            </w:r>
          </w:p>
        </w:tc>
        <w:tc>
          <w:tcPr>
            <w:tcW w:w="24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(4,833)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(1,077)</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20"/>
              <w:spacing w:after="0"/>
              <w:rPr>
                <w:sz w:val="20"/>
                <w:szCs w:val="20"/>
                <w:color w:val="auto"/>
              </w:rPr>
            </w:pPr>
            <w:r>
              <w:rPr>
                <w:rFonts w:ascii="Arial" w:cs="Arial" w:eastAsia="Arial" w:hAnsi="Arial"/>
                <w:sz w:val="18"/>
                <w:szCs w:val="18"/>
                <w:color w:val="auto"/>
                <w:w w:val="86"/>
              </w:rPr>
              <w:t>124</w:t>
            </w:r>
          </w:p>
        </w:tc>
        <w:tc>
          <w:tcPr>
            <w:tcW w:w="6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953</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accumulated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during the development stage to net cash provided by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1,762</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11,504</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124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(31,693)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(34,311)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(742,105)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(50,124)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(792,229)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(11,925)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11,925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234,376</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21,861</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306,237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(556,694)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(12,463)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(557,356)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237,075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11,925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(11,925)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(61,735)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381,334</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381,334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556,674</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11,925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(11,925)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556,674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F-34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-325755</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-325755</wp:posOffset>
            </wp:positionV>
            <wp:extent cx="2159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3873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-325755</wp:posOffset>
            </wp:positionV>
            <wp:extent cx="48450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-325755</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-325755</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-325755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3873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INCEPTION TO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(185,890)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(5,264)</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1,495</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3,769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(185,890)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accumulated during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development stage to net cash provided by operating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5,922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OID</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(3,769)</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 Loss on sale of fixed assets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(88,373)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(1,302,134)</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(127,259)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(1,429,393)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(728,547)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(11,925)</w:t>
            </w: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11,925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(46,233)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357,114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81,782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48,548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(1,731,457)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(1,734,476)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637,075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11,925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(11,925)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(101,593)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(888,753)</w:t>
            </w: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2,198,793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2,198,793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381,334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1,845,522</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(11,925)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1,845,522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25,692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F-35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-325755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-325755</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-325755</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-325755</wp:posOffset>
            </wp:positionV>
            <wp:extent cx="2159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-325755</wp:posOffset>
            </wp:positionV>
            <wp:extent cx="3873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-325755</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-325755</wp:posOffset>
            </wp:positionV>
            <wp:extent cx="387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46736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Quarterly Financial Information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Year Ended December 31, 2004</w:t>
            </w: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4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4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First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Second</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2"/>
                <w:szCs w:val="22"/>
                <w:color w:val="auto"/>
              </w:rPr>
            </w:pPr>
          </w:p>
        </w:tc>
        <w:tc>
          <w:tcPr>
            <w:tcW w:w="13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22"/>
                <w:szCs w:val="2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r>
      <w:tr>
        <w:trPr>
          <w:trHeight w:val="95"/>
        </w:trPr>
        <w:tc>
          <w:tcPr>
            <w:tcW w:w="4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4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Operating loss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(7,548)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(9,861)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(12,959)</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(16,063)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(46,431)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(6,770)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(35,031)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(12,470)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(107,646)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(161,917)</w:t>
            </w:r>
          </w:p>
        </w:tc>
      </w:tr>
      <w:tr>
        <w:trPr>
          <w:trHeight w:val="378"/>
        </w:trPr>
        <w:tc>
          <w:tcPr>
            <w:tcW w:w="4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Year Ended December 31, 2003</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4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4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First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Second</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2"/>
                <w:szCs w:val="22"/>
                <w:color w:val="auto"/>
              </w:rPr>
            </w:pPr>
          </w:p>
        </w:tc>
        <w:tc>
          <w:tcPr>
            <w:tcW w:w="13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22"/>
                <w:szCs w:val="2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r>
      <w:tr>
        <w:trPr>
          <w:trHeight w:val="95"/>
        </w:trPr>
        <w:tc>
          <w:tcPr>
            <w:tcW w:w="4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4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Operating loss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(3,428)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(3,945)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(4,919)</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(18,981)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(2,441)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(4,322)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(15,973)</w:t>
            </w:r>
          </w:p>
        </w:tc>
      </w:tr>
      <w:tr>
        <w:trPr>
          <w:trHeight w:val="363"/>
        </w:trPr>
        <w:tc>
          <w:tcPr>
            <w:tcW w:w="4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F-36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4700"/>
        <w:spacing w:after="0"/>
        <w:rPr>
          <w:sz w:val="20"/>
          <w:szCs w:val="20"/>
          <w:color w:val="auto"/>
        </w:rPr>
      </w:pPr>
      <w:r>
        <w:rPr>
          <w:rFonts w:ascii="Arial" w:cs="Arial" w:eastAsia="Arial" w:hAnsi="Arial"/>
          <w:sz w:val="32"/>
          <w:szCs w:val="32"/>
          <w:b w:val="1"/>
          <w:bCs w:val="1"/>
          <w:color w:val="auto"/>
        </w:rPr>
        <w:t>$1,300,000,000</w:t>
      </w:r>
    </w:p>
    <w:p>
      <w:pPr>
        <w:spacing w:after="0" w:line="145" w:lineRule="exact"/>
        <w:rPr>
          <w:sz w:val="20"/>
          <w:szCs w:val="20"/>
          <w:color w:val="auto"/>
        </w:rPr>
      </w:pPr>
    </w:p>
    <w:p>
      <w:pPr>
        <w:ind w:left="4160"/>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Capital Corp.</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388"/>
        </w:trPr>
        <w:tc>
          <w:tcPr>
            <w:tcW w:w="840" w:type="dxa"/>
            <w:vAlign w:val="bottom"/>
          </w:tcPr>
          <w:p>
            <w:pPr>
              <w:spacing w:after="0"/>
              <w:rPr>
                <w:sz w:val="24"/>
                <w:szCs w:val="24"/>
                <w:color w:val="auto"/>
              </w:rPr>
            </w:pPr>
          </w:p>
        </w:tc>
        <w:tc>
          <w:tcPr>
            <w:tcW w:w="9760" w:type="dxa"/>
            <w:vAlign w:val="bottom"/>
            <w:gridSpan w:val="3"/>
          </w:tcPr>
          <w:p>
            <w:pPr>
              <w:jc w:val="center"/>
              <w:ind w:right="940"/>
              <w:spacing w:after="0"/>
              <w:rPr>
                <w:sz w:val="20"/>
                <w:szCs w:val="20"/>
                <w:color w:val="auto"/>
              </w:rPr>
            </w:pPr>
            <w:r>
              <w:rPr>
                <w:rFonts w:ascii="Arial" w:cs="Arial" w:eastAsia="Arial" w:hAnsi="Arial"/>
                <w:sz w:val="22"/>
                <w:szCs w:val="22"/>
                <w:b w:val="1"/>
                <w:bCs w:val="1"/>
                <w:color w:val="auto"/>
                <w:w w:val="89"/>
              </w:rPr>
              <w:t xml:space="preserve">6 </w:t>
            </w:r>
            <w:r>
              <w:rPr>
                <w:rFonts w:ascii="Arial" w:cs="Arial" w:eastAsia="Arial" w:hAnsi="Arial"/>
                <w:sz w:val="29"/>
                <w:szCs w:val="29"/>
                <w:b w:val="1"/>
                <w:bCs w:val="1"/>
                <w:color w:val="auto"/>
                <w:w w:val="89"/>
                <w:vertAlign w:val="superscript"/>
              </w:rPr>
              <w:t>5</w:t>
            </w:r>
            <w:r>
              <w:rPr>
                <w:rFonts w:ascii="Arial" w:cs="Arial" w:eastAsia="Arial" w:hAnsi="Arial"/>
                <w:sz w:val="22"/>
                <w:szCs w:val="22"/>
                <w:b w:val="1"/>
                <w:bCs w:val="1"/>
                <w:color w:val="auto"/>
                <w:w w:val="89"/>
              </w:rPr>
              <w:t>/</w:t>
            </w:r>
            <w:r>
              <w:rPr>
                <w:rFonts w:ascii="Arial" w:cs="Arial" w:eastAsia="Arial" w:hAnsi="Arial"/>
                <w:sz w:val="13"/>
                <w:szCs w:val="13"/>
                <w:b w:val="1"/>
                <w:bCs w:val="1"/>
                <w:color w:val="auto"/>
                <w:w w:val="89"/>
              </w:rPr>
              <w:t>8</w:t>
            </w:r>
            <w:r>
              <w:rPr>
                <w:rFonts w:ascii="Arial" w:cs="Arial" w:eastAsia="Arial" w:hAnsi="Arial"/>
                <w:sz w:val="22"/>
                <w:szCs w:val="22"/>
                <w:b w:val="1"/>
                <w:bCs w:val="1"/>
                <w:color w:val="auto"/>
                <w:w w:val="89"/>
              </w:rPr>
              <w:t>% First Mortgage Notes due 2014</w:t>
            </w:r>
          </w:p>
        </w:tc>
      </w:tr>
      <w:tr>
        <w:trPr>
          <w:trHeight w:val="287"/>
        </w:trPr>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140" w:type="dxa"/>
            <w:vAlign w:val="bottom"/>
          </w:tcPr>
          <w:p>
            <w:pPr>
              <w:spacing w:after="0"/>
              <w:rPr>
                <w:sz w:val="24"/>
                <w:szCs w:val="24"/>
                <w:color w:val="auto"/>
              </w:rPr>
            </w:pPr>
          </w:p>
        </w:tc>
      </w:tr>
      <w:tr>
        <w:trPr>
          <w:trHeight w:val="452"/>
        </w:trPr>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56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w w:val="93"/>
              </w:rPr>
              <w:t>PROSPECTUS</w:t>
            </w:r>
          </w:p>
        </w:tc>
      </w:tr>
      <w:tr>
        <w:trPr>
          <w:trHeight w:val="228"/>
        </w:trPr>
        <w:tc>
          <w:tcPr>
            <w:tcW w:w="840" w:type="dxa"/>
            <w:vAlign w:val="bottom"/>
          </w:tcPr>
          <w:p>
            <w:pPr>
              <w:spacing w:after="0"/>
              <w:rPr>
                <w:sz w:val="19"/>
                <w:szCs w:val="19"/>
                <w:color w:val="auto"/>
              </w:rPr>
            </w:pPr>
          </w:p>
        </w:tc>
        <w:tc>
          <w:tcPr>
            <w:tcW w:w="562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rPr>
              <w:t>, 2005</w:t>
            </w:r>
          </w:p>
        </w:tc>
        <w:tc>
          <w:tcPr>
            <w:tcW w:w="4140" w:type="dxa"/>
            <w:vAlign w:val="bottom"/>
          </w:tcPr>
          <w:p>
            <w:pPr>
              <w:spacing w:after="0"/>
              <w:rPr>
                <w:sz w:val="19"/>
                <w:szCs w:val="19"/>
                <w:color w:val="auto"/>
              </w:rPr>
            </w:pPr>
          </w:p>
        </w:tc>
      </w:tr>
      <w:tr>
        <w:trPr>
          <w:trHeight w:val="259"/>
        </w:trPr>
        <w:tc>
          <w:tcPr>
            <w:tcW w:w="8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420" w:type="dxa"/>
            <w:vAlign w:val="bottom"/>
            <w:tcBorders>
              <w:bottom w:val="single" w:sz="8" w:color="auto"/>
            </w:tcBorders>
          </w:tcPr>
          <w:p>
            <w:pPr>
              <w:spacing w:after="0"/>
              <w:rPr>
                <w:sz w:val="22"/>
                <w:szCs w:val="22"/>
                <w:color w:val="auto"/>
              </w:rPr>
            </w:pPr>
          </w:p>
        </w:tc>
        <w:tc>
          <w:tcPr>
            <w:tcW w:w="4140" w:type="dxa"/>
            <w:vAlign w:val="bottom"/>
          </w:tcPr>
          <w:p>
            <w:pPr>
              <w:spacing w:after="0"/>
              <w:rPr>
                <w:sz w:val="22"/>
                <w:szCs w:val="22"/>
                <w:color w:val="auto"/>
              </w:rPr>
            </w:pPr>
          </w:p>
        </w:tc>
      </w:tr>
      <w:tr>
        <w:trPr>
          <w:trHeight w:val="613"/>
        </w:trPr>
        <w:tc>
          <w:tcPr>
            <w:tcW w:w="840" w:type="dxa"/>
            <w:vAlign w:val="bottom"/>
          </w:tcPr>
          <w:p>
            <w:pPr>
              <w:spacing w:after="0"/>
              <w:rPr>
                <w:sz w:val="20"/>
                <w:szCs w:val="20"/>
                <w:color w:val="auto"/>
              </w:rPr>
            </w:pPr>
            <w:r>
              <w:rPr>
                <w:rFonts w:ascii="Arial" w:cs="Arial" w:eastAsia="Arial" w:hAnsi="Arial"/>
                <w:sz w:val="18"/>
                <w:szCs w:val="18"/>
                <w:b w:val="1"/>
                <w:bCs w:val="1"/>
                <w:color w:val="auto"/>
              </w:rPr>
              <w:t>Until</w:t>
            </w:r>
          </w:p>
        </w:tc>
        <w:tc>
          <w:tcPr>
            <w:tcW w:w="9760" w:type="dxa"/>
            <w:vAlign w:val="bottom"/>
            <w:gridSpan w:val="3"/>
          </w:tcPr>
          <w:p>
            <w:pPr>
              <w:ind w:left="460"/>
              <w:spacing w:after="0"/>
              <w:rPr>
                <w:sz w:val="20"/>
                <w:szCs w:val="20"/>
                <w:color w:val="auto"/>
              </w:rPr>
            </w:pPr>
            <w:r>
              <w:rPr>
                <w:rFonts w:ascii="Arial" w:cs="Arial" w:eastAsia="Arial" w:hAnsi="Arial"/>
                <w:sz w:val="18"/>
                <w:szCs w:val="18"/>
                <w:b w:val="1"/>
                <w:bCs w:val="1"/>
                <w:color w:val="auto"/>
                <w:w w:val="87"/>
              </w:rPr>
              <w:t>, 2005, all dealers that effect transactions in these securities, whether or not participating in this offering, may be required to</w:t>
            </w:r>
          </w:p>
        </w:tc>
      </w:tr>
    </w:tbl>
    <w:p>
      <w:pPr>
        <w:spacing w:after="0" w:line="261" w:lineRule="auto"/>
        <w:rPr>
          <w:sz w:val="20"/>
          <w:szCs w:val="20"/>
          <w:color w:val="auto"/>
        </w:rPr>
      </w:pPr>
      <w:r>
        <w:rPr>
          <w:rFonts w:ascii="Arial" w:cs="Arial" w:eastAsia="Arial" w:hAnsi="Arial"/>
          <w:sz w:val="18"/>
          <w:szCs w:val="18"/>
          <w:b w:val="1"/>
          <w:bCs w:val="1"/>
          <w:color w:val="auto"/>
        </w:rPr>
        <w:t>deliver a prospectus. This is in addition to the dealers’ obligation to deliver a prospectus when acting as underwriters and with respect to their unsold allotments or subscriptions.</w:t>
      </w:r>
    </w:p>
    <w:p>
      <w:pPr>
        <w:sectPr>
          <w:pgSz w:w="11900" w:h="16838" w:orient="portrait"/>
          <w:cols w:equalWidth="0" w:num="1">
            <w:col w:w="11180"/>
          </w:cols>
          <w:pgMar w:left="24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Officers, Managers and Members</w:t>
      </w:r>
    </w:p>
    <w:p>
      <w:pPr>
        <w:spacing w:after="0" w:line="8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Section 78.7502 of the Nevada Revised Statutes (the “NRS”) permits a corporation to indemnify any person who was or is a party or is threatened to be made a party to any threatened, pending or completed action, suit or proceeding, whether civil, criminal, administrative or investigative (except an action by or in the right of the corporation), by reason of being or having been an officer, director, employee or agent of the corporation or serving in certain capacities at the request of the corporation. Indemnification may include attorneys’ fees, judgments, fines and amounts paid in settlement actually and reasonably incurred by the person to be indemnified. A corporation may indemnify any person who was or is a party or is threatened to be made a party to any threatened, pending or completed action or suit by or in the right of the corporation to procure a judgment in its favor by reason of being or having been an officer, director, employee or agent of the corporation or serving in certain capacities at the request of the corporation except that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In either case, however, to be entitled to indemnification, the person to be indemnified must not be found to have breached his or her fiduciary duties with such breach involving intentional misconduct, fraud or a knowing violation of the law or must have acted in good faith and in a manner which he or she reasonably believed to be in or not opposed to the best interests of the corporation and, with respect to any criminal action or proceeding, had no reasonable cause to believe his or her conduct was unlawful.</w:t>
      </w:r>
    </w:p>
    <w:p>
      <w:pPr>
        <w:spacing w:after="0" w:line="115"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Section 78.7502 of the NRS also provides that to the extent a director, officer, employee or agent of a corporation has been successful on the merits or otherwise in defense of any such action, he or she must be indemnified by the corporation against expenses, including attorneys’ fees actually and reasonably incurred in connection with the defense.</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Section 78.751 of the NRS permits a corporation, in its articles of incorporation, bylaws or other agreement, to provide for the payment of expenses incurred by an officer or director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w:t>
      </w:r>
    </w:p>
    <w:p>
      <w:pPr>
        <w:spacing w:after="0" w:line="13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Section 78.752 of the NRS permits a corporation to purchase and maintain insurance or make other financial arrangements on behalf of the corporation’s officers, directors, employees or agents, or any persons serving in certain capacities at the request of the corporation, for any liability and expenses incurred by them in their capacities as officers, directors, employees or agents or arising out of their status as such, whether or not the corporation has the authority to indemnify him, her or them against such liability and expenses.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Section 86.411 of the NRS permits a limited liability company to indemnify any person who was or is a party or is threatened to be made a party to any threatened, pending or completed action, suit or proceeding, whether civil, criminal, administrative or investigative (except an action by or in the right of the limited liability company),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reason of being or having been a manager, member, employee or agent of the limited liability company or serving in certain capacities at the request of the limited liability company. As with corporations, indemnification may include attorneys’ fees, judgments, fines and amounts paid in settlement actually and reasonably incurred by the person to be indemnified. Section 86.421 of the NRS permits a limited liability company to indemnify any person who was or is a party or is threatened to be made a party to any threatened, pending or completed action or suit by or in the right of the limited liability company to procure a judgment in its favor by reason of being or having been a manager, member, employee or agent of the limited liability company or serving in certain capacities at the request of the limited liability company except that indemnification may not be made for any claim, issue or matter as to which such a person has been finally adjudged by a court of competent jurisdiction to be liable to the limited liability company or for amounts paid in settlement to the limited liability company,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In either case, however, to be entitled to indemnification, the person to be indemnified must have acted in good faith and in a manner which he or she reasonably believed to be in or not opposed to the best interests of the limited liability company and, with respect to any criminal action or proceeding, had no reasonable cause to believe his or her conduct was unlawful.</w:t>
      </w:r>
    </w:p>
    <w:p>
      <w:pPr>
        <w:spacing w:after="0" w:line="1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86.431 of the NRS also provides that to the extent a manager, member, employee or agent of a limited liability has been successful on the merits or otherwise in defense of any such action, he or she must be indemnified by the limited liability company against expenses, including attorneys’ fees actually and reasonably incurred in connection with the defense.</w:t>
      </w:r>
    </w:p>
    <w:p>
      <w:pPr>
        <w:spacing w:after="0" w:line="12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Section 86.441 of the NRS permits a limited liability company, in its articles of organization, operating agreement or other agreement, to provide for the payment of expenses incurred by members or managers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w:t>
      </w:r>
    </w:p>
    <w:p>
      <w:pPr>
        <w:spacing w:after="0" w:line="13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Section 86.461 of the NRS permits a limited liability to purchase and maintain insurance or make other financial arrangements on behalf of the limited liability company’s managers, members employees or agents, or any persons serving in certain capacities at the request of the limited liability company, for any liability and expenses incurred by them in their capacities as managers, members, employees or agents or arising out of their status as such, whether or not the limited liability company has the authority to indemnify him, her or them against such liability and expenses.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 </w:t>
      </w:r>
      <w:r>
        <w:rPr>
          <w:rFonts w:ascii="Arial" w:cs="Arial" w:eastAsia="Arial" w:hAnsi="Arial"/>
          <w:sz w:val="18"/>
          <w:szCs w:val="18"/>
          <w:b w:val="1"/>
          <w:bCs w:val="1"/>
          <w:i w:val="1"/>
          <w:iCs w:val="1"/>
          <w:color w:val="auto"/>
        </w:rPr>
        <w:t>Exhibits and Financial Statement Schedules.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21(a). </w:t>
      </w:r>
      <w:r>
        <w:rPr>
          <w:rFonts w:ascii="Arial" w:cs="Arial" w:eastAsia="Arial" w:hAnsi="Arial"/>
          <w:sz w:val="18"/>
          <w:szCs w:val="18"/>
          <w:b w:val="1"/>
          <w:bCs w:val="1"/>
          <w:i w:val="1"/>
          <w:iCs w:val="1"/>
          <w:color w:val="auto"/>
        </w:rPr>
        <w:t>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4"/>
        </w:trPr>
        <w:tc>
          <w:tcPr>
            <w:tcW w:w="580" w:type="dxa"/>
            <w:vAlign w:val="bottom"/>
          </w:tcPr>
          <w:p>
            <w:pPr>
              <w:jc w:val="right"/>
              <w:ind w:right="96"/>
              <w:spacing w:after="0"/>
              <w:rPr>
                <w:sz w:val="20"/>
                <w:szCs w:val="20"/>
                <w:color w:val="auto"/>
              </w:rPr>
            </w:pPr>
            <w:r>
              <w:rPr>
                <w:rFonts w:ascii="Arial" w:cs="Arial" w:eastAsia="Arial" w:hAnsi="Arial"/>
                <w:sz w:val="14"/>
                <w:szCs w:val="14"/>
                <w:b w:val="1"/>
                <w:bCs w:val="1"/>
                <w:color w:val="auto"/>
              </w:rPr>
              <w:t>No.</w:t>
            </w:r>
          </w:p>
        </w:tc>
        <w:tc>
          <w:tcPr>
            <w:tcW w:w="5380" w:type="dxa"/>
            <w:vAlign w:val="bottom"/>
          </w:tcPr>
          <w:p>
            <w:pPr>
              <w:spacing w:after="0"/>
              <w:rPr>
                <w:sz w:val="15"/>
                <w:szCs w:val="15"/>
                <w:color w:val="auto"/>
              </w:rPr>
            </w:pPr>
          </w:p>
        </w:tc>
        <w:tc>
          <w:tcPr>
            <w:tcW w:w="2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r>
      <w:tr>
        <w:trPr>
          <w:trHeight w:val="316"/>
        </w:trPr>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w w:val="98"/>
              </w:rPr>
              <w:t>First Amended and Restated Articles of Incorporation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w w:val="95"/>
              </w:rPr>
              <w:t>Certificate of Amendment of the Articles of Incorporation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w w:val="91"/>
              </w:rPr>
              <w:t>First Amendment to the First Amended and Restated Bylaws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w w:val="88"/>
              </w:rPr>
              <w:t>Second Amendment to the First Amended and Restated Bylaws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365"/>
        </w:trPr>
        <w:tc>
          <w:tcPr>
            <w:tcW w:w="580" w:type="dxa"/>
            <w:vAlign w:val="bottom"/>
          </w:tcPr>
          <w:p>
            <w:pPr>
              <w:spacing w:after="0"/>
              <w:rPr>
                <w:sz w:val="24"/>
                <w:szCs w:val="24"/>
                <w:color w:val="auto"/>
              </w:rPr>
            </w:pPr>
          </w:p>
        </w:tc>
        <w:tc>
          <w:tcPr>
            <w:tcW w:w="7900" w:type="dxa"/>
            <w:vAlign w:val="bottom"/>
            <w:gridSpan w:val="3"/>
          </w:tcPr>
          <w:p>
            <w:pPr>
              <w:ind w:left="500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400"/>
          </w:cols>
          <w:pgMar w:left="240" w:top="460" w:right="2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Exhibit</w:t>
            </w:r>
          </w:p>
        </w:tc>
        <w:tc>
          <w:tcPr>
            <w:tcW w:w="4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74"/>
        </w:trPr>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No.</w:t>
            </w:r>
          </w:p>
        </w:tc>
        <w:tc>
          <w:tcPr>
            <w:tcW w:w="4980" w:type="dxa"/>
            <w:vAlign w:val="bottom"/>
          </w:tcPr>
          <w:p>
            <w:pPr>
              <w:spacing w:after="0"/>
              <w:rPr>
                <w:sz w:val="15"/>
                <w:szCs w:val="15"/>
                <w:color w:val="auto"/>
              </w:rPr>
            </w:pPr>
          </w:p>
        </w:tc>
        <w:tc>
          <w:tcPr>
            <w:tcW w:w="56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r>
      <w:tr>
        <w:trPr>
          <w:trHeight w:val="316"/>
        </w:trPr>
        <w:tc>
          <w:tcPr>
            <w:tcW w:w="540" w:type="dxa"/>
            <w:vAlign w:val="bottom"/>
          </w:tcPr>
          <w:p>
            <w:pPr>
              <w:ind w:left="22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324"/>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3.10</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324"/>
        </w:trPr>
        <w:tc>
          <w:tcPr>
            <w:tcW w:w="820" w:type="dxa"/>
            <w:vAlign w:val="bottom"/>
            <w:gridSpan w:val="2"/>
          </w:tcPr>
          <w:p>
            <w:pPr>
              <w:ind w:left="240"/>
              <w:spacing w:after="0"/>
              <w:rPr>
                <w:sz w:val="20"/>
                <w:szCs w:val="20"/>
                <w:color w:val="auto"/>
              </w:rPr>
            </w:pPr>
            <w:r>
              <w:rPr>
                <w:rFonts w:ascii="Arial" w:cs="Arial" w:eastAsia="Arial" w:hAnsi="Arial"/>
                <w:sz w:val="18"/>
                <w:szCs w:val="18"/>
                <w:color w:val="auto"/>
              </w:rPr>
              <w:t>3.11</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324"/>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3.12</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Articles of Organization of Wynn Sunrise, LLC. (1)</w:t>
            </w:r>
          </w:p>
        </w:tc>
      </w:tr>
      <w:tr>
        <w:trPr>
          <w:trHeight w:val="324"/>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3.13</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324"/>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3.14</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324"/>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3.15</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324"/>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3.16</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324"/>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3.17</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318"/>
        </w:trPr>
        <w:tc>
          <w:tcPr>
            <w:tcW w:w="540" w:type="dxa"/>
            <w:vAlign w:val="bottom"/>
          </w:tcPr>
          <w:p>
            <w:pPr>
              <w:ind w:left="22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89"/>
              </w:rPr>
              <w:t>Indenture, dated as of October 30, 2002, governing the 12% Second Mortgage Notes due 2010 by and among Wynn Las Vegas, LLC; Wynn Las</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1"/>
              </w:rPr>
              <w:t>Vegas Capital Corp.; Desert Inn Water Company, LLC; Wynn Design &amp; Development, LLC; Wynn Resorts Holdings, LLC; Las Vegas Jet, LLC;</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0"/>
              </w:rPr>
              <w:t>World Travel, LLC; Palo, LLC; Valvino Lamore, LLC; the Wynn Resorts, Limited Registrant and Wells Fargo Bank, National Association, Inc., as</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trustee. (2)</w:t>
            </w:r>
          </w:p>
        </w:tc>
      </w:tr>
      <w:tr>
        <w:trPr>
          <w:trHeight w:val="318"/>
        </w:trPr>
        <w:tc>
          <w:tcPr>
            <w:tcW w:w="540" w:type="dxa"/>
            <w:vAlign w:val="bottom"/>
          </w:tcPr>
          <w:p>
            <w:pPr>
              <w:ind w:left="22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0"/>
              </w:rPr>
              <w:t>Indenture, dated as of December 14, 2004, among Wynn Las Vegas, LLC, Wynn Las Vegas Capital Corp., the Guarantors set forth therein and</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U.S. Bank National Association, as trustee. (3)</w:t>
            </w:r>
          </w:p>
        </w:tc>
      </w:tr>
      <w:tr>
        <w:trPr>
          <w:trHeight w:val="318"/>
        </w:trPr>
        <w:tc>
          <w:tcPr>
            <w:tcW w:w="540" w:type="dxa"/>
            <w:vAlign w:val="bottom"/>
          </w:tcPr>
          <w:p>
            <w:pPr>
              <w:ind w:left="22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89"/>
              </w:rPr>
              <w:t>Supplemental Indenture, dated as of December 14, 2004, among Wynn Las Vegas, LLC, Wynn Las Vegas Capital Corp., the Guarantors set forth</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therein and Wells Fargo Bank, National Association, as trustee. (3)</w:t>
            </w:r>
          </w:p>
        </w:tc>
      </w:tr>
      <w:tr>
        <w:trPr>
          <w:trHeight w:val="324"/>
        </w:trPr>
        <w:tc>
          <w:tcPr>
            <w:tcW w:w="540" w:type="dxa"/>
            <w:vAlign w:val="bottom"/>
          </w:tcPr>
          <w:p>
            <w:pPr>
              <w:ind w:left="22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Form of Second Mortgage Note (included in Exhibit 4.1) (2)</w:t>
            </w:r>
          </w:p>
        </w:tc>
      </w:tr>
      <w:tr>
        <w:trPr>
          <w:trHeight w:val="324"/>
        </w:trPr>
        <w:tc>
          <w:tcPr>
            <w:tcW w:w="540" w:type="dxa"/>
            <w:vAlign w:val="bottom"/>
          </w:tcPr>
          <w:p>
            <w:pPr>
              <w:ind w:left="22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Form of Notation of Guarantee (included in Exhibit 4.1) (2)</w:t>
            </w:r>
          </w:p>
        </w:tc>
      </w:tr>
      <w:tr>
        <w:trPr>
          <w:trHeight w:val="318"/>
        </w:trPr>
        <w:tc>
          <w:tcPr>
            <w:tcW w:w="540" w:type="dxa"/>
            <w:vAlign w:val="bottom"/>
          </w:tcPr>
          <w:p>
            <w:pPr>
              <w:ind w:left="22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3"/>
              </w:rPr>
              <w:t>Registration Rights Agreement, dated as of December 14, 2004, by and among Wynn Las Vegas, LLC, Wynn Las Vegas Capital Corp., the</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4"/>
              </w:rPr>
              <w:t>Guarantor signatories thereto and Deutsche Bank Securities Inc., Banc of America Securities LLC, Bear, Stearns &amp; Co. Inc., J.P. Morgan</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Securities Inc. and SG Americas Securities, LLC. (4)</w:t>
            </w:r>
          </w:p>
        </w:tc>
      </w:tr>
      <w:tr>
        <w:trPr>
          <w:trHeight w:val="324"/>
        </w:trPr>
        <w:tc>
          <w:tcPr>
            <w:tcW w:w="540" w:type="dxa"/>
            <w:vAlign w:val="bottom"/>
          </w:tcPr>
          <w:p>
            <w:pPr>
              <w:ind w:left="22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Opinion of Skadden, Arps, Slate, Meagher &amp; Flom LLP. (1)</w:t>
            </w:r>
          </w:p>
        </w:tc>
      </w:tr>
      <w:tr>
        <w:trPr>
          <w:trHeight w:val="324"/>
        </w:trPr>
        <w:tc>
          <w:tcPr>
            <w:tcW w:w="540" w:type="dxa"/>
            <w:vAlign w:val="bottom"/>
          </w:tcPr>
          <w:p>
            <w:pPr>
              <w:ind w:left="22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Opinion of Schreck Brignone. (1)</w:t>
            </w:r>
          </w:p>
        </w:tc>
      </w:tr>
      <w:tr>
        <w:trPr>
          <w:trHeight w:val="318"/>
        </w:trPr>
        <w:tc>
          <w:tcPr>
            <w:tcW w:w="5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2"/>
              </w:rPr>
              <w:t>Agreement for Guaranteed Maximum Price Construction Services between Wynn Las Vegas, LLC and Marnell Corrao Associates, Inc. for Le</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Rêve. (5)</w:t>
            </w:r>
          </w:p>
        </w:tc>
      </w:tr>
      <w:tr>
        <w:trPr>
          <w:trHeight w:val="318"/>
        </w:trPr>
        <w:tc>
          <w:tcPr>
            <w:tcW w:w="5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0"/>
              </w:rPr>
              <w:t>Change Order No. 1 to Agreement for Guaranteed Maximum Price Construction Services dated as of August 12, 2002, by and between Marnell</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Corrao Associates, Inc. as Contractor and Wynn Las Vegas, LLC. (6)</w:t>
            </w:r>
          </w:p>
        </w:tc>
      </w:tr>
      <w:tr>
        <w:trPr>
          <w:trHeight w:val="318"/>
        </w:trPr>
        <w:tc>
          <w:tcPr>
            <w:tcW w:w="5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0"/>
              </w:rPr>
              <w:t>Change Order No. 2 to Agreement for Guarantee Maximum Price Construction Services, dated as of August 31, 2003, by and between Marnell</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Corrao Associates, Inc. as Contractor and Wynn Las Vegas, LLC. (7)</w:t>
            </w:r>
          </w:p>
        </w:tc>
      </w:tr>
      <w:tr>
        <w:trPr>
          <w:trHeight w:val="318"/>
        </w:trPr>
        <w:tc>
          <w:tcPr>
            <w:tcW w:w="5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1"/>
              </w:rPr>
              <w:t>Change Order No. 3 to Agreement for Guarantee Maximum Price Construction Services, dated as of March 31, 2004, by and between Marnell</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Corrao Associates, Inc. as Contractor and Wynn Las Vegas. (8)</w:t>
            </w:r>
          </w:p>
        </w:tc>
      </w:tr>
      <w:tr>
        <w:trPr>
          <w:trHeight w:val="318"/>
        </w:trPr>
        <w:tc>
          <w:tcPr>
            <w:tcW w:w="5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2"/>
              </w:rPr>
              <w:t>Change Order No. 4 to Agreement for Guarantee Maximum Price Construction Services, dated as of June 30, 2004, by and between Marnell</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Corrao Associates, Inc. as Contractor and Wynn Las Vegas. (9)</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174"/>
        </w:trPr>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w:t>
            </w:r>
          </w:p>
        </w:tc>
        <w:tc>
          <w:tcPr>
            <w:tcW w:w="4980" w:type="dxa"/>
            <w:vAlign w:val="bottom"/>
          </w:tcPr>
          <w:p>
            <w:pPr>
              <w:spacing w:after="0"/>
              <w:rPr>
                <w:sz w:val="15"/>
                <w:szCs w:val="15"/>
                <w:color w:val="auto"/>
              </w:rPr>
            </w:pPr>
          </w:p>
        </w:tc>
        <w:tc>
          <w:tcPr>
            <w:tcW w:w="55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r>
      <w:tr>
        <w:trPr>
          <w:trHeight w:val="309"/>
        </w:trPr>
        <w:tc>
          <w:tcPr>
            <w:tcW w:w="540" w:type="dxa"/>
            <w:vAlign w:val="bottom"/>
          </w:tcPr>
          <w:p>
            <w:pPr>
              <w:ind w:left="14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0"/>
              </w:rPr>
              <w:t>Change Order No. 5 to Agreement for Guarantee Maximum Price Construction Services, dated as of August 30, 2004, by and between Marnell</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Corrao Associates, Inc. and Wynn Las Vegas, LLC. (10)</w:t>
            </w:r>
          </w:p>
        </w:tc>
      </w:tr>
      <w:tr>
        <w:trPr>
          <w:trHeight w:val="318"/>
        </w:trPr>
        <w:tc>
          <w:tcPr>
            <w:tcW w:w="540" w:type="dxa"/>
            <w:vAlign w:val="bottom"/>
          </w:tcPr>
          <w:p>
            <w:pPr>
              <w:ind w:left="14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88"/>
              </w:rPr>
              <w:t>Change Order No. 6 to Agreement for Guarantee Maximum Price Construction Services, dated as of November 30, 2004, by and between Marnell</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Corrao Associates, Inc. and Wynn Las Vegas, LLC. (4)</w:t>
            </w:r>
          </w:p>
        </w:tc>
      </w:tr>
      <w:tr>
        <w:trPr>
          <w:trHeight w:val="318"/>
        </w:trPr>
        <w:tc>
          <w:tcPr>
            <w:tcW w:w="540" w:type="dxa"/>
            <w:vAlign w:val="bottom"/>
          </w:tcPr>
          <w:p>
            <w:pPr>
              <w:ind w:left="14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88"/>
              </w:rPr>
              <w:t>Change Order No. 7 to Agreement for Guarantee Maximum Price Construction Services, dated as of December 30, 2004, by and between Marnell</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Corrao Associates, Inc. and Wynn Las Vegas, LLC. (4)</w:t>
            </w:r>
          </w:p>
        </w:tc>
      </w:tr>
      <w:tr>
        <w:trPr>
          <w:trHeight w:val="324"/>
        </w:trPr>
        <w:tc>
          <w:tcPr>
            <w:tcW w:w="540" w:type="dxa"/>
            <w:vAlign w:val="bottom"/>
          </w:tcPr>
          <w:p>
            <w:pPr>
              <w:ind w:left="14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Amended and Restated Continuing Guaranty, dated October 22, 2002, by Austi, Inc. in favor of Wynn Las Vegas, LLC. (2)</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10.10</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Design/Build Agreement, dated June 6, 2002, by and between Wynn Las Vegas, LLC and Bomel Construction Company, Inc. (5)</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0"/>
              </w:rPr>
              <w:t>Lump Sum Agreement, by and between Wynn Las Vegas, LLC and Wadsworth Golf Construction Company, effective as of February 18, 2003.</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80" w:type="dxa"/>
            <w:vAlign w:val="bottom"/>
          </w:tcPr>
          <w:p>
            <w:pPr>
              <w:ind w:left="260"/>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10.12</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the Bank Agent, and U.S. Bank National Association, as Indenture Trustee. (4)</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10.13</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89"/>
              </w:rPr>
              <w:t>Purchase Agreement, dated October 25, 2002, by and among Wynn Las Vegas, LLC, Wynn Las Vegas Capital Corp. and Stephen A. Wynn. (2)</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10.14</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10.15</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5"/>
              </w:rPr>
              <w:t>License Agreement, dated October 31, 2002, by and between Wynn Las Vegas, LLC and Calitri Services and Licensing Limited Liability</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Company. (12)</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10.16</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5"/>
              </w:rPr>
              <w:t>Production Services Agreement, dated October 31, 2002, by and between Wynn Las Vegas, LLC and Productions Du Dragon, S.A. (12)</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10.17</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0"/>
              </w:rPr>
              <w:t>Acknowledgement and Agreement, dated as of September 1, 2004, among Wynn Las Vegas, LLC, Wells Fargo Bank, National Association and</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the lenders named therein. (13)</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10.18</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88"/>
              </w:rPr>
              <w:t>Third Amended and Restated Art Rental and Licensing Agreement, dated as of August 6, 2004, by and between Stephen A. Wynn and Wynn Las</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Vegas, LLC. (10)</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10.19</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88"/>
              </w:rPr>
              <w:t>Credit Agreement, dated as of December 14, 2004, among Wynn Las Vegas, LLC, Deutsche Bank Securities Inc., Deutsche Bank Trust Company</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1"/>
              </w:rPr>
              <w:t>Americas, Banc of America Securities LLC, Bank of America, N.A., Bear Stearns Corporate Lending Inc., Bear, Stearns &amp; Co. Inc., JPMorgan</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Chase Bank, N.A., J.P. Morgan Securities Inc., Société Générale and SG Americas Securities, LLC. (3)</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10.20</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Las</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89"/>
              </w:rPr>
              <w:t>Vegas, LLC, as trustor, to Nevada Title Company, as trustee, for the benefit of Deutsche Bank Trust Company Americas, as collateral agent. (4)</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10.21</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88"/>
              </w:rPr>
              <w:t>Deed of Trust, Assignment of Rents and Leases, Security Agreement and Fixture Filing, dated as of December 14, 2004, made by Wynn Sunrise,</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4"/>
              </w:rPr>
              <w:t>LLC, as trustor, to Nevada Title Company, as trustee, for the benefit of Deutsche Bank Trust Company Americas, as collateral agent. (4)</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10.22</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4"/>
              </w:rPr>
              <w:t>LLC, as trustor, to Nevada Title Company, as trustee, for the benefit of Deutsche Bank Trust Company Americas, as collateral agent. (4)</w:t>
            </w: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60" w:right="2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74"/>
        </w:trPr>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w:t>
            </w:r>
          </w:p>
        </w:tc>
        <w:tc>
          <w:tcPr>
            <w:tcW w:w="4980" w:type="dxa"/>
            <w:vAlign w:val="bottom"/>
          </w:tcPr>
          <w:p>
            <w:pPr>
              <w:spacing w:after="0"/>
              <w:rPr>
                <w:sz w:val="15"/>
                <w:szCs w:val="15"/>
                <w:color w:val="auto"/>
              </w:rPr>
            </w:pPr>
          </w:p>
        </w:tc>
        <w:tc>
          <w:tcPr>
            <w:tcW w:w="5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r>
      <w:tr>
        <w:trPr>
          <w:trHeight w:val="309"/>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10.23</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10.24</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88"/>
              </w:rPr>
              <w:t>Master Disbursement Agreement, dated as of December 14, 2004, among Wynn Las Vegas, LLC, Wynn Las Vegas Capital Corp., Deutsche Bank</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Trust Company Americas and U.S. Bank National Association. (3)</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10.25</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10.26</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10.27</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87"/>
              </w:rPr>
              <w:t>Management Fees Subordination Agreement, dated as of December 14, 2004, by Wynn Resorts, Limited, Wynn Las Vegas, LLC, Wynn Las Vegas</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89"/>
              </w:rPr>
              <w:t xml:space="preserve">Capital Corp., and those subsidiaries of Wynn Las Vegas, LLC listed on </w:t>
            </w:r>
            <w:r>
              <w:rPr>
                <w:rFonts w:ascii="Arial" w:cs="Arial" w:eastAsia="Arial" w:hAnsi="Arial"/>
                <w:sz w:val="18"/>
                <w:szCs w:val="18"/>
                <w:i w:val="1"/>
                <w:iCs w:val="1"/>
                <w:color w:val="auto"/>
                <w:w w:val="89"/>
              </w:rPr>
              <w:t>Exhibit A</w:t>
            </w:r>
            <w:r>
              <w:rPr>
                <w:rFonts w:ascii="Arial" w:cs="Arial" w:eastAsia="Arial" w:hAnsi="Arial"/>
                <w:sz w:val="18"/>
                <w:szCs w:val="18"/>
                <w:color w:val="auto"/>
                <w:w w:val="89"/>
              </w:rPr>
              <w:t xml:space="preserve"> hereto in favor of Deutsche Bank Trust Company Americas, as</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administrative agent, and U.S. Bank National Association, as trustee. (4)</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10.28</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88"/>
              </w:rPr>
              <w:t>Management Agreement, made as of December 14, 2004, by and among Wynn Las Vegas, LLC, Wynn Show Performers, LLC, Wynn Las Vegas</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(4)</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10.29</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Fargo Bank, National Association, as Trustee. (4)</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10.30</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88"/>
              </w:rPr>
              <w:t>Amended and Restated Project Administration Services Agreement, dated December 14, 2004, between Wynn Las Vegas, LLC and Wynn Design</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&amp; Development, LLC. (4)</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10.31</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Wynn Las Vegas, LLC. (4)</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10.32</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as of September 16, 2003 by and between Wynn Las Vegas, LLC and David Sisk. (1)</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10.33</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9"/>
              </w:rPr>
              <w:t>First Amendment to Employment Agreement, dated October 20, 2003, by and between Wynn Las Vegas, LLC and David Sisk. (1)</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10.34</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as of December 11, 2002 by and between Wynn Las Vegas, LLC and Arthur Nathan. (1)</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10.35</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7"/>
              </w:rPr>
              <w:t>First Amendment to Employment Agreement, dated August 28, 2003, by and between Wynn Las Vegas, LLC and Arthur Nathan. (1)</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10.36</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as of December 16, 2002 by and between Wynn Las Vegas, LLC and James E. Pettis. (1)</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10.37</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9"/>
              </w:rPr>
              <w:t>First Amendment to Employment Agreement, dated June 7, 2004, by and between Wynn Las Vegas, LLC and James E. Pettis. (1)</w:t>
            </w:r>
          </w:p>
        </w:tc>
      </w:tr>
      <w:tr>
        <w:trPr>
          <w:trHeight w:val="324"/>
        </w:trPr>
        <w:tc>
          <w:tcPr>
            <w:tcW w:w="540" w:type="dxa"/>
            <w:vAlign w:val="bottom"/>
          </w:tcPr>
          <w:p>
            <w:pPr>
              <w:ind w:left="14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4"/>
                <w:szCs w:val="24"/>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Statements re Computation of Ratios. (1)</w:t>
            </w:r>
          </w:p>
        </w:tc>
      </w:tr>
      <w:tr>
        <w:trPr>
          <w:trHeight w:val="365"/>
        </w:trPr>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580" w:type="dxa"/>
            <w:vAlign w:val="bottom"/>
            <w:gridSpan w:val="3"/>
          </w:tcPr>
          <w:p>
            <w:pPr>
              <w:ind w:left="476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174"/>
        </w:trPr>
        <w:tc>
          <w:tcPr>
            <w:tcW w:w="540" w:type="dxa"/>
            <w:vAlign w:val="bottom"/>
          </w:tcPr>
          <w:p>
            <w:pPr>
              <w:jc w:val="right"/>
              <w:ind w:right="76"/>
              <w:spacing w:after="0"/>
              <w:rPr>
                <w:sz w:val="20"/>
                <w:szCs w:val="20"/>
                <w:color w:val="auto"/>
              </w:rPr>
            </w:pPr>
            <w:r>
              <w:rPr>
                <w:rFonts w:ascii="Arial" w:cs="Arial" w:eastAsia="Arial" w:hAnsi="Arial"/>
                <w:sz w:val="14"/>
                <w:szCs w:val="14"/>
                <w:b w:val="1"/>
                <w:bCs w:val="1"/>
                <w:color w:val="auto"/>
              </w:rPr>
              <w:t>No.</w:t>
            </w:r>
          </w:p>
        </w:tc>
        <w:tc>
          <w:tcPr>
            <w:tcW w:w="5260" w:type="dxa"/>
            <w:vAlign w:val="bottom"/>
          </w:tcPr>
          <w:p>
            <w:pPr>
              <w:spacing w:after="0"/>
              <w:rPr>
                <w:sz w:val="15"/>
                <w:szCs w:val="15"/>
                <w:color w:val="auto"/>
              </w:rPr>
            </w:pPr>
          </w:p>
        </w:tc>
        <w:tc>
          <w:tcPr>
            <w:tcW w:w="53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r>
      <w:tr>
        <w:trPr>
          <w:trHeight w:val="424"/>
        </w:trPr>
        <w:tc>
          <w:tcPr>
            <w:tcW w:w="540" w:type="dxa"/>
            <w:vAlign w:val="bottom"/>
          </w:tcPr>
          <w:p>
            <w:pPr>
              <w:jc w:val="right"/>
              <w:ind w:right="16"/>
              <w:spacing w:after="0"/>
              <w:rPr>
                <w:sz w:val="20"/>
                <w:szCs w:val="20"/>
                <w:color w:val="auto"/>
              </w:rPr>
            </w:pPr>
            <w:r>
              <w:rPr>
                <w:rFonts w:ascii="Arial" w:cs="Arial" w:eastAsia="Arial" w:hAnsi="Arial"/>
                <w:sz w:val="18"/>
                <w:szCs w:val="18"/>
                <w:color w:val="auto"/>
              </w:rPr>
              <w:t>21.1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Subsidiaries of the Registrant. (1)</w:t>
            </w:r>
          </w:p>
        </w:tc>
      </w:tr>
      <w:tr>
        <w:trPr>
          <w:trHeight w:val="324"/>
        </w:trPr>
        <w:tc>
          <w:tcPr>
            <w:tcW w:w="540" w:type="dxa"/>
            <w:vAlign w:val="bottom"/>
          </w:tcPr>
          <w:p>
            <w:pPr>
              <w:jc w:val="right"/>
              <w:ind w:right="16"/>
              <w:spacing w:after="0"/>
              <w:rPr>
                <w:sz w:val="20"/>
                <w:szCs w:val="20"/>
                <w:color w:val="auto"/>
              </w:rPr>
            </w:pPr>
            <w:r>
              <w:rPr>
                <w:rFonts w:ascii="Arial" w:cs="Arial" w:eastAsia="Arial" w:hAnsi="Arial"/>
                <w:sz w:val="18"/>
                <w:szCs w:val="18"/>
                <w:color w:val="auto"/>
              </w:rPr>
              <w:t>23.1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Consent of Deloitte &amp; Touche LLP. (1)</w:t>
            </w:r>
          </w:p>
        </w:tc>
      </w:tr>
      <w:tr>
        <w:trPr>
          <w:trHeight w:val="324"/>
        </w:trPr>
        <w:tc>
          <w:tcPr>
            <w:tcW w:w="540" w:type="dxa"/>
            <w:vAlign w:val="bottom"/>
          </w:tcPr>
          <w:p>
            <w:pPr>
              <w:jc w:val="right"/>
              <w:ind w:right="16"/>
              <w:spacing w:after="0"/>
              <w:rPr>
                <w:sz w:val="20"/>
                <w:szCs w:val="20"/>
                <w:color w:val="auto"/>
              </w:rPr>
            </w:pPr>
            <w:r>
              <w:rPr>
                <w:rFonts w:ascii="Arial" w:cs="Arial" w:eastAsia="Arial" w:hAnsi="Arial"/>
                <w:sz w:val="18"/>
                <w:szCs w:val="18"/>
                <w:color w:val="auto"/>
              </w:rPr>
              <w:t>23.2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Consent of Skadden, Arps, Slate, Meagher &amp; Flom LLP (included in Exhibit 5.1). (1)</w:t>
            </w:r>
          </w:p>
        </w:tc>
      </w:tr>
      <w:tr>
        <w:trPr>
          <w:trHeight w:val="324"/>
        </w:trPr>
        <w:tc>
          <w:tcPr>
            <w:tcW w:w="540" w:type="dxa"/>
            <w:vAlign w:val="bottom"/>
          </w:tcPr>
          <w:p>
            <w:pPr>
              <w:jc w:val="right"/>
              <w:ind w:right="16"/>
              <w:spacing w:after="0"/>
              <w:rPr>
                <w:sz w:val="20"/>
                <w:szCs w:val="20"/>
                <w:color w:val="auto"/>
              </w:rPr>
            </w:pPr>
            <w:r>
              <w:rPr>
                <w:rFonts w:ascii="Arial" w:cs="Arial" w:eastAsia="Arial" w:hAnsi="Arial"/>
                <w:sz w:val="18"/>
                <w:szCs w:val="18"/>
                <w:color w:val="auto"/>
              </w:rPr>
              <w:t>23.3</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Consent of Schreck Brignone (included in Exhibit 5.2). (1)</w:t>
            </w:r>
          </w:p>
        </w:tc>
      </w:tr>
      <w:tr>
        <w:trPr>
          <w:trHeight w:val="324"/>
        </w:trPr>
        <w:tc>
          <w:tcPr>
            <w:tcW w:w="540" w:type="dxa"/>
            <w:vAlign w:val="bottom"/>
          </w:tcPr>
          <w:p>
            <w:pPr>
              <w:jc w:val="right"/>
              <w:ind w:right="16"/>
              <w:spacing w:after="0"/>
              <w:rPr>
                <w:sz w:val="20"/>
                <w:szCs w:val="20"/>
                <w:color w:val="auto"/>
              </w:rPr>
            </w:pPr>
            <w:r>
              <w:rPr>
                <w:rFonts w:ascii="Arial" w:cs="Arial" w:eastAsia="Arial" w:hAnsi="Arial"/>
                <w:sz w:val="18"/>
                <w:szCs w:val="18"/>
                <w:color w:val="auto"/>
              </w:rPr>
              <w:t>24.1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Powers of Attorney (included in the signature pages to the Registration Statement). (1)</w:t>
            </w:r>
          </w:p>
        </w:tc>
      </w:tr>
      <w:tr>
        <w:trPr>
          <w:trHeight w:val="318"/>
        </w:trPr>
        <w:tc>
          <w:tcPr>
            <w:tcW w:w="540" w:type="dxa"/>
            <w:vAlign w:val="bottom"/>
          </w:tcPr>
          <w:p>
            <w:pPr>
              <w:jc w:val="right"/>
              <w:ind w:right="16"/>
              <w:spacing w:after="0"/>
              <w:rPr>
                <w:sz w:val="20"/>
                <w:szCs w:val="20"/>
                <w:color w:val="auto"/>
              </w:rPr>
            </w:pPr>
            <w:r>
              <w:rPr>
                <w:rFonts w:ascii="Arial" w:cs="Arial" w:eastAsia="Arial" w:hAnsi="Arial"/>
                <w:sz w:val="18"/>
                <w:szCs w:val="18"/>
                <w:color w:val="auto"/>
              </w:rPr>
              <w:t>25.1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r>
      <w:tr>
        <w:trPr>
          <w:trHeight w:val="299"/>
        </w:trPr>
        <w:tc>
          <w:tcPr>
            <w:tcW w:w="540" w:type="dxa"/>
            <w:vAlign w:val="bottom"/>
          </w:tcPr>
          <w:p>
            <w:pPr>
              <w:spacing w:after="0"/>
              <w:rPr>
                <w:sz w:val="24"/>
                <w:szCs w:val="24"/>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 xml:space="preserve">LLC and Wynn Las Vegas Capital Corp.’s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(1)</w:t>
            </w:r>
          </w:p>
        </w:tc>
      </w:tr>
      <w:tr>
        <w:trPr>
          <w:trHeight w:val="248"/>
        </w:trPr>
        <w:tc>
          <w:tcPr>
            <w:tcW w:w="540" w:type="dxa"/>
            <w:vAlign w:val="bottom"/>
          </w:tcPr>
          <w:p>
            <w:pPr>
              <w:jc w:val="right"/>
              <w:ind w:right="16"/>
              <w:spacing w:after="0"/>
              <w:rPr>
                <w:sz w:val="20"/>
                <w:szCs w:val="20"/>
                <w:color w:val="auto"/>
              </w:rPr>
            </w:pPr>
            <w:r>
              <w:rPr>
                <w:rFonts w:ascii="Arial" w:cs="Arial" w:eastAsia="Arial" w:hAnsi="Arial"/>
                <w:sz w:val="18"/>
                <w:szCs w:val="18"/>
                <w:color w:val="auto"/>
              </w:rPr>
              <w:t>99.1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Letter of Transmittal. (1)</w:t>
            </w:r>
          </w:p>
        </w:tc>
      </w:tr>
      <w:tr>
        <w:trPr>
          <w:trHeight w:val="324"/>
        </w:trPr>
        <w:tc>
          <w:tcPr>
            <w:tcW w:w="540" w:type="dxa"/>
            <w:vAlign w:val="bottom"/>
          </w:tcPr>
          <w:p>
            <w:pPr>
              <w:jc w:val="right"/>
              <w:ind w:right="16"/>
              <w:spacing w:after="0"/>
              <w:rPr>
                <w:sz w:val="20"/>
                <w:szCs w:val="20"/>
                <w:color w:val="auto"/>
              </w:rPr>
            </w:pPr>
            <w:r>
              <w:rPr>
                <w:rFonts w:ascii="Arial" w:cs="Arial" w:eastAsia="Arial" w:hAnsi="Arial"/>
                <w:sz w:val="18"/>
                <w:szCs w:val="18"/>
                <w:color w:val="auto"/>
              </w:rPr>
              <w:t>99.2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Notice of Guaranteed Delivery. (1)</w:t>
            </w:r>
          </w:p>
        </w:tc>
      </w:tr>
      <w:tr>
        <w:trPr>
          <w:trHeight w:val="324"/>
        </w:trPr>
        <w:tc>
          <w:tcPr>
            <w:tcW w:w="540" w:type="dxa"/>
            <w:vAlign w:val="bottom"/>
          </w:tcPr>
          <w:p>
            <w:pPr>
              <w:jc w:val="right"/>
              <w:ind w:right="16"/>
              <w:spacing w:after="0"/>
              <w:rPr>
                <w:sz w:val="20"/>
                <w:szCs w:val="20"/>
                <w:color w:val="auto"/>
              </w:rPr>
            </w:pPr>
            <w:r>
              <w:rPr>
                <w:rFonts w:ascii="Arial" w:cs="Arial" w:eastAsia="Arial" w:hAnsi="Arial"/>
                <w:sz w:val="18"/>
                <w:szCs w:val="18"/>
                <w:color w:val="auto"/>
              </w:rPr>
              <w:t>99.3</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Letter to Clients. (1)</w:t>
            </w:r>
          </w:p>
        </w:tc>
      </w:tr>
      <w:tr>
        <w:trPr>
          <w:trHeight w:val="324"/>
        </w:trPr>
        <w:tc>
          <w:tcPr>
            <w:tcW w:w="540" w:type="dxa"/>
            <w:vAlign w:val="bottom"/>
          </w:tcPr>
          <w:p>
            <w:pPr>
              <w:jc w:val="right"/>
              <w:ind w:right="16"/>
              <w:spacing w:after="0"/>
              <w:rPr>
                <w:sz w:val="20"/>
                <w:szCs w:val="20"/>
                <w:color w:val="auto"/>
              </w:rPr>
            </w:pPr>
            <w:r>
              <w:rPr>
                <w:rFonts w:ascii="Arial" w:cs="Arial" w:eastAsia="Arial" w:hAnsi="Arial"/>
                <w:sz w:val="18"/>
                <w:szCs w:val="18"/>
                <w:color w:val="auto"/>
              </w:rPr>
              <w:t>99.4</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Letter to Brokers, Dealers, Commercial Banks, Trust Companies and Other Nominees.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Incorporated by reference from the Form S-1 filed by Wynn Resorts on June 17,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Form S-1 filed by Wynn Resorts on August 20, 2002 (File No. 333-90600).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13,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5,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August 3,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28,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21(b). </w:t>
      </w:r>
      <w:r>
        <w:rPr>
          <w:rFonts w:ascii="Arial" w:cs="Arial" w:eastAsia="Arial" w:hAnsi="Arial"/>
          <w:sz w:val="18"/>
          <w:szCs w:val="18"/>
          <w:b w:val="1"/>
          <w:bCs w:val="1"/>
          <w:i w:val="1"/>
          <w:iCs w:val="1"/>
          <w:color w:val="auto"/>
        </w:rPr>
        <w:t>Financial Statement Schedules.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00"/>
          </w:cols>
          <w:pgMar w:left="240" w:top="460" w:right="5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22. </w:t>
      </w:r>
      <w:r>
        <w:rPr>
          <w:rFonts w:ascii="Arial" w:cs="Arial" w:eastAsia="Arial" w:hAnsi="Arial"/>
          <w:sz w:val="18"/>
          <w:szCs w:val="18"/>
          <w:b w:val="1"/>
          <w:bCs w:val="1"/>
          <w:i w:val="1"/>
          <w:iCs w:val="1"/>
          <w:color w:val="auto"/>
        </w:rPr>
        <w:t>Undertakings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registrants hereby undertake that:</w:t>
      </w:r>
    </w:p>
    <w:p>
      <w:pPr>
        <w:spacing w:after="0" w:line="77" w:lineRule="exact"/>
        <w:rPr>
          <w:sz w:val="20"/>
          <w:szCs w:val="20"/>
          <w:color w:val="auto"/>
        </w:rPr>
      </w:pPr>
    </w:p>
    <w:p>
      <w:pPr>
        <w:ind w:left="460" w:firstLine="443"/>
        <w:spacing w:after="0" w:line="289" w:lineRule="auto"/>
        <w:tabs>
          <w:tab w:leader="none" w:pos="1147"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3"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undersigned registrants hereby undertake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48"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60" w:right="2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April 13,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11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Stephen A. Wynn and John Strzemp, and each of them singly, as his or her true and lawful attorney-in-fact and agent with full power of substitution and resubstitution for him or her and in his or her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86"/>
              </w:rPr>
              <w:t>Signature</w:t>
            </w:r>
          </w:p>
        </w:tc>
        <w:tc>
          <w:tcPr>
            <w:tcW w:w="2040" w:type="dxa"/>
            <w:vAlign w:val="bottom"/>
          </w:tcPr>
          <w:p>
            <w:pPr>
              <w:spacing w:after="0"/>
              <w:rPr>
                <w:sz w:val="15"/>
                <w:szCs w:val="15"/>
                <w:color w:val="auto"/>
              </w:rPr>
            </w:pPr>
          </w:p>
        </w:tc>
        <w:tc>
          <w:tcPr>
            <w:tcW w:w="2620" w:type="dxa"/>
            <w:vAlign w:val="bottom"/>
            <w:gridSpan w:val="2"/>
          </w:tcPr>
          <w:p>
            <w:pPr>
              <w:ind w:left="6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600" w:type="dxa"/>
            <w:vAlign w:val="bottom"/>
          </w:tcPr>
          <w:p>
            <w:pPr>
              <w:jc w:val="right"/>
              <w:ind w:right="72"/>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Chairman of Board and Chief Executive Officer of</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Executive Officer)</w:t>
            </w: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46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jc w:val="right"/>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 of</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Financial and</w:t>
            </w: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86"/>
              </w:rPr>
              <w:t>John Strzemp</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Vice Chairman of Board</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700" w:type="dxa"/>
            <w:vAlign w:val="bottom"/>
            <w:gridSpan w:val="2"/>
            <w:vMerge w:val="restart"/>
          </w:tcPr>
          <w:p>
            <w:pPr>
              <w:jc w:val="center"/>
              <w:ind w:right="1860"/>
              <w:spacing w:after="0"/>
              <w:rPr>
                <w:sz w:val="20"/>
                <w:szCs w:val="20"/>
                <w:color w:val="auto"/>
              </w:rPr>
            </w:pPr>
            <w:r>
              <w:rPr>
                <w:rFonts w:ascii="Arial" w:cs="Arial" w:eastAsia="Arial" w:hAnsi="Arial"/>
                <w:sz w:val="14"/>
                <w:szCs w:val="14"/>
                <w:b w:val="1"/>
                <w:bCs w:val="1"/>
                <w:color w:val="auto"/>
                <w:w w:val="90"/>
              </w:rPr>
              <w:t>Kazuo Okada</w:t>
            </w:r>
          </w:p>
        </w:tc>
        <w:tc>
          <w:tcPr>
            <w:tcW w:w="46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2"/>
            <w:vMerge w:val="continue"/>
          </w:tcPr>
          <w:p>
            <w:pPr>
              <w:spacing w:after="0"/>
              <w:rPr>
                <w:sz w:val="15"/>
                <w:szCs w:val="15"/>
                <w:color w:val="auto"/>
              </w:rPr>
            </w:pP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1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60" w:type="dxa"/>
            <w:vAlign w:val="bottom"/>
            <w:gridSpan w:val="3"/>
            <w:vMerge w:val="restart"/>
          </w:tcPr>
          <w:p>
            <w:pPr>
              <w:ind w:left="240"/>
              <w:spacing w:after="0"/>
              <w:rPr>
                <w:sz w:val="20"/>
                <w:szCs w:val="20"/>
                <w:color w:val="auto"/>
              </w:rPr>
            </w:pPr>
            <w:r>
              <w:rPr>
                <w:rFonts w:ascii="Arial" w:cs="Arial" w:eastAsia="Arial" w:hAnsi="Arial"/>
                <w:sz w:val="18"/>
                <w:szCs w:val="18"/>
                <w:color w:val="auto"/>
              </w:rPr>
              <w:t>President and Director</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9"/>
              </w:rPr>
              <w:t>Ronald J. Kramer</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Wynn Resorts, Limited</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jc w:val="right"/>
              <w:ind w:right="3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466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60" w:type="dxa"/>
            <w:vAlign w:val="bottom"/>
            <w:gridSpan w:val="3"/>
          </w:tcPr>
          <w:p>
            <w:pPr>
              <w:ind w:left="1020"/>
              <w:spacing w:after="0"/>
              <w:rPr>
                <w:sz w:val="20"/>
                <w:szCs w:val="20"/>
                <w:color w:val="auto"/>
              </w:rPr>
            </w:pPr>
            <w:r>
              <w:rPr>
                <w:rFonts w:ascii="Arial" w:cs="Arial" w:eastAsia="Arial" w:hAnsi="Arial"/>
                <w:sz w:val="18"/>
                <w:szCs w:val="18"/>
                <w:color w:val="auto"/>
              </w:rPr>
              <w:t>S-1</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290703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John A. Moran</w:t>
      </w:r>
    </w:p>
    <w:p>
      <w:pPr>
        <w:spacing w:after="0" w:line="262" w:lineRule="exact"/>
        <w:rPr>
          <w:sz w:val="20"/>
          <w:szCs w:val="20"/>
          <w:color w:val="auto"/>
        </w:rPr>
      </w:pPr>
    </w:p>
    <w:p>
      <w:pPr>
        <w:jc w:val="right"/>
        <w:ind w:right="960"/>
        <w:spacing w:after="0"/>
        <w:tabs>
          <w:tab w:leader="none" w:pos="25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LVIN</w:t>
      </w:r>
      <w:r>
        <w:rPr>
          <w:rFonts w:ascii="Arial" w:cs="Arial" w:eastAsia="Arial" w:hAnsi="Arial"/>
          <w:sz w:val="16"/>
          <w:szCs w:val="16"/>
          <w:color w:val="auto"/>
        </w:rPr>
        <w:t xml:space="preserve"> V. S</w:t>
      </w:r>
      <w:r>
        <w:rPr>
          <w:rFonts w:ascii="Arial" w:cs="Arial" w:eastAsia="Arial" w:hAnsi="Arial"/>
          <w:sz w:val="13"/>
          <w:szCs w:val="13"/>
          <w:color w:val="auto"/>
        </w:rPr>
        <w:t>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Alvin V. Shoemaker</w:t>
      </w:r>
    </w:p>
    <w:p>
      <w:pPr>
        <w:spacing w:after="0" w:line="22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IRIL</w:t>
      </w:r>
      <w:r>
        <w:rPr>
          <w:rFonts w:ascii="Arial" w:cs="Arial" w:eastAsia="Arial" w:hAnsi="Arial"/>
          <w:sz w:val="18"/>
          <w:szCs w:val="18"/>
          <w:color w:val="auto"/>
        </w:rPr>
        <w:t xml:space="preserve"> S</w:t>
      </w:r>
      <w:r>
        <w:rPr>
          <w:rFonts w:ascii="Arial" w:cs="Arial" w:eastAsia="Arial" w:hAnsi="Arial"/>
          <w:sz w:val="14"/>
          <w:szCs w:val="14"/>
          <w:color w:val="auto"/>
        </w:rPr>
        <w:t>OKOLOFF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Kiril Sokoloff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90703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 Boone Wayson</w:t>
      </w:r>
    </w:p>
    <w:p>
      <w:pPr>
        <w:spacing w:after="0" w:line="26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LAINE</w:t>
      </w:r>
      <w:r>
        <w:rPr>
          <w:rFonts w:ascii="Arial" w:cs="Arial" w:eastAsia="Arial" w:hAnsi="Arial"/>
          <w:sz w:val="16"/>
          <w:szCs w:val="16"/>
          <w:color w:val="auto"/>
        </w:rPr>
        <w:t xml:space="preserve"> P.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Elaine P. Wynn</w:t>
      </w:r>
    </w:p>
    <w:p>
      <w:pPr>
        <w:spacing w:after="0" w:line="222"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TANLEY</w:t>
      </w:r>
      <w:r>
        <w:rPr>
          <w:rFonts w:ascii="Arial" w:cs="Arial" w:eastAsia="Arial" w:hAnsi="Arial"/>
          <w:sz w:val="16"/>
          <w:szCs w:val="16"/>
          <w:color w:val="auto"/>
        </w:rPr>
        <w:t xml:space="preserve"> R. Z</w:t>
      </w:r>
      <w:r>
        <w:rPr>
          <w:rFonts w:ascii="Arial" w:cs="Arial" w:eastAsia="Arial" w:hAnsi="Arial"/>
          <w:sz w:val="13"/>
          <w:szCs w:val="13"/>
          <w:color w:val="auto"/>
        </w:rPr>
        <w: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Stanley R. Zax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90703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Allan Zeman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860"/>
        <w:spacing w:after="0"/>
        <w:tabs>
          <w:tab w:leader="none" w:pos="5240" w:val="left"/>
        </w:tabs>
        <w:rPr>
          <w:sz w:val="20"/>
          <w:szCs w:val="20"/>
          <w:color w:val="auto"/>
        </w:rPr>
      </w:pP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-633730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68580</wp:posOffset>
            </wp:positionV>
            <wp:extent cx="23177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68580</wp:posOffset>
            </wp:positionV>
            <wp:extent cx="24003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219"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219"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S-2</w:t>
      </w:r>
    </w:p>
    <w:p>
      <w:pPr>
        <w:sectPr>
          <w:pgSz w:w="11900" w:h="16838" w:orient="portrait"/>
          <w:cols w:equalWidth="0" w:num="2">
            <w:col w:w="4100" w:space="720"/>
            <w:col w:w="5920"/>
          </w:cols>
          <w:pgMar w:left="240" w:top="460" w:right="9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April 13,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CAPITAL CORP.</w:t>
      </w:r>
    </w:p>
    <w:p>
      <w:pPr>
        <w:spacing w:after="0" w:line="117"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Stephen A. Wynn and John Strzemp, and each of them singly, as his or her true and lawful attorney-in-fact and agent with full power of substitution and resubstitution for him or her and in his or her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5"/>
                <w:szCs w:val="15"/>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600" w:type="dxa"/>
            <w:vAlign w:val="bottom"/>
          </w:tcPr>
          <w:p>
            <w:pPr>
              <w:ind w:left="128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Chief Executive Officer and Director (Principal</w:t>
            </w:r>
          </w:p>
        </w:tc>
        <w:tc>
          <w:tcPr>
            <w:tcW w:w="1600" w:type="dxa"/>
            <w:vAlign w:val="bottom"/>
            <w:gridSpan w:val="3"/>
          </w:tcPr>
          <w:p>
            <w:pPr>
              <w:jc w:val="center"/>
              <w:ind w:left="4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56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Executive Officer)</w:t>
            </w: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456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440"/>
              <w:spacing w:after="0"/>
              <w:rPr>
                <w:sz w:val="20"/>
                <w:szCs w:val="20"/>
                <w:color w:val="auto"/>
              </w:rPr>
            </w:pPr>
            <w:r>
              <w:rPr>
                <w:rFonts w:ascii="Arial" w:cs="Arial" w:eastAsia="Arial" w:hAnsi="Arial"/>
                <w:sz w:val="18"/>
                <w:szCs w:val="18"/>
                <w:color w:val="auto"/>
                <w:w w:val="73"/>
              </w:rPr>
              <w:t>/s/</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w:t>
            </w:r>
          </w:p>
        </w:tc>
        <w:tc>
          <w:tcPr>
            <w:tcW w:w="1600" w:type="dxa"/>
            <w:vAlign w:val="bottom"/>
            <w:gridSpan w:val="3"/>
          </w:tcPr>
          <w:p>
            <w:pPr>
              <w:jc w:val="center"/>
              <w:ind w:left="4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560" w:type="dxa"/>
            <w:vAlign w:val="bottom"/>
            <w:gridSpan w:val="3"/>
            <w:vMerge w:val="restart"/>
          </w:tcPr>
          <w:p>
            <w:pPr>
              <w:ind w:left="460"/>
              <w:spacing w:after="0"/>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John Strzemp</w:t>
            </w:r>
          </w:p>
        </w:tc>
        <w:tc>
          <w:tcPr>
            <w:tcW w:w="456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600" w:type="dxa"/>
            <w:vAlign w:val="bottom"/>
          </w:tcPr>
          <w:p>
            <w:pPr>
              <w:ind w:left="1420"/>
              <w:spacing w:after="0"/>
              <w:rPr>
                <w:sz w:val="20"/>
                <w:szCs w:val="20"/>
                <w:color w:val="auto"/>
              </w:rPr>
            </w:pPr>
            <w:r>
              <w:rPr>
                <w:rFonts w:ascii="Arial" w:cs="Arial" w:eastAsia="Arial" w:hAnsi="Arial"/>
                <w:sz w:val="18"/>
                <w:szCs w:val="18"/>
                <w:color w:val="auto"/>
                <w:w w:val="83"/>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4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Kazuo Okada</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560" w:type="dxa"/>
            <w:vAlign w:val="bottom"/>
            <w:gridSpan w:val="3"/>
            <w:vMerge w:val="restart"/>
          </w:tcPr>
          <w:p>
            <w:pPr>
              <w:ind w:left="240"/>
              <w:spacing w:after="0"/>
              <w:rPr>
                <w:sz w:val="20"/>
                <w:szCs w:val="20"/>
                <w:color w:val="auto"/>
              </w:rPr>
            </w:pPr>
            <w:r>
              <w:rPr>
                <w:rFonts w:ascii="Arial" w:cs="Arial" w:eastAsia="Arial" w:hAnsi="Arial"/>
                <w:sz w:val="18"/>
                <w:szCs w:val="18"/>
                <w:color w:val="auto"/>
              </w:rPr>
              <w:t>Director</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9"/>
              </w:rPr>
              <w:t>Ronald J. Kramer</w:t>
            </w:r>
          </w:p>
        </w:tc>
        <w:tc>
          <w:tcPr>
            <w:tcW w:w="456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600" w:type="dxa"/>
            <w:vAlign w:val="bottom"/>
          </w:tcPr>
          <w:p>
            <w:pPr>
              <w:ind w:left="130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4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560" w:type="dxa"/>
            <w:vAlign w:val="bottom"/>
            <w:gridSpan w:val="3"/>
            <w:vMerge w:val="restart"/>
          </w:tcPr>
          <w:p>
            <w:pPr>
              <w:ind w:left="240"/>
              <w:spacing w:after="0"/>
              <w:rPr>
                <w:sz w:val="20"/>
                <w:szCs w:val="20"/>
                <w:color w:val="auto"/>
              </w:rPr>
            </w:pPr>
            <w:r>
              <w:rPr>
                <w:rFonts w:ascii="Arial" w:cs="Arial" w:eastAsia="Arial" w:hAnsi="Arial"/>
                <w:sz w:val="18"/>
                <w:szCs w:val="18"/>
                <w:color w:val="auto"/>
              </w:rPr>
              <w:t>Director</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John A. Moran</w:t>
            </w:r>
          </w:p>
        </w:tc>
        <w:tc>
          <w:tcPr>
            <w:tcW w:w="456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4580" w:type="dxa"/>
            <w:vAlign w:val="bottom"/>
            <w:gridSpan w:val="4"/>
          </w:tcPr>
          <w:p>
            <w:pPr>
              <w:ind w:left="11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LVIN</w:t>
            </w:r>
            <w:r>
              <w:rPr>
                <w:rFonts w:ascii="Arial" w:cs="Arial" w:eastAsia="Arial" w:hAnsi="Arial"/>
                <w:sz w:val="18"/>
                <w:szCs w:val="18"/>
                <w:color w:val="auto"/>
              </w:rPr>
              <w:t xml:space="preserve"> V. S</w:t>
            </w:r>
            <w:r>
              <w:rPr>
                <w:rFonts w:ascii="Arial" w:cs="Arial" w:eastAsia="Arial" w:hAnsi="Arial"/>
                <w:sz w:val="14"/>
                <w:szCs w:val="14"/>
                <w:color w:val="auto"/>
              </w:rPr>
              <w:t>HOEMAKER</w:t>
            </w: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4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8"/>
              </w:rPr>
              <w:t>Alvin V. Shoemaker</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IRIL</w:t>
            </w:r>
            <w:r>
              <w:rPr>
                <w:rFonts w:ascii="Arial" w:cs="Arial" w:eastAsia="Arial" w:hAnsi="Arial"/>
                <w:sz w:val="18"/>
                <w:szCs w:val="18"/>
                <w:color w:val="auto"/>
              </w:rPr>
              <w:t xml:space="preserve"> S</w:t>
            </w:r>
            <w:r>
              <w:rPr>
                <w:rFonts w:ascii="Arial" w:cs="Arial" w:eastAsia="Arial" w:hAnsi="Arial"/>
                <w:sz w:val="14"/>
                <w:szCs w:val="14"/>
                <w:color w:val="auto"/>
              </w:rPr>
              <w:t>OKOLOFF</w:t>
            </w: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4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1"/>
              </w:rPr>
              <w:t>Kiril Sokoloff</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560" w:type="dxa"/>
            <w:vAlign w:val="bottom"/>
            <w:gridSpan w:val="3"/>
          </w:tcPr>
          <w:p>
            <w:pPr>
              <w:ind w:left="1020"/>
              <w:spacing w:after="0"/>
              <w:rPr>
                <w:sz w:val="20"/>
                <w:szCs w:val="20"/>
                <w:color w:val="auto"/>
              </w:rPr>
            </w:pPr>
            <w:r>
              <w:rPr>
                <w:rFonts w:ascii="Arial" w:cs="Arial" w:eastAsia="Arial" w:hAnsi="Arial"/>
                <w:sz w:val="18"/>
                <w:szCs w:val="18"/>
                <w:color w:val="auto"/>
              </w:rPr>
              <w:t>S-3</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Title</w:t>
            </w:r>
          </w:p>
        </w:tc>
        <w:tc>
          <w:tcPr>
            <w:tcW w:w="3040" w:type="dxa"/>
            <w:vAlign w:val="bottom"/>
          </w:tcPr>
          <w:p>
            <w:pPr>
              <w:spacing w:after="0"/>
              <w:rPr>
                <w:sz w:val="15"/>
                <w:szCs w:val="15"/>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1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420" w:type="dxa"/>
            <w:vAlign w:val="bottom"/>
            <w:gridSpan w:val="2"/>
            <w:vMerge w:val="restart"/>
          </w:tcPr>
          <w:p>
            <w:pPr>
              <w:ind w:left="240"/>
              <w:spacing w:after="0"/>
              <w:rPr>
                <w:sz w:val="20"/>
                <w:szCs w:val="20"/>
                <w:color w:val="auto"/>
              </w:rPr>
            </w:pPr>
            <w:r>
              <w:rPr>
                <w:rFonts w:ascii="Arial" w:cs="Arial" w:eastAsia="Arial" w:hAnsi="Arial"/>
                <w:sz w:val="18"/>
                <w:szCs w:val="18"/>
                <w:color w:val="auto"/>
              </w:rPr>
              <w:t>Director</w:t>
            </w:r>
          </w:p>
        </w:tc>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620" w:type="dxa"/>
            <w:vAlign w:val="bottom"/>
          </w:tcPr>
          <w:p>
            <w:pPr>
              <w:spacing w:after="0"/>
              <w:rPr>
                <w:sz w:val="7"/>
                <w:szCs w:val="7"/>
                <w:color w:val="auto"/>
              </w:rPr>
            </w:pPr>
          </w:p>
        </w:tc>
        <w:tc>
          <w:tcPr>
            <w:tcW w:w="2960" w:type="dxa"/>
            <w:vAlign w:val="bottom"/>
            <w:gridSpan w:val="3"/>
            <w:vMerge w:val="restart"/>
          </w:tcPr>
          <w:p>
            <w:pPr>
              <w:jc w:val="center"/>
              <w:ind w:right="1620"/>
              <w:spacing w:after="0"/>
              <w:rPr>
                <w:sz w:val="20"/>
                <w:szCs w:val="20"/>
                <w:color w:val="auto"/>
              </w:rPr>
            </w:pPr>
            <w:r>
              <w:rPr>
                <w:rFonts w:ascii="Arial" w:cs="Arial" w:eastAsia="Arial" w:hAnsi="Arial"/>
                <w:sz w:val="14"/>
                <w:szCs w:val="14"/>
                <w:b w:val="1"/>
                <w:bCs w:val="1"/>
                <w:color w:val="auto"/>
                <w:w w:val="85"/>
              </w:rPr>
              <w:t>D. Boone Wayson</w:t>
            </w:r>
          </w:p>
        </w:tc>
        <w:tc>
          <w:tcPr>
            <w:tcW w:w="2420" w:type="dxa"/>
            <w:vAlign w:val="bottom"/>
            <w:gridSpan w:val="2"/>
            <w:vMerge w:val="continue"/>
          </w:tcPr>
          <w:p>
            <w:pPr>
              <w:spacing w:after="0"/>
              <w:rPr>
                <w:sz w:val="7"/>
                <w:szCs w:val="7"/>
                <w:color w:val="auto"/>
              </w:rPr>
            </w:pPr>
          </w:p>
        </w:tc>
        <w:tc>
          <w:tcPr>
            <w:tcW w:w="30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20" w:type="dxa"/>
            <w:vAlign w:val="bottom"/>
          </w:tcPr>
          <w:p>
            <w:pPr>
              <w:spacing w:after="0"/>
              <w:rPr>
                <w:sz w:val="15"/>
                <w:szCs w:val="15"/>
                <w:color w:val="auto"/>
              </w:rPr>
            </w:pPr>
          </w:p>
        </w:tc>
        <w:tc>
          <w:tcPr>
            <w:tcW w:w="296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620" w:type="dxa"/>
            <w:vAlign w:val="bottom"/>
          </w:tcPr>
          <w:p>
            <w:pPr>
              <w:ind w:left="1360"/>
              <w:spacing w:after="0"/>
              <w:rPr>
                <w:sz w:val="20"/>
                <w:szCs w:val="20"/>
                <w:color w:val="auto"/>
              </w:rPr>
            </w:pPr>
            <w:r>
              <w:rPr>
                <w:rFonts w:ascii="Arial" w:cs="Arial" w:eastAsia="Arial" w:hAnsi="Arial"/>
                <w:sz w:val="18"/>
                <w:szCs w:val="18"/>
                <w:color w:val="auto"/>
              </w:rPr>
              <w:t>/s/</w:t>
            </w:r>
          </w:p>
        </w:tc>
        <w:tc>
          <w:tcPr>
            <w:tcW w:w="2960" w:type="dxa"/>
            <w:vAlign w:val="bottom"/>
            <w:gridSpan w:val="3"/>
          </w:tcPr>
          <w:p>
            <w:pPr>
              <w:ind w:left="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LAINE</w:t>
            </w:r>
            <w:r>
              <w:rPr>
                <w:rFonts w:ascii="Arial" w:cs="Arial" w:eastAsia="Arial" w:hAnsi="Arial"/>
                <w:sz w:val="18"/>
                <w:szCs w:val="18"/>
                <w:color w:val="auto"/>
              </w:rPr>
              <w:t xml:space="preserve"> P. W</w:t>
            </w:r>
            <w:r>
              <w:rPr>
                <w:rFonts w:ascii="Arial" w:cs="Arial" w:eastAsia="Arial" w:hAnsi="Arial"/>
                <w:sz w:val="14"/>
                <w:szCs w:val="14"/>
                <w:color w:val="auto"/>
              </w:rPr>
              <w:t>YNN</w:t>
            </w:r>
          </w:p>
        </w:tc>
        <w:tc>
          <w:tcPr>
            <w:tcW w:w="242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40" w:type="dxa"/>
            <w:vAlign w:val="bottom"/>
            <w:gridSpan w:val="3"/>
          </w:tcPr>
          <w:p>
            <w:pPr>
              <w:jc w:val="center"/>
              <w:ind w:left="263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0"/>
        </w:trPr>
        <w:tc>
          <w:tcPr>
            <w:tcW w:w="16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296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7"/>
              </w:rPr>
              <w:t>Elaine P. Wynn</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20" w:type="dxa"/>
            <w:vAlign w:val="bottom"/>
          </w:tcPr>
          <w:p>
            <w:pPr>
              <w:ind w:left="1360"/>
              <w:spacing w:after="0"/>
              <w:rPr>
                <w:sz w:val="20"/>
                <w:szCs w:val="20"/>
                <w:color w:val="auto"/>
              </w:rPr>
            </w:pPr>
            <w:r>
              <w:rPr>
                <w:rFonts w:ascii="Arial" w:cs="Arial" w:eastAsia="Arial" w:hAnsi="Arial"/>
                <w:sz w:val="18"/>
                <w:szCs w:val="18"/>
                <w:color w:val="auto"/>
              </w:rPr>
              <w:t>/s/</w:t>
            </w:r>
          </w:p>
        </w:tc>
        <w:tc>
          <w:tcPr>
            <w:tcW w:w="2960" w:type="dxa"/>
            <w:vAlign w:val="bottom"/>
            <w:gridSpan w:val="3"/>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TANLEY</w:t>
            </w:r>
            <w:r>
              <w:rPr>
                <w:rFonts w:ascii="Arial" w:cs="Arial" w:eastAsia="Arial" w:hAnsi="Arial"/>
                <w:sz w:val="18"/>
                <w:szCs w:val="18"/>
                <w:color w:val="auto"/>
              </w:rPr>
              <w:t xml:space="preserve"> R. Z</w:t>
            </w:r>
            <w:r>
              <w:rPr>
                <w:rFonts w:ascii="Arial" w:cs="Arial" w:eastAsia="Arial" w:hAnsi="Arial"/>
                <w:sz w:val="14"/>
                <w:szCs w:val="14"/>
                <w:color w:val="auto"/>
              </w:rPr>
              <w:t>AX</w:t>
            </w:r>
          </w:p>
        </w:tc>
        <w:tc>
          <w:tcPr>
            <w:tcW w:w="242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40" w:type="dxa"/>
            <w:vAlign w:val="bottom"/>
            <w:gridSpan w:val="3"/>
          </w:tcPr>
          <w:p>
            <w:pPr>
              <w:jc w:val="center"/>
              <w:ind w:left="263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0"/>
        </w:trPr>
        <w:tc>
          <w:tcPr>
            <w:tcW w:w="16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296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7"/>
              </w:rPr>
              <w:t>Stanley R. Zax</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1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420" w:type="dxa"/>
            <w:vAlign w:val="bottom"/>
            <w:gridSpan w:val="2"/>
            <w:vMerge w:val="restart"/>
          </w:tcPr>
          <w:p>
            <w:pPr>
              <w:ind w:left="240"/>
              <w:spacing w:after="0"/>
              <w:rPr>
                <w:sz w:val="20"/>
                <w:szCs w:val="20"/>
                <w:color w:val="auto"/>
              </w:rPr>
            </w:pPr>
            <w:r>
              <w:rPr>
                <w:rFonts w:ascii="Arial" w:cs="Arial" w:eastAsia="Arial" w:hAnsi="Arial"/>
                <w:sz w:val="18"/>
                <w:szCs w:val="18"/>
                <w:color w:val="auto"/>
              </w:rPr>
              <w:t>Director</w:t>
            </w:r>
          </w:p>
        </w:tc>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620" w:type="dxa"/>
            <w:vAlign w:val="bottom"/>
          </w:tcPr>
          <w:p>
            <w:pPr>
              <w:spacing w:after="0"/>
              <w:rPr>
                <w:sz w:val="7"/>
                <w:szCs w:val="7"/>
                <w:color w:val="auto"/>
              </w:rPr>
            </w:pPr>
          </w:p>
        </w:tc>
        <w:tc>
          <w:tcPr>
            <w:tcW w:w="2960" w:type="dxa"/>
            <w:vAlign w:val="bottom"/>
            <w:gridSpan w:val="3"/>
            <w:vMerge w:val="restart"/>
          </w:tcPr>
          <w:p>
            <w:pPr>
              <w:jc w:val="center"/>
              <w:ind w:right="1600"/>
              <w:spacing w:after="0"/>
              <w:rPr>
                <w:sz w:val="20"/>
                <w:szCs w:val="20"/>
                <w:color w:val="auto"/>
              </w:rPr>
            </w:pPr>
            <w:r>
              <w:rPr>
                <w:rFonts w:ascii="Arial" w:cs="Arial" w:eastAsia="Arial" w:hAnsi="Arial"/>
                <w:sz w:val="14"/>
                <w:szCs w:val="14"/>
                <w:b w:val="1"/>
                <w:bCs w:val="1"/>
                <w:color w:val="auto"/>
                <w:w w:val="91"/>
              </w:rPr>
              <w:t>Allan Zeman</w:t>
            </w:r>
          </w:p>
        </w:tc>
        <w:tc>
          <w:tcPr>
            <w:tcW w:w="2420" w:type="dxa"/>
            <w:vAlign w:val="bottom"/>
            <w:gridSpan w:val="2"/>
            <w:vMerge w:val="continue"/>
          </w:tcPr>
          <w:p>
            <w:pPr>
              <w:spacing w:after="0"/>
              <w:rPr>
                <w:sz w:val="7"/>
                <w:szCs w:val="7"/>
                <w:color w:val="auto"/>
              </w:rPr>
            </w:pPr>
          </w:p>
        </w:tc>
        <w:tc>
          <w:tcPr>
            <w:tcW w:w="30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20" w:type="dxa"/>
            <w:vAlign w:val="bottom"/>
          </w:tcPr>
          <w:p>
            <w:pPr>
              <w:spacing w:after="0"/>
              <w:rPr>
                <w:sz w:val="15"/>
                <w:szCs w:val="15"/>
                <w:color w:val="auto"/>
              </w:rPr>
            </w:pPr>
          </w:p>
        </w:tc>
        <w:tc>
          <w:tcPr>
            <w:tcW w:w="296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20" w:type="dxa"/>
            <w:vAlign w:val="bottom"/>
            <w:gridSpan w:val="2"/>
          </w:tcPr>
          <w:p>
            <w:pPr>
              <w:ind w:left="1020"/>
              <w:spacing w:after="0"/>
              <w:rPr>
                <w:sz w:val="20"/>
                <w:szCs w:val="20"/>
                <w:color w:val="auto"/>
              </w:rPr>
            </w:pPr>
            <w:r>
              <w:rPr>
                <w:rFonts w:ascii="Arial" w:cs="Arial" w:eastAsia="Arial" w:hAnsi="Arial"/>
                <w:sz w:val="18"/>
                <w:szCs w:val="18"/>
                <w:color w:val="auto"/>
              </w:rPr>
              <w:t>S-4</w:t>
            </w:r>
          </w:p>
        </w:tc>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240" w:top="460" w:right="9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April 13,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LAS VEGAS JET, LLC</w:t>
      </w:r>
    </w:p>
    <w:p>
      <w:pPr>
        <w:spacing w:after="0" w:line="11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LAS VEGAS,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Stephen A. Wynn and John Strzemp, and each of them singly, as his or her true and lawful attorney-in-fact and agent with full power of substitution and resubstitution for him or her and in his or her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5"/>
                <w:szCs w:val="15"/>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600" w:type="dxa"/>
            <w:vAlign w:val="bottom"/>
          </w:tcPr>
          <w:p>
            <w:pPr>
              <w:ind w:left="128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Chairman of Board and Chief Executive Officer of</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Executive 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440"/>
              <w:spacing w:after="0"/>
              <w:rPr>
                <w:sz w:val="20"/>
                <w:szCs w:val="20"/>
                <w:color w:val="auto"/>
              </w:rPr>
            </w:pPr>
            <w:r>
              <w:rPr>
                <w:rFonts w:ascii="Arial" w:cs="Arial" w:eastAsia="Arial" w:hAnsi="Arial"/>
                <w:sz w:val="18"/>
                <w:szCs w:val="18"/>
                <w:color w:val="auto"/>
                <w:w w:val="73"/>
              </w:rPr>
              <w:t>/s/</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 of</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Financial and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John Strzemp</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ind w:left="1420"/>
              <w:spacing w:after="0"/>
              <w:rPr>
                <w:sz w:val="20"/>
                <w:szCs w:val="20"/>
                <w:color w:val="auto"/>
              </w:rPr>
            </w:pPr>
            <w:r>
              <w:rPr>
                <w:rFonts w:ascii="Arial" w:cs="Arial" w:eastAsia="Arial" w:hAnsi="Arial"/>
                <w:sz w:val="18"/>
                <w:szCs w:val="18"/>
                <w:color w:val="auto"/>
                <w:w w:val="83"/>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Vice Chairman of Board</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Kazuo Okada</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00" w:type="dxa"/>
            <w:vAlign w:val="bottom"/>
          </w:tcPr>
          <w:p>
            <w:pPr>
              <w:spacing w:after="0"/>
              <w:rPr>
                <w:sz w:val="13"/>
                <w:szCs w:val="13"/>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9"/>
              </w:rPr>
              <w:t>Ronald J. Kramer</w:t>
            </w:r>
          </w:p>
        </w:tc>
        <w:tc>
          <w:tcPr>
            <w:tcW w:w="466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600" w:type="dxa"/>
            <w:vAlign w:val="bottom"/>
          </w:tcPr>
          <w:p>
            <w:pPr>
              <w:spacing w:after="0"/>
              <w:rPr>
                <w:sz w:val="9"/>
                <w:szCs w:val="9"/>
                <w:color w:val="auto"/>
              </w:rPr>
            </w:pPr>
          </w:p>
        </w:tc>
        <w:tc>
          <w:tcPr>
            <w:tcW w:w="2980" w:type="dxa"/>
            <w:vAlign w:val="bottom"/>
            <w:gridSpan w:val="3"/>
            <w:vMerge w:val="continue"/>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30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60" w:type="dxa"/>
            <w:vAlign w:val="bottom"/>
            <w:gridSpan w:val="3"/>
          </w:tcPr>
          <w:p>
            <w:pPr>
              <w:ind w:left="1020"/>
              <w:spacing w:after="0"/>
              <w:rPr>
                <w:sz w:val="20"/>
                <w:szCs w:val="20"/>
                <w:color w:val="auto"/>
              </w:rPr>
            </w:pPr>
            <w:r>
              <w:rPr>
                <w:rFonts w:ascii="Arial" w:cs="Arial" w:eastAsia="Arial" w:hAnsi="Arial"/>
                <w:sz w:val="18"/>
                <w:szCs w:val="18"/>
                <w:color w:val="auto"/>
              </w:rPr>
              <w:t>S-5</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020"/>
        <w:spacing w:after="0"/>
        <w:tabs>
          <w:tab w:leader="none" w:pos="666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68580</wp:posOffset>
            </wp:positionV>
            <wp:extent cx="23177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4003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0740"/>
          </w:cols>
          <w:pgMar w:left="240" w:top="460"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John A.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290703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2" w:lineRule="exact"/>
        <w:rPr>
          <w:sz w:val="20"/>
          <w:szCs w:val="20"/>
          <w:color w:val="auto"/>
        </w:rPr>
      </w:pPr>
    </w:p>
    <w:p>
      <w:pPr>
        <w:ind w:left="1180"/>
        <w:spacing w:after="0"/>
        <w:tabs>
          <w:tab w:leader="none" w:pos="1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LVIN</w:t>
      </w:r>
      <w:r>
        <w:rPr>
          <w:rFonts w:ascii="Arial" w:cs="Arial" w:eastAsia="Arial" w:hAnsi="Arial"/>
          <w:sz w:val="16"/>
          <w:szCs w:val="16"/>
          <w:color w:val="auto"/>
        </w:rPr>
        <w:t xml:space="preserve"> V. S</w:t>
      </w:r>
      <w:r>
        <w:rPr>
          <w:rFonts w:ascii="Arial" w:cs="Arial" w:eastAsia="Arial" w:hAnsi="Arial"/>
          <w:sz w:val="13"/>
          <w:szCs w:val="13"/>
          <w:color w:val="auto"/>
        </w:rPr>
        <w:t>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Alvin V. Shoemaker</w:t>
      </w:r>
    </w:p>
    <w:p>
      <w:pPr>
        <w:spacing w:after="0" w:line="22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IRIL</w:t>
      </w:r>
      <w:r>
        <w:rPr>
          <w:rFonts w:ascii="Arial" w:cs="Arial" w:eastAsia="Arial" w:hAnsi="Arial"/>
          <w:sz w:val="18"/>
          <w:szCs w:val="18"/>
          <w:color w:val="auto"/>
        </w:rPr>
        <w:t xml:space="preserve"> S</w:t>
      </w:r>
      <w:r>
        <w:rPr>
          <w:rFonts w:ascii="Arial" w:cs="Arial" w:eastAsia="Arial" w:hAnsi="Arial"/>
          <w:sz w:val="14"/>
          <w:szCs w:val="14"/>
          <w:color w:val="auto"/>
        </w:rPr>
        <w:t>OKOLOFF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Kiril Sokoloff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90703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 Boone Wayson</w:t>
      </w:r>
    </w:p>
    <w:p>
      <w:pPr>
        <w:spacing w:after="0" w:line="26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LAINE</w:t>
      </w:r>
      <w:r>
        <w:rPr>
          <w:rFonts w:ascii="Arial" w:cs="Arial" w:eastAsia="Arial" w:hAnsi="Arial"/>
          <w:sz w:val="16"/>
          <w:szCs w:val="16"/>
          <w:color w:val="auto"/>
        </w:rPr>
        <w:t xml:space="preserve"> P.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Elaine P. Wynn</w:t>
      </w:r>
    </w:p>
    <w:p>
      <w:pPr>
        <w:spacing w:after="0" w:line="222"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TANLEY</w:t>
      </w:r>
      <w:r>
        <w:rPr>
          <w:rFonts w:ascii="Arial" w:cs="Arial" w:eastAsia="Arial" w:hAnsi="Arial"/>
          <w:sz w:val="16"/>
          <w:szCs w:val="16"/>
          <w:color w:val="auto"/>
        </w:rPr>
        <w:t xml:space="preserve"> R. Z</w:t>
      </w:r>
      <w:r>
        <w:rPr>
          <w:rFonts w:ascii="Arial" w:cs="Arial" w:eastAsia="Arial" w:hAnsi="Arial"/>
          <w:sz w:val="13"/>
          <w:szCs w:val="13"/>
          <w:color w:val="auto"/>
        </w:rPr>
        <w: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Stanley R. Zax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90703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Allan Zeman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27"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219"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S-6</w:t>
      </w:r>
    </w:p>
    <w:p>
      <w:pPr>
        <w:sectPr>
          <w:pgSz w:w="11900" w:h="16838" w:orient="portrait"/>
          <w:cols w:equalWidth="0" w:num="2">
            <w:col w:w="4100" w:space="720"/>
            <w:col w:w="5920"/>
          </w:cols>
          <w:pgMar w:left="240" w:top="460" w:right="91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April 13,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WORLD TRAVEL, LLC</w:t>
      </w:r>
    </w:p>
    <w:p>
      <w:pPr>
        <w:spacing w:after="0" w:line="11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LAS VEGAS,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Stephen A. Wynn and John Strzemp, and each of them singly, as his or her true and lawful attorney-in-fact and agent with full power of substitution and resubstitution for him or her and in his or her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5"/>
                <w:szCs w:val="15"/>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600" w:type="dxa"/>
            <w:vAlign w:val="bottom"/>
          </w:tcPr>
          <w:p>
            <w:pPr>
              <w:ind w:left="128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Chairman of Board and Chief Executive Officer of</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Executive 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440"/>
              <w:spacing w:after="0"/>
              <w:rPr>
                <w:sz w:val="20"/>
                <w:szCs w:val="20"/>
                <w:color w:val="auto"/>
              </w:rPr>
            </w:pPr>
            <w:r>
              <w:rPr>
                <w:rFonts w:ascii="Arial" w:cs="Arial" w:eastAsia="Arial" w:hAnsi="Arial"/>
                <w:sz w:val="18"/>
                <w:szCs w:val="18"/>
                <w:color w:val="auto"/>
                <w:w w:val="73"/>
              </w:rPr>
              <w:t>/s/</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 of</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Financial and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John Strzemp</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ind w:left="1420"/>
              <w:spacing w:after="0"/>
              <w:rPr>
                <w:sz w:val="20"/>
                <w:szCs w:val="20"/>
                <w:color w:val="auto"/>
              </w:rPr>
            </w:pPr>
            <w:r>
              <w:rPr>
                <w:rFonts w:ascii="Arial" w:cs="Arial" w:eastAsia="Arial" w:hAnsi="Arial"/>
                <w:sz w:val="18"/>
                <w:szCs w:val="18"/>
                <w:color w:val="auto"/>
                <w:w w:val="83"/>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Vice Chairman of Board</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Kazuo Okada</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60" w:type="dxa"/>
            <w:vAlign w:val="bottom"/>
            <w:gridSpan w:val="3"/>
            <w:vMerge w:val="restart"/>
          </w:tcPr>
          <w:p>
            <w:pPr>
              <w:ind w:left="240"/>
              <w:spacing w:after="0"/>
              <w:rPr>
                <w:sz w:val="20"/>
                <w:szCs w:val="20"/>
                <w:color w:val="auto"/>
              </w:rPr>
            </w:pPr>
            <w:r>
              <w:rPr>
                <w:rFonts w:ascii="Arial" w:cs="Arial" w:eastAsia="Arial" w:hAnsi="Arial"/>
                <w:sz w:val="18"/>
                <w:szCs w:val="18"/>
                <w:color w:val="auto"/>
              </w:rPr>
              <w:t>President and Director</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9"/>
              </w:rPr>
              <w:t>Ronald J. Kramer</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ind w:left="130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60" w:type="dxa"/>
            <w:vAlign w:val="bottom"/>
            <w:gridSpan w:val="3"/>
          </w:tcPr>
          <w:p>
            <w:pPr>
              <w:ind w:left="1020"/>
              <w:spacing w:after="0"/>
              <w:rPr>
                <w:sz w:val="20"/>
                <w:szCs w:val="20"/>
                <w:color w:val="auto"/>
              </w:rPr>
            </w:pPr>
            <w:r>
              <w:rPr>
                <w:rFonts w:ascii="Arial" w:cs="Arial" w:eastAsia="Arial" w:hAnsi="Arial"/>
                <w:sz w:val="18"/>
                <w:szCs w:val="18"/>
                <w:color w:val="auto"/>
              </w:rPr>
              <w:t>S-7</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290703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John A. Moran</w:t>
      </w:r>
    </w:p>
    <w:p>
      <w:pPr>
        <w:spacing w:after="0" w:line="262" w:lineRule="exact"/>
        <w:rPr>
          <w:sz w:val="20"/>
          <w:szCs w:val="20"/>
          <w:color w:val="auto"/>
        </w:rPr>
      </w:pPr>
    </w:p>
    <w:p>
      <w:pPr>
        <w:jc w:val="right"/>
        <w:ind w:right="980"/>
        <w:spacing w:after="0"/>
        <w:tabs>
          <w:tab w:leader="none" w:pos="25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LVIN</w:t>
      </w:r>
      <w:r>
        <w:rPr>
          <w:rFonts w:ascii="Arial" w:cs="Arial" w:eastAsia="Arial" w:hAnsi="Arial"/>
          <w:sz w:val="16"/>
          <w:szCs w:val="16"/>
          <w:color w:val="auto"/>
        </w:rPr>
        <w:t xml:space="preserve"> V. S</w:t>
      </w:r>
      <w:r>
        <w:rPr>
          <w:rFonts w:ascii="Arial" w:cs="Arial" w:eastAsia="Arial" w:hAnsi="Arial"/>
          <w:sz w:val="13"/>
          <w:szCs w:val="13"/>
          <w:color w:val="auto"/>
        </w:rPr>
        <w:t>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Alvin V. Shoemaker</w:t>
      </w:r>
    </w:p>
    <w:p>
      <w:pPr>
        <w:spacing w:after="0" w:line="22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IRIL</w:t>
      </w:r>
      <w:r>
        <w:rPr>
          <w:rFonts w:ascii="Arial" w:cs="Arial" w:eastAsia="Arial" w:hAnsi="Arial"/>
          <w:sz w:val="18"/>
          <w:szCs w:val="18"/>
          <w:color w:val="auto"/>
        </w:rPr>
        <w:t xml:space="preserve"> S</w:t>
      </w:r>
      <w:r>
        <w:rPr>
          <w:rFonts w:ascii="Arial" w:cs="Arial" w:eastAsia="Arial" w:hAnsi="Arial"/>
          <w:sz w:val="14"/>
          <w:szCs w:val="14"/>
          <w:color w:val="auto"/>
        </w:rPr>
        <w:t>OKOLOFF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Kiril Sokoloff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90703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D. Boone Wayson</w:t>
      </w:r>
    </w:p>
    <w:p>
      <w:pPr>
        <w:spacing w:after="0" w:line="26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LAINE</w:t>
      </w:r>
      <w:r>
        <w:rPr>
          <w:rFonts w:ascii="Arial" w:cs="Arial" w:eastAsia="Arial" w:hAnsi="Arial"/>
          <w:sz w:val="16"/>
          <w:szCs w:val="16"/>
          <w:color w:val="auto"/>
        </w:rPr>
        <w:t xml:space="preserve"> P.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Elaine P. Wynn</w:t>
      </w:r>
    </w:p>
    <w:p>
      <w:pPr>
        <w:spacing w:after="0" w:line="222"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TANLEY</w:t>
      </w:r>
      <w:r>
        <w:rPr>
          <w:rFonts w:ascii="Arial" w:cs="Arial" w:eastAsia="Arial" w:hAnsi="Arial"/>
          <w:sz w:val="16"/>
          <w:szCs w:val="16"/>
          <w:color w:val="auto"/>
        </w:rPr>
        <w:t xml:space="preserve"> R. Z</w:t>
      </w:r>
      <w:r>
        <w:rPr>
          <w:rFonts w:ascii="Arial" w:cs="Arial" w:eastAsia="Arial" w:hAnsi="Arial"/>
          <w:sz w:val="13"/>
          <w:szCs w:val="13"/>
          <w:color w:val="auto"/>
        </w:rPr>
        <w: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Stanley R. Zax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290703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Allan Zeman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860"/>
        <w:spacing w:after="0"/>
        <w:tabs>
          <w:tab w:leader="none" w:pos="5240" w:val="left"/>
        </w:tabs>
        <w:rPr>
          <w:sz w:val="20"/>
          <w:szCs w:val="20"/>
          <w:color w:val="auto"/>
        </w:rPr>
      </w:pP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-633730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68580</wp:posOffset>
            </wp:positionV>
            <wp:extent cx="23177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68580</wp:posOffset>
            </wp:positionV>
            <wp:extent cx="24003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219"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219"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S-8</w:t>
      </w:r>
    </w:p>
    <w:p>
      <w:pPr>
        <w:sectPr>
          <w:pgSz w:w="11900" w:h="16838" w:orient="portrait"/>
          <w:cols w:equalWidth="0" w:num="2">
            <w:col w:w="4100" w:space="720"/>
            <w:col w:w="5920"/>
          </w:cols>
          <w:pgMar w:left="240" w:top="459" w:right="9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April 13,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SUNRISE, LLC</w:t>
      </w:r>
    </w:p>
    <w:p>
      <w:pPr>
        <w:spacing w:after="0" w:line="11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LAS VEGAS,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Stephen A. Wynn and John Strzemp, and each of them singly, as his or her true and lawful attorney-in-fact and agent with full power of substitution and resubstitution for him or her and in his or her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5"/>
                <w:szCs w:val="15"/>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600" w:type="dxa"/>
            <w:vAlign w:val="bottom"/>
          </w:tcPr>
          <w:p>
            <w:pPr>
              <w:ind w:left="128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Chairman of Board and Chief Executive Officer of</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Executive 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440"/>
              <w:spacing w:after="0"/>
              <w:rPr>
                <w:sz w:val="20"/>
                <w:szCs w:val="20"/>
                <w:color w:val="auto"/>
              </w:rPr>
            </w:pPr>
            <w:r>
              <w:rPr>
                <w:rFonts w:ascii="Arial" w:cs="Arial" w:eastAsia="Arial" w:hAnsi="Arial"/>
                <w:sz w:val="18"/>
                <w:szCs w:val="18"/>
                <w:color w:val="auto"/>
                <w:w w:val="73"/>
              </w:rPr>
              <w:t>/s/</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 of</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Financial and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John Strzemp</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ind w:left="1420"/>
              <w:spacing w:after="0"/>
              <w:rPr>
                <w:sz w:val="20"/>
                <w:szCs w:val="20"/>
                <w:color w:val="auto"/>
              </w:rPr>
            </w:pPr>
            <w:r>
              <w:rPr>
                <w:rFonts w:ascii="Arial" w:cs="Arial" w:eastAsia="Arial" w:hAnsi="Arial"/>
                <w:sz w:val="18"/>
                <w:szCs w:val="18"/>
                <w:color w:val="auto"/>
                <w:w w:val="83"/>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Vice Chairman of Board</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Kazuo Okada</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60" w:type="dxa"/>
            <w:vAlign w:val="bottom"/>
            <w:gridSpan w:val="3"/>
            <w:vMerge w:val="restart"/>
          </w:tcPr>
          <w:p>
            <w:pPr>
              <w:ind w:left="240"/>
              <w:spacing w:after="0"/>
              <w:rPr>
                <w:sz w:val="20"/>
                <w:szCs w:val="20"/>
                <w:color w:val="auto"/>
              </w:rPr>
            </w:pPr>
            <w:r>
              <w:rPr>
                <w:rFonts w:ascii="Arial" w:cs="Arial" w:eastAsia="Arial" w:hAnsi="Arial"/>
                <w:sz w:val="18"/>
                <w:szCs w:val="18"/>
                <w:color w:val="auto"/>
              </w:rPr>
              <w:t>President and Director</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9"/>
              </w:rPr>
              <w:t>Ronald J. Kramer</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ind w:left="130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60" w:type="dxa"/>
            <w:vAlign w:val="bottom"/>
            <w:gridSpan w:val="3"/>
          </w:tcPr>
          <w:p>
            <w:pPr>
              <w:ind w:left="1020"/>
              <w:spacing w:after="0"/>
              <w:rPr>
                <w:sz w:val="20"/>
                <w:szCs w:val="20"/>
                <w:color w:val="auto"/>
              </w:rPr>
            </w:pPr>
            <w:r>
              <w:rPr>
                <w:rFonts w:ascii="Arial" w:cs="Arial" w:eastAsia="Arial" w:hAnsi="Arial"/>
                <w:sz w:val="18"/>
                <w:szCs w:val="18"/>
                <w:color w:val="auto"/>
              </w:rPr>
              <w:t>S-9</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290703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John A. Moran</w:t>
      </w:r>
    </w:p>
    <w:p>
      <w:pPr>
        <w:spacing w:after="0" w:line="262" w:lineRule="exact"/>
        <w:rPr>
          <w:sz w:val="20"/>
          <w:szCs w:val="20"/>
          <w:color w:val="auto"/>
        </w:rPr>
      </w:pPr>
    </w:p>
    <w:p>
      <w:pPr>
        <w:ind w:left="1180"/>
        <w:spacing w:after="0"/>
        <w:tabs>
          <w:tab w:leader="none" w:pos="1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LVIN</w:t>
      </w:r>
      <w:r>
        <w:rPr>
          <w:rFonts w:ascii="Arial" w:cs="Arial" w:eastAsia="Arial" w:hAnsi="Arial"/>
          <w:sz w:val="16"/>
          <w:szCs w:val="16"/>
          <w:color w:val="auto"/>
        </w:rPr>
        <w:t xml:space="preserve"> V. S</w:t>
      </w:r>
      <w:r>
        <w:rPr>
          <w:rFonts w:ascii="Arial" w:cs="Arial" w:eastAsia="Arial" w:hAnsi="Arial"/>
          <w:sz w:val="13"/>
          <w:szCs w:val="13"/>
          <w:color w:val="auto"/>
        </w:rPr>
        <w:t>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Arial" w:cs="Arial" w:eastAsia="Arial" w:hAnsi="Arial"/>
                <w:sz w:val="14"/>
                <w:szCs w:val="14"/>
                <w:b w:val="1"/>
                <w:bCs w:val="1"/>
                <w:color w:val="auto"/>
              </w:rPr>
              <w:t>Alvin V. Shoemaker</w:t>
            </w:r>
          </w:p>
        </w:tc>
      </w:tr>
      <w:tr>
        <w:trPr>
          <w:trHeight w:val="431"/>
        </w:trPr>
        <w:tc>
          <w:tcPr>
            <w:tcW w:w="1620" w:type="dxa"/>
            <w:vAlign w:val="bottom"/>
          </w:tcPr>
          <w:p>
            <w:pPr>
              <w:ind w:left="1360"/>
              <w:spacing w:after="0"/>
              <w:rPr>
                <w:sz w:val="20"/>
                <w:szCs w:val="20"/>
                <w:color w:val="auto"/>
              </w:rPr>
            </w:pPr>
            <w:r>
              <w:rPr>
                <w:rFonts w:ascii="Arial" w:cs="Arial" w:eastAsia="Arial" w:hAnsi="Arial"/>
                <w:sz w:val="18"/>
                <w:szCs w:val="18"/>
                <w:color w:val="auto"/>
              </w:rPr>
              <w:t>/s/</w:t>
            </w:r>
          </w:p>
        </w:tc>
        <w:tc>
          <w:tcPr>
            <w:tcW w:w="2960" w:type="dxa"/>
            <w:vAlign w:val="bottom"/>
          </w:tcPr>
          <w:p>
            <w:pPr>
              <w:ind w:left="8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IRIL</w:t>
            </w:r>
            <w:r>
              <w:rPr>
                <w:rFonts w:ascii="Arial" w:cs="Arial" w:eastAsia="Arial" w:hAnsi="Arial"/>
                <w:sz w:val="18"/>
                <w:szCs w:val="18"/>
                <w:color w:val="auto"/>
              </w:rPr>
              <w:t xml:space="preserve"> S</w:t>
            </w:r>
            <w:r>
              <w:rPr>
                <w:rFonts w:ascii="Arial" w:cs="Arial" w:eastAsia="Arial" w:hAnsi="Arial"/>
                <w:sz w:val="14"/>
                <w:szCs w:val="14"/>
                <w:color w:val="auto"/>
              </w:rPr>
              <w:t>OKOLOFF</w:t>
            </w:r>
          </w:p>
        </w:tc>
      </w:tr>
      <w:tr>
        <w:trPr>
          <w:trHeight w:val="110"/>
        </w:trPr>
        <w:tc>
          <w:tcPr>
            <w:tcW w:w="16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r>
      <w:tr>
        <w:trPr>
          <w:trHeight w:val="263"/>
        </w:trPr>
        <w:tc>
          <w:tcPr>
            <w:tcW w:w="1620" w:type="dxa"/>
            <w:vAlign w:val="bottom"/>
          </w:tcPr>
          <w:p>
            <w:pPr>
              <w:spacing w:after="0"/>
              <w:rPr>
                <w:sz w:val="22"/>
                <w:szCs w:val="22"/>
                <w:color w:val="auto"/>
              </w:rPr>
            </w:pPr>
          </w:p>
        </w:tc>
        <w:tc>
          <w:tcPr>
            <w:tcW w:w="2960" w:type="dxa"/>
            <w:vAlign w:val="bottom"/>
          </w:tcPr>
          <w:p>
            <w:pPr>
              <w:jc w:val="center"/>
              <w:ind w:right="1526"/>
              <w:spacing w:after="0"/>
              <w:rPr>
                <w:sz w:val="20"/>
                <w:szCs w:val="20"/>
                <w:color w:val="auto"/>
              </w:rPr>
            </w:pPr>
            <w:r>
              <w:rPr>
                <w:rFonts w:ascii="Arial" w:cs="Arial" w:eastAsia="Arial" w:hAnsi="Arial"/>
                <w:sz w:val="14"/>
                <w:szCs w:val="14"/>
                <w:b w:val="1"/>
                <w:bCs w:val="1"/>
                <w:color w:val="auto"/>
                <w:w w:val="91"/>
              </w:rPr>
              <w:t>Kiril Sokoloff</w:t>
            </w:r>
          </w:p>
        </w:tc>
      </w:tr>
      <w:tr>
        <w:trPr>
          <w:trHeight w:val="325"/>
        </w:trPr>
        <w:tc>
          <w:tcPr>
            <w:tcW w:w="16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r>
        <w:trPr>
          <w:trHeight w:val="263"/>
        </w:trPr>
        <w:tc>
          <w:tcPr>
            <w:tcW w:w="1620" w:type="dxa"/>
            <w:vAlign w:val="bottom"/>
          </w:tcPr>
          <w:p>
            <w:pPr>
              <w:spacing w:after="0"/>
              <w:rPr>
                <w:sz w:val="22"/>
                <w:szCs w:val="22"/>
                <w:color w:val="auto"/>
              </w:rPr>
            </w:pPr>
          </w:p>
        </w:tc>
        <w:tc>
          <w:tcPr>
            <w:tcW w:w="2960" w:type="dxa"/>
            <w:vAlign w:val="bottom"/>
          </w:tcPr>
          <w:p>
            <w:pPr>
              <w:jc w:val="center"/>
              <w:ind w:right="1546"/>
              <w:spacing w:after="0"/>
              <w:rPr>
                <w:sz w:val="20"/>
                <w:szCs w:val="20"/>
                <w:color w:val="auto"/>
              </w:rPr>
            </w:pPr>
            <w:r>
              <w:rPr>
                <w:rFonts w:ascii="Arial" w:cs="Arial" w:eastAsia="Arial" w:hAnsi="Arial"/>
                <w:sz w:val="14"/>
                <w:szCs w:val="14"/>
                <w:b w:val="1"/>
                <w:bCs w:val="1"/>
                <w:color w:val="auto"/>
                <w:w w:val="85"/>
              </w:rPr>
              <w:t>D. Boone Wayson</w:t>
            </w:r>
          </w:p>
        </w:tc>
      </w:tr>
      <w:tr>
        <w:trPr>
          <w:trHeight w:val="471"/>
        </w:trPr>
        <w:tc>
          <w:tcPr>
            <w:tcW w:w="1620" w:type="dxa"/>
            <w:vAlign w:val="bottom"/>
          </w:tcPr>
          <w:p>
            <w:pPr>
              <w:ind w:left="1360"/>
              <w:spacing w:after="0"/>
              <w:rPr>
                <w:sz w:val="20"/>
                <w:szCs w:val="20"/>
                <w:color w:val="auto"/>
              </w:rPr>
            </w:pPr>
            <w:r>
              <w:rPr>
                <w:rFonts w:ascii="Arial" w:cs="Arial" w:eastAsia="Arial" w:hAnsi="Arial"/>
                <w:sz w:val="18"/>
                <w:szCs w:val="18"/>
                <w:color w:val="auto"/>
              </w:rPr>
              <w:t>/s/</w:t>
            </w:r>
          </w:p>
        </w:tc>
        <w:tc>
          <w:tcPr>
            <w:tcW w:w="2960" w:type="dxa"/>
            <w:vAlign w:val="bottom"/>
          </w:tcPr>
          <w:p>
            <w:pPr>
              <w:ind w:left="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LAINE</w:t>
            </w:r>
            <w:r>
              <w:rPr>
                <w:rFonts w:ascii="Arial" w:cs="Arial" w:eastAsia="Arial" w:hAnsi="Arial"/>
                <w:sz w:val="18"/>
                <w:szCs w:val="18"/>
                <w:color w:val="auto"/>
              </w:rPr>
              <w:t xml:space="preserve"> P. W</w:t>
            </w:r>
            <w:r>
              <w:rPr>
                <w:rFonts w:ascii="Arial" w:cs="Arial" w:eastAsia="Arial" w:hAnsi="Arial"/>
                <w:sz w:val="14"/>
                <w:szCs w:val="14"/>
                <w:color w:val="auto"/>
              </w:rPr>
              <w:t>YNN</w:t>
            </w:r>
          </w:p>
        </w:tc>
      </w:tr>
      <w:tr>
        <w:trPr>
          <w:trHeight w:val="110"/>
        </w:trPr>
        <w:tc>
          <w:tcPr>
            <w:tcW w:w="16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r>
      <w:tr>
        <w:trPr>
          <w:trHeight w:val="263"/>
        </w:trPr>
        <w:tc>
          <w:tcPr>
            <w:tcW w:w="1620" w:type="dxa"/>
            <w:vAlign w:val="bottom"/>
          </w:tcPr>
          <w:p>
            <w:pPr>
              <w:spacing w:after="0"/>
              <w:rPr>
                <w:sz w:val="22"/>
                <w:szCs w:val="22"/>
                <w:color w:val="auto"/>
              </w:rPr>
            </w:pPr>
          </w:p>
        </w:tc>
        <w:tc>
          <w:tcPr>
            <w:tcW w:w="2960" w:type="dxa"/>
            <w:vAlign w:val="bottom"/>
          </w:tcPr>
          <w:p>
            <w:pPr>
              <w:jc w:val="center"/>
              <w:ind w:right="1526"/>
              <w:spacing w:after="0"/>
              <w:rPr>
                <w:sz w:val="20"/>
                <w:szCs w:val="20"/>
                <w:color w:val="auto"/>
              </w:rPr>
            </w:pPr>
            <w:r>
              <w:rPr>
                <w:rFonts w:ascii="Arial" w:cs="Arial" w:eastAsia="Arial" w:hAnsi="Arial"/>
                <w:sz w:val="14"/>
                <w:szCs w:val="14"/>
                <w:b w:val="1"/>
                <w:bCs w:val="1"/>
                <w:color w:val="auto"/>
                <w:w w:val="87"/>
              </w:rPr>
              <w:t>Elaine P. Wynn</w:t>
            </w:r>
          </w:p>
        </w:tc>
      </w:tr>
      <w:tr>
        <w:trPr>
          <w:trHeight w:val="431"/>
        </w:trPr>
        <w:tc>
          <w:tcPr>
            <w:tcW w:w="1620" w:type="dxa"/>
            <w:vAlign w:val="bottom"/>
          </w:tcPr>
          <w:p>
            <w:pPr>
              <w:ind w:left="1360"/>
              <w:spacing w:after="0"/>
              <w:rPr>
                <w:sz w:val="20"/>
                <w:szCs w:val="20"/>
                <w:color w:val="auto"/>
              </w:rPr>
            </w:pPr>
            <w:r>
              <w:rPr>
                <w:rFonts w:ascii="Arial" w:cs="Arial" w:eastAsia="Arial" w:hAnsi="Arial"/>
                <w:sz w:val="18"/>
                <w:szCs w:val="18"/>
                <w:color w:val="auto"/>
              </w:rPr>
              <w:t>/s/</w:t>
            </w:r>
          </w:p>
        </w:tc>
        <w:tc>
          <w:tcPr>
            <w:tcW w:w="2960" w:type="dxa"/>
            <w:vAlign w:val="bottom"/>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TANLEY</w:t>
            </w:r>
            <w:r>
              <w:rPr>
                <w:rFonts w:ascii="Arial" w:cs="Arial" w:eastAsia="Arial" w:hAnsi="Arial"/>
                <w:sz w:val="18"/>
                <w:szCs w:val="18"/>
                <w:color w:val="auto"/>
              </w:rPr>
              <w:t xml:space="preserve"> R. Z</w:t>
            </w:r>
            <w:r>
              <w:rPr>
                <w:rFonts w:ascii="Arial" w:cs="Arial" w:eastAsia="Arial" w:hAnsi="Arial"/>
                <w:sz w:val="14"/>
                <w:szCs w:val="14"/>
                <w:color w:val="auto"/>
              </w:rPr>
              <w:t>AX</w:t>
            </w:r>
          </w:p>
        </w:tc>
      </w:tr>
      <w:tr>
        <w:trPr>
          <w:trHeight w:val="110"/>
        </w:trPr>
        <w:tc>
          <w:tcPr>
            <w:tcW w:w="16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r>
      <w:tr>
        <w:trPr>
          <w:trHeight w:val="263"/>
        </w:trPr>
        <w:tc>
          <w:tcPr>
            <w:tcW w:w="1620" w:type="dxa"/>
            <w:vAlign w:val="bottom"/>
          </w:tcPr>
          <w:p>
            <w:pPr>
              <w:spacing w:after="0"/>
              <w:rPr>
                <w:sz w:val="22"/>
                <w:szCs w:val="22"/>
                <w:color w:val="auto"/>
              </w:rPr>
            </w:pPr>
          </w:p>
        </w:tc>
        <w:tc>
          <w:tcPr>
            <w:tcW w:w="2960" w:type="dxa"/>
            <w:vAlign w:val="bottom"/>
          </w:tcPr>
          <w:p>
            <w:pPr>
              <w:jc w:val="center"/>
              <w:ind w:right="1526"/>
              <w:spacing w:after="0"/>
              <w:rPr>
                <w:sz w:val="20"/>
                <w:szCs w:val="20"/>
                <w:color w:val="auto"/>
              </w:rPr>
            </w:pPr>
            <w:r>
              <w:rPr>
                <w:rFonts w:ascii="Arial" w:cs="Arial" w:eastAsia="Arial" w:hAnsi="Arial"/>
                <w:sz w:val="14"/>
                <w:szCs w:val="14"/>
                <w:b w:val="1"/>
                <w:bCs w:val="1"/>
                <w:color w:val="auto"/>
                <w:w w:val="87"/>
              </w:rPr>
              <w:t>Stanley R. Zax</w:t>
            </w:r>
          </w:p>
        </w:tc>
      </w:tr>
      <w:tr>
        <w:trPr>
          <w:trHeight w:val="325"/>
        </w:trPr>
        <w:tc>
          <w:tcPr>
            <w:tcW w:w="16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r>
        <w:trPr>
          <w:trHeight w:val="263"/>
        </w:trPr>
        <w:tc>
          <w:tcPr>
            <w:tcW w:w="1620" w:type="dxa"/>
            <w:vAlign w:val="bottom"/>
          </w:tcPr>
          <w:p>
            <w:pPr>
              <w:spacing w:after="0"/>
              <w:rPr>
                <w:sz w:val="22"/>
                <w:szCs w:val="22"/>
                <w:color w:val="auto"/>
              </w:rPr>
            </w:pPr>
          </w:p>
        </w:tc>
        <w:tc>
          <w:tcPr>
            <w:tcW w:w="2960" w:type="dxa"/>
            <w:vAlign w:val="bottom"/>
          </w:tcPr>
          <w:p>
            <w:pPr>
              <w:jc w:val="center"/>
              <w:ind w:right="1526"/>
              <w:spacing w:after="0"/>
              <w:rPr>
                <w:sz w:val="20"/>
                <w:szCs w:val="20"/>
                <w:color w:val="auto"/>
              </w:rPr>
            </w:pPr>
            <w:r>
              <w:rPr>
                <w:rFonts w:ascii="Arial" w:cs="Arial" w:eastAsia="Arial" w:hAnsi="Arial"/>
                <w:sz w:val="14"/>
                <w:szCs w:val="14"/>
                <w:b w:val="1"/>
                <w:bCs w:val="1"/>
                <w:color w:val="auto"/>
                <w:w w:val="91"/>
              </w:rPr>
              <w:t>Allan Zeman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860"/>
        <w:spacing w:after="0"/>
        <w:tabs>
          <w:tab w:leader="none" w:pos="5240" w:val="left"/>
        </w:tabs>
        <w:rPr>
          <w:sz w:val="20"/>
          <w:szCs w:val="20"/>
          <w:color w:val="auto"/>
        </w:rPr>
      </w:pP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-633730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68580</wp:posOffset>
            </wp:positionV>
            <wp:extent cx="23177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68580</wp:posOffset>
            </wp:positionV>
            <wp:extent cx="24003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219"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219"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S-10</w:t>
      </w:r>
    </w:p>
    <w:p>
      <w:pPr>
        <w:sectPr>
          <w:pgSz w:w="11900" w:h="16838" w:orient="portrait"/>
          <w:cols w:equalWidth="0" w:num="2">
            <w:col w:w="4580" w:space="240"/>
            <w:col w:w="5920"/>
          </w:cols>
          <w:pgMar w:left="240" w:top="460" w:right="9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April 13,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SHOW PERFORMERS, LLC</w:t>
      </w:r>
    </w:p>
    <w:p>
      <w:pPr>
        <w:spacing w:after="0" w:line="11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LAS VEGAS,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Stephen A. Wynn and John Strzemp, and each of them singly, as his or her true and lawful attorney-in-fact and agent with full power of substitution and resubstitution for him or her and in his or her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5"/>
                <w:szCs w:val="15"/>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600" w:type="dxa"/>
            <w:vAlign w:val="bottom"/>
          </w:tcPr>
          <w:p>
            <w:pPr>
              <w:ind w:left="128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Chairman of Board and Chief Executive Officer of</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Executive 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440"/>
              <w:spacing w:after="0"/>
              <w:rPr>
                <w:sz w:val="20"/>
                <w:szCs w:val="20"/>
                <w:color w:val="auto"/>
              </w:rPr>
            </w:pPr>
            <w:r>
              <w:rPr>
                <w:rFonts w:ascii="Arial" w:cs="Arial" w:eastAsia="Arial" w:hAnsi="Arial"/>
                <w:sz w:val="18"/>
                <w:szCs w:val="18"/>
                <w:color w:val="auto"/>
                <w:w w:val="73"/>
              </w:rPr>
              <w:t>/s/</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 of</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Financial and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John Strzemp</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ind w:left="1420"/>
              <w:spacing w:after="0"/>
              <w:rPr>
                <w:sz w:val="20"/>
                <w:szCs w:val="20"/>
                <w:color w:val="auto"/>
              </w:rPr>
            </w:pPr>
            <w:r>
              <w:rPr>
                <w:rFonts w:ascii="Arial" w:cs="Arial" w:eastAsia="Arial" w:hAnsi="Arial"/>
                <w:sz w:val="18"/>
                <w:szCs w:val="18"/>
                <w:color w:val="auto"/>
                <w:w w:val="83"/>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Vice Chairman of Board</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Kazuo Okada</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60" w:type="dxa"/>
            <w:vAlign w:val="bottom"/>
            <w:gridSpan w:val="3"/>
            <w:vMerge w:val="restart"/>
          </w:tcPr>
          <w:p>
            <w:pPr>
              <w:ind w:left="240"/>
              <w:spacing w:after="0"/>
              <w:rPr>
                <w:sz w:val="20"/>
                <w:szCs w:val="20"/>
                <w:color w:val="auto"/>
              </w:rPr>
            </w:pPr>
            <w:r>
              <w:rPr>
                <w:rFonts w:ascii="Arial" w:cs="Arial" w:eastAsia="Arial" w:hAnsi="Arial"/>
                <w:sz w:val="18"/>
                <w:szCs w:val="18"/>
                <w:color w:val="auto"/>
              </w:rPr>
              <w:t>President and Director</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9"/>
              </w:rPr>
              <w:t>Ronald J. Kramer</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ind w:left="130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60" w:type="dxa"/>
            <w:vAlign w:val="bottom"/>
            <w:gridSpan w:val="3"/>
          </w:tcPr>
          <w:p>
            <w:pPr>
              <w:ind w:left="980"/>
              <w:spacing w:after="0"/>
              <w:rPr>
                <w:sz w:val="20"/>
                <w:szCs w:val="20"/>
                <w:color w:val="auto"/>
              </w:rPr>
            </w:pPr>
            <w:r>
              <w:rPr>
                <w:rFonts w:ascii="Arial" w:cs="Arial" w:eastAsia="Arial" w:hAnsi="Arial"/>
                <w:sz w:val="18"/>
                <w:szCs w:val="18"/>
                <w:color w:val="auto"/>
              </w:rPr>
              <w:t>S-11</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020"/>
        <w:spacing w:after="0"/>
        <w:tabs>
          <w:tab w:leader="none" w:pos="666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68580</wp:posOffset>
            </wp:positionV>
            <wp:extent cx="23177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4003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0740"/>
          </w:cols>
          <w:pgMar w:left="240" w:top="459"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John A.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290703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2" w:lineRule="exact"/>
        <w:rPr>
          <w:sz w:val="20"/>
          <w:szCs w:val="20"/>
          <w:color w:val="auto"/>
        </w:rPr>
      </w:pPr>
    </w:p>
    <w:p>
      <w:pPr>
        <w:ind w:left="1180"/>
        <w:spacing w:after="0"/>
        <w:tabs>
          <w:tab w:leader="none" w:pos="1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LVIN</w:t>
      </w:r>
      <w:r>
        <w:rPr>
          <w:rFonts w:ascii="Arial" w:cs="Arial" w:eastAsia="Arial" w:hAnsi="Arial"/>
          <w:sz w:val="16"/>
          <w:szCs w:val="16"/>
          <w:color w:val="auto"/>
        </w:rPr>
        <w:t xml:space="preserve"> V. S</w:t>
      </w:r>
      <w:r>
        <w:rPr>
          <w:rFonts w:ascii="Arial" w:cs="Arial" w:eastAsia="Arial" w:hAnsi="Arial"/>
          <w:sz w:val="13"/>
          <w:szCs w:val="13"/>
          <w:color w:val="auto"/>
        </w:rPr>
        <w:t>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2980" w:type="dxa"/>
            <w:vAlign w:val="bottom"/>
          </w:tcPr>
          <w:p>
            <w:pPr>
              <w:jc w:val="center"/>
              <w:ind w:right="1506"/>
              <w:spacing w:after="0"/>
              <w:rPr>
                <w:sz w:val="20"/>
                <w:szCs w:val="20"/>
                <w:color w:val="auto"/>
              </w:rPr>
            </w:pPr>
            <w:r>
              <w:rPr>
                <w:rFonts w:ascii="Arial" w:cs="Arial" w:eastAsia="Arial" w:hAnsi="Arial"/>
                <w:sz w:val="14"/>
                <w:szCs w:val="14"/>
                <w:b w:val="1"/>
                <w:bCs w:val="1"/>
                <w:color w:val="auto"/>
                <w:w w:val="88"/>
              </w:rPr>
              <w:t>Alvin V. Shoemaker</w:t>
            </w:r>
          </w:p>
        </w:tc>
      </w:tr>
      <w:tr>
        <w:trPr>
          <w:trHeight w:val="431"/>
        </w:trPr>
        <w:tc>
          <w:tcPr>
            <w:tcW w:w="1600" w:type="dxa"/>
            <w:vAlign w:val="bottom"/>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tcPr>
          <w:p>
            <w:pPr>
              <w:jc w:val="right"/>
              <w:ind w:right="1566"/>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IRIL</w:t>
            </w:r>
            <w:r>
              <w:rPr>
                <w:rFonts w:ascii="Arial" w:cs="Arial" w:eastAsia="Arial" w:hAnsi="Arial"/>
                <w:sz w:val="18"/>
                <w:szCs w:val="18"/>
                <w:color w:val="auto"/>
              </w:rPr>
              <w:t xml:space="preserve"> S</w:t>
            </w:r>
            <w:r>
              <w:rPr>
                <w:rFonts w:ascii="Arial" w:cs="Arial" w:eastAsia="Arial" w:hAnsi="Arial"/>
                <w:sz w:val="14"/>
                <w:szCs w:val="14"/>
                <w:color w:val="auto"/>
              </w:rPr>
              <w:t>OKOLOFF</w:t>
            </w: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r>
      <w:tr>
        <w:trPr>
          <w:trHeight w:val="263"/>
        </w:trPr>
        <w:tc>
          <w:tcPr>
            <w:tcW w:w="1600" w:type="dxa"/>
            <w:vAlign w:val="bottom"/>
          </w:tcPr>
          <w:p>
            <w:pPr>
              <w:spacing w:after="0"/>
              <w:rPr>
                <w:sz w:val="22"/>
                <w:szCs w:val="22"/>
                <w:color w:val="auto"/>
              </w:rPr>
            </w:pPr>
          </w:p>
        </w:tc>
        <w:tc>
          <w:tcPr>
            <w:tcW w:w="2980" w:type="dxa"/>
            <w:vAlign w:val="bottom"/>
          </w:tcPr>
          <w:p>
            <w:pPr>
              <w:jc w:val="center"/>
              <w:ind w:right="1506"/>
              <w:spacing w:after="0"/>
              <w:rPr>
                <w:sz w:val="20"/>
                <w:szCs w:val="20"/>
                <w:color w:val="auto"/>
              </w:rPr>
            </w:pPr>
            <w:r>
              <w:rPr>
                <w:rFonts w:ascii="Arial" w:cs="Arial" w:eastAsia="Arial" w:hAnsi="Arial"/>
                <w:sz w:val="14"/>
                <w:szCs w:val="14"/>
                <w:b w:val="1"/>
                <w:bCs w:val="1"/>
                <w:color w:val="auto"/>
                <w:w w:val="91"/>
              </w:rPr>
              <w:t>Kiril Sokoloff</w:t>
            </w:r>
          </w:p>
        </w:tc>
      </w:tr>
      <w:tr>
        <w:trPr>
          <w:trHeight w:val="325"/>
        </w:trPr>
        <w:tc>
          <w:tcPr>
            <w:tcW w:w="16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r>
        <w:trPr>
          <w:trHeight w:val="263"/>
        </w:trPr>
        <w:tc>
          <w:tcPr>
            <w:tcW w:w="1600" w:type="dxa"/>
            <w:vAlign w:val="bottom"/>
          </w:tcPr>
          <w:p>
            <w:pPr>
              <w:spacing w:after="0"/>
              <w:rPr>
                <w:sz w:val="22"/>
                <w:szCs w:val="22"/>
                <w:color w:val="auto"/>
              </w:rPr>
            </w:pPr>
          </w:p>
        </w:tc>
        <w:tc>
          <w:tcPr>
            <w:tcW w:w="2980" w:type="dxa"/>
            <w:vAlign w:val="bottom"/>
          </w:tcPr>
          <w:p>
            <w:pPr>
              <w:jc w:val="center"/>
              <w:ind w:right="1526"/>
              <w:spacing w:after="0"/>
              <w:rPr>
                <w:sz w:val="20"/>
                <w:szCs w:val="20"/>
                <w:color w:val="auto"/>
              </w:rPr>
            </w:pPr>
            <w:r>
              <w:rPr>
                <w:rFonts w:ascii="Arial" w:cs="Arial" w:eastAsia="Arial" w:hAnsi="Arial"/>
                <w:sz w:val="14"/>
                <w:szCs w:val="14"/>
                <w:b w:val="1"/>
                <w:bCs w:val="1"/>
                <w:color w:val="auto"/>
                <w:w w:val="85"/>
              </w:rPr>
              <w:t>D. Boone Wayson</w:t>
            </w:r>
          </w:p>
        </w:tc>
      </w:tr>
      <w:tr>
        <w:trPr>
          <w:trHeight w:val="471"/>
        </w:trPr>
        <w:tc>
          <w:tcPr>
            <w:tcW w:w="1600" w:type="dxa"/>
            <w:vAlign w:val="bottom"/>
          </w:tcPr>
          <w:p>
            <w:pPr>
              <w:ind w:left="1320"/>
              <w:spacing w:after="0"/>
              <w:rPr>
                <w:sz w:val="20"/>
                <w:szCs w:val="20"/>
                <w:color w:val="auto"/>
              </w:rPr>
            </w:pPr>
            <w:r>
              <w:rPr>
                <w:rFonts w:ascii="Arial" w:cs="Arial" w:eastAsia="Arial" w:hAnsi="Arial"/>
                <w:sz w:val="18"/>
                <w:szCs w:val="18"/>
                <w:color w:val="auto"/>
              </w:rPr>
              <w:t>/s/</w:t>
            </w:r>
          </w:p>
        </w:tc>
        <w:tc>
          <w:tcPr>
            <w:tcW w:w="2980" w:type="dxa"/>
            <w:vAlign w:val="bottom"/>
          </w:tcPr>
          <w:p>
            <w:pPr>
              <w:jc w:val="right"/>
              <w:ind w:right="1626"/>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LAINE</w:t>
            </w:r>
            <w:r>
              <w:rPr>
                <w:rFonts w:ascii="Arial" w:cs="Arial" w:eastAsia="Arial" w:hAnsi="Arial"/>
                <w:sz w:val="18"/>
                <w:szCs w:val="18"/>
                <w:color w:val="auto"/>
                <w:w w:val="99"/>
              </w:rPr>
              <w:t xml:space="preserve"> P. W</w:t>
            </w:r>
            <w:r>
              <w:rPr>
                <w:rFonts w:ascii="Arial" w:cs="Arial" w:eastAsia="Arial" w:hAnsi="Arial"/>
                <w:sz w:val="14"/>
                <w:szCs w:val="14"/>
                <w:color w:val="auto"/>
                <w:w w:val="99"/>
              </w:rPr>
              <w:t>YNN</w:t>
            </w: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r>
      <w:tr>
        <w:trPr>
          <w:trHeight w:val="263"/>
        </w:trPr>
        <w:tc>
          <w:tcPr>
            <w:tcW w:w="1600" w:type="dxa"/>
            <w:vAlign w:val="bottom"/>
          </w:tcPr>
          <w:p>
            <w:pPr>
              <w:spacing w:after="0"/>
              <w:rPr>
                <w:sz w:val="22"/>
                <w:szCs w:val="22"/>
                <w:color w:val="auto"/>
              </w:rPr>
            </w:pPr>
          </w:p>
        </w:tc>
        <w:tc>
          <w:tcPr>
            <w:tcW w:w="2980" w:type="dxa"/>
            <w:vAlign w:val="bottom"/>
          </w:tcPr>
          <w:p>
            <w:pPr>
              <w:jc w:val="center"/>
              <w:ind w:right="1506"/>
              <w:spacing w:after="0"/>
              <w:rPr>
                <w:sz w:val="20"/>
                <w:szCs w:val="20"/>
                <w:color w:val="auto"/>
              </w:rPr>
            </w:pPr>
            <w:r>
              <w:rPr>
                <w:rFonts w:ascii="Arial" w:cs="Arial" w:eastAsia="Arial" w:hAnsi="Arial"/>
                <w:sz w:val="14"/>
                <w:szCs w:val="14"/>
                <w:b w:val="1"/>
                <w:bCs w:val="1"/>
                <w:color w:val="auto"/>
                <w:w w:val="87"/>
              </w:rPr>
              <w:t>Elaine P. Wynn</w:t>
            </w:r>
          </w:p>
        </w:tc>
      </w:tr>
      <w:tr>
        <w:trPr>
          <w:trHeight w:val="431"/>
        </w:trPr>
        <w:tc>
          <w:tcPr>
            <w:tcW w:w="1600" w:type="dxa"/>
            <w:vAlign w:val="bottom"/>
          </w:tcPr>
          <w:p>
            <w:pPr>
              <w:ind w:left="1360"/>
              <w:spacing w:after="0"/>
              <w:rPr>
                <w:sz w:val="20"/>
                <w:szCs w:val="20"/>
                <w:color w:val="auto"/>
              </w:rPr>
            </w:pPr>
            <w:r>
              <w:rPr>
                <w:rFonts w:ascii="Arial" w:cs="Arial" w:eastAsia="Arial" w:hAnsi="Arial"/>
                <w:sz w:val="18"/>
                <w:szCs w:val="18"/>
                <w:color w:val="auto"/>
              </w:rPr>
              <w:t>/s/</w:t>
            </w:r>
          </w:p>
        </w:tc>
        <w:tc>
          <w:tcPr>
            <w:tcW w:w="2980" w:type="dxa"/>
            <w:vAlign w:val="bottom"/>
          </w:tcPr>
          <w:p>
            <w:pPr>
              <w:jc w:val="right"/>
              <w:ind w:right="1566"/>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TANLEY</w:t>
            </w:r>
            <w:r>
              <w:rPr>
                <w:rFonts w:ascii="Arial" w:cs="Arial" w:eastAsia="Arial" w:hAnsi="Arial"/>
                <w:sz w:val="18"/>
                <w:szCs w:val="18"/>
                <w:color w:val="auto"/>
              </w:rPr>
              <w:t xml:space="preserve"> R. Z</w:t>
            </w:r>
            <w:r>
              <w:rPr>
                <w:rFonts w:ascii="Arial" w:cs="Arial" w:eastAsia="Arial" w:hAnsi="Arial"/>
                <w:sz w:val="14"/>
                <w:szCs w:val="14"/>
                <w:color w:val="auto"/>
              </w:rPr>
              <w:t>AX</w:t>
            </w: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r>
      <w:tr>
        <w:trPr>
          <w:trHeight w:val="263"/>
        </w:trPr>
        <w:tc>
          <w:tcPr>
            <w:tcW w:w="1600" w:type="dxa"/>
            <w:vAlign w:val="bottom"/>
          </w:tcPr>
          <w:p>
            <w:pPr>
              <w:spacing w:after="0"/>
              <w:rPr>
                <w:sz w:val="22"/>
                <w:szCs w:val="22"/>
                <w:color w:val="auto"/>
              </w:rPr>
            </w:pPr>
          </w:p>
        </w:tc>
        <w:tc>
          <w:tcPr>
            <w:tcW w:w="2980" w:type="dxa"/>
            <w:vAlign w:val="bottom"/>
          </w:tcPr>
          <w:p>
            <w:pPr>
              <w:jc w:val="center"/>
              <w:ind w:right="1506"/>
              <w:spacing w:after="0"/>
              <w:rPr>
                <w:sz w:val="20"/>
                <w:szCs w:val="20"/>
                <w:color w:val="auto"/>
              </w:rPr>
            </w:pPr>
            <w:r>
              <w:rPr>
                <w:rFonts w:ascii="Arial" w:cs="Arial" w:eastAsia="Arial" w:hAnsi="Arial"/>
                <w:sz w:val="14"/>
                <w:szCs w:val="14"/>
                <w:b w:val="1"/>
                <w:bCs w:val="1"/>
                <w:color w:val="auto"/>
                <w:w w:val="87"/>
              </w:rPr>
              <w:t>Stanley R. Zax</w:t>
            </w:r>
          </w:p>
        </w:tc>
      </w:tr>
      <w:tr>
        <w:trPr>
          <w:trHeight w:val="325"/>
        </w:trPr>
        <w:tc>
          <w:tcPr>
            <w:tcW w:w="16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r>
        <w:trPr>
          <w:trHeight w:val="263"/>
        </w:trPr>
        <w:tc>
          <w:tcPr>
            <w:tcW w:w="1600" w:type="dxa"/>
            <w:vAlign w:val="bottom"/>
          </w:tcPr>
          <w:p>
            <w:pPr>
              <w:spacing w:after="0"/>
              <w:rPr>
                <w:sz w:val="22"/>
                <w:szCs w:val="22"/>
                <w:color w:val="auto"/>
              </w:rPr>
            </w:pPr>
          </w:p>
        </w:tc>
        <w:tc>
          <w:tcPr>
            <w:tcW w:w="2980" w:type="dxa"/>
            <w:vAlign w:val="bottom"/>
          </w:tcPr>
          <w:p>
            <w:pPr>
              <w:jc w:val="center"/>
              <w:ind w:right="1506"/>
              <w:spacing w:after="0"/>
              <w:rPr>
                <w:sz w:val="20"/>
                <w:szCs w:val="20"/>
                <w:color w:val="auto"/>
              </w:rPr>
            </w:pPr>
            <w:r>
              <w:rPr>
                <w:rFonts w:ascii="Arial" w:cs="Arial" w:eastAsia="Arial" w:hAnsi="Arial"/>
                <w:sz w:val="14"/>
                <w:szCs w:val="14"/>
                <w:b w:val="1"/>
                <w:bCs w:val="1"/>
                <w:color w:val="auto"/>
                <w:w w:val="91"/>
              </w:rPr>
              <w:t>Allan Zeman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27"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219"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S-12</w:t>
      </w:r>
    </w:p>
    <w:p>
      <w:pPr>
        <w:sectPr>
          <w:pgSz w:w="11900" w:h="16838" w:orient="portrait"/>
          <w:cols w:equalWidth="0" w:num="2">
            <w:col w:w="4580" w:space="240"/>
            <w:col w:w="5920"/>
          </w:cols>
          <w:pgMar w:left="240" w:top="459" w:right="919" w:bottom="1440" w:gutter="0" w:footer="0" w:header="0"/>
          <w:type w:val="continuous"/>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April 13, 2005.</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GOLF, LLC</w:t>
      </w:r>
    </w:p>
    <w:p>
      <w:pPr>
        <w:spacing w:after="0" w:line="11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LAS VEGAS,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11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Stephen A. Wynn and John Strzemp, and each of them singly, as his or her true and lawful attorney-in-fact and agent with full power of substitution and resubstitution for him or her and in his or her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5"/>
                <w:szCs w:val="15"/>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600" w:type="dxa"/>
            <w:vAlign w:val="bottom"/>
          </w:tcPr>
          <w:p>
            <w:pPr>
              <w:ind w:left="128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Chairman of Board and Chief Executive Officer of</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Executive 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440"/>
              <w:spacing w:after="0"/>
              <w:rPr>
                <w:sz w:val="20"/>
                <w:szCs w:val="20"/>
                <w:color w:val="auto"/>
              </w:rPr>
            </w:pPr>
            <w:r>
              <w:rPr>
                <w:rFonts w:ascii="Arial" w:cs="Arial" w:eastAsia="Arial" w:hAnsi="Arial"/>
                <w:sz w:val="18"/>
                <w:szCs w:val="18"/>
                <w:color w:val="auto"/>
                <w:w w:val="73"/>
              </w:rPr>
              <w:t>/s/</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 of</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Financial and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John Strzemp</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ind w:left="1420"/>
              <w:spacing w:after="0"/>
              <w:rPr>
                <w:sz w:val="20"/>
                <w:szCs w:val="20"/>
                <w:color w:val="auto"/>
              </w:rPr>
            </w:pPr>
            <w:r>
              <w:rPr>
                <w:rFonts w:ascii="Arial" w:cs="Arial" w:eastAsia="Arial" w:hAnsi="Arial"/>
                <w:sz w:val="18"/>
                <w:szCs w:val="18"/>
                <w:color w:val="auto"/>
                <w:w w:val="83"/>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Vice Chairman of Board</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Kazuo Okada</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00" w:type="dxa"/>
            <w:vAlign w:val="bottom"/>
          </w:tcPr>
          <w:p>
            <w:pPr>
              <w:spacing w:after="0"/>
              <w:rPr>
                <w:sz w:val="13"/>
                <w:szCs w:val="13"/>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9"/>
              </w:rPr>
              <w:t>Ronald J. Kramer</w:t>
            </w:r>
          </w:p>
        </w:tc>
        <w:tc>
          <w:tcPr>
            <w:tcW w:w="466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600" w:type="dxa"/>
            <w:vAlign w:val="bottom"/>
          </w:tcPr>
          <w:p>
            <w:pPr>
              <w:spacing w:after="0"/>
              <w:rPr>
                <w:sz w:val="9"/>
                <w:szCs w:val="9"/>
                <w:color w:val="auto"/>
              </w:rPr>
            </w:pPr>
          </w:p>
        </w:tc>
        <w:tc>
          <w:tcPr>
            <w:tcW w:w="2980" w:type="dxa"/>
            <w:vAlign w:val="bottom"/>
            <w:gridSpan w:val="3"/>
            <w:vMerge w:val="continue"/>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30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392"/>
              <w:spacing w:after="0"/>
              <w:rPr>
                <w:sz w:val="20"/>
                <w:szCs w:val="20"/>
                <w:color w:val="auto"/>
              </w:rPr>
            </w:pPr>
            <w:r>
              <w:rPr>
                <w:rFonts w:ascii="Arial" w:cs="Arial" w:eastAsia="Arial" w:hAnsi="Arial"/>
                <w:sz w:val="18"/>
                <w:szCs w:val="18"/>
                <w:color w:val="auto"/>
                <w:w w:val="91"/>
              </w:rPr>
              <w:t>April 13,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60" w:type="dxa"/>
            <w:vAlign w:val="bottom"/>
            <w:gridSpan w:val="3"/>
          </w:tcPr>
          <w:p>
            <w:pPr>
              <w:ind w:left="960"/>
              <w:spacing w:after="0"/>
              <w:rPr>
                <w:sz w:val="20"/>
                <w:szCs w:val="20"/>
                <w:color w:val="auto"/>
              </w:rPr>
            </w:pPr>
            <w:r>
              <w:rPr>
                <w:rFonts w:ascii="Arial" w:cs="Arial" w:eastAsia="Arial" w:hAnsi="Arial"/>
                <w:sz w:val="18"/>
                <w:szCs w:val="18"/>
                <w:color w:val="auto"/>
              </w:rPr>
              <w:t>S-13</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290703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John A. Moran</w:t>
      </w:r>
    </w:p>
    <w:p>
      <w:pPr>
        <w:spacing w:after="0" w:line="262" w:lineRule="exact"/>
        <w:rPr>
          <w:sz w:val="20"/>
          <w:szCs w:val="20"/>
          <w:color w:val="auto"/>
        </w:rPr>
      </w:pPr>
    </w:p>
    <w:p>
      <w:pPr>
        <w:ind w:left="1180"/>
        <w:spacing w:after="0"/>
        <w:tabs>
          <w:tab w:leader="none" w:pos="1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LVIN</w:t>
      </w:r>
      <w:r>
        <w:rPr>
          <w:rFonts w:ascii="Arial" w:cs="Arial" w:eastAsia="Arial" w:hAnsi="Arial"/>
          <w:sz w:val="16"/>
          <w:szCs w:val="16"/>
          <w:color w:val="auto"/>
        </w:rPr>
        <w:t xml:space="preserve"> V. S</w:t>
      </w:r>
      <w:r>
        <w:rPr>
          <w:rFonts w:ascii="Arial" w:cs="Arial" w:eastAsia="Arial" w:hAnsi="Arial"/>
          <w:sz w:val="13"/>
          <w:szCs w:val="13"/>
          <w:color w:val="auto"/>
        </w:rPr>
        <w:t>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Arial" w:cs="Arial" w:eastAsia="Arial" w:hAnsi="Arial"/>
                <w:sz w:val="14"/>
                <w:szCs w:val="14"/>
                <w:b w:val="1"/>
                <w:bCs w:val="1"/>
                <w:color w:val="auto"/>
              </w:rPr>
              <w:t>Alvin V. Shoemaker</w:t>
            </w:r>
          </w:p>
        </w:tc>
      </w:tr>
      <w:tr>
        <w:trPr>
          <w:trHeight w:val="431"/>
        </w:trPr>
        <w:tc>
          <w:tcPr>
            <w:tcW w:w="1620" w:type="dxa"/>
            <w:vAlign w:val="bottom"/>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IRIL</w:t>
            </w:r>
            <w:r>
              <w:rPr>
                <w:rFonts w:ascii="Arial" w:cs="Arial" w:eastAsia="Arial" w:hAnsi="Arial"/>
                <w:sz w:val="18"/>
                <w:szCs w:val="18"/>
                <w:color w:val="auto"/>
              </w:rPr>
              <w:t xml:space="preserve"> S</w:t>
            </w:r>
            <w:r>
              <w:rPr>
                <w:rFonts w:ascii="Arial" w:cs="Arial" w:eastAsia="Arial" w:hAnsi="Arial"/>
                <w:sz w:val="14"/>
                <w:szCs w:val="14"/>
                <w:color w:val="auto"/>
              </w:rPr>
              <w:t>OKOLOFF</w:t>
            </w:r>
          </w:p>
        </w:tc>
      </w:tr>
      <w:tr>
        <w:trPr>
          <w:trHeight w:val="110"/>
        </w:trPr>
        <w:tc>
          <w:tcPr>
            <w:tcW w:w="16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r>
      <w:tr>
        <w:trPr>
          <w:trHeight w:val="263"/>
        </w:trPr>
        <w:tc>
          <w:tcPr>
            <w:tcW w:w="1620" w:type="dxa"/>
            <w:vAlign w:val="bottom"/>
          </w:tcPr>
          <w:p>
            <w:pPr>
              <w:spacing w:after="0"/>
              <w:rPr>
                <w:sz w:val="22"/>
                <w:szCs w:val="22"/>
                <w:color w:val="auto"/>
              </w:rPr>
            </w:pPr>
          </w:p>
        </w:tc>
        <w:tc>
          <w:tcPr>
            <w:tcW w:w="2960" w:type="dxa"/>
            <w:vAlign w:val="bottom"/>
          </w:tcPr>
          <w:p>
            <w:pPr>
              <w:jc w:val="center"/>
              <w:ind w:right="1526"/>
              <w:spacing w:after="0"/>
              <w:rPr>
                <w:sz w:val="20"/>
                <w:szCs w:val="20"/>
                <w:color w:val="auto"/>
              </w:rPr>
            </w:pPr>
            <w:r>
              <w:rPr>
                <w:rFonts w:ascii="Arial" w:cs="Arial" w:eastAsia="Arial" w:hAnsi="Arial"/>
                <w:sz w:val="14"/>
                <w:szCs w:val="14"/>
                <w:b w:val="1"/>
                <w:bCs w:val="1"/>
                <w:color w:val="auto"/>
                <w:w w:val="91"/>
              </w:rPr>
              <w:t>Kiril Sokoloff</w:t>
            </w:r>
          </w:p>
        </w:tc>
      </w:tr>
      <w:tr>
        <w:trPr>
          <w:trHeight w:val="325"/>
        </w:trPr>
        <w:tc>
          <w:tcPr>
            <w:tcW w:w="16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r>
        <w:trPr>
          <w:trHeight w:val="263"/>
        </w:trPr>
        <w:tc>
          <w:tcPr>
            <w:tcW w:w="1620" w:type="dxa"/>
            <w:vAlign w:val="bottom"/>
          </w:tcPr>
          <w:p>
            <w:pPr>
              <w:spacing w:after="0"/>
              <w:rPr>
                <w:sz w:val="22"/>
                <w:szCs w:val="22"/>
                <w:color w:val="auto"/>
              </w:rPr>
            </w:pPr>
          </w:p>
        </w:tc>
        <w:tc>
          <w:tcPr>
            <w:tcW w:w="2960" w:type="dxa"/>
            <w:vAlign w:val="bottom"/>
          </w:tcPr>
          <w:p>
            <w:pPr>
              <w:jc w:val="center"/>
              <w:ind w:right="1546"/>
              <w:spacing w:after="0"/>
              <w:rPr>
                <w:sz w:val="20"/>
                <w:szCs w:val="20"/>
                <w:color w:val="auto"/>
              </w:rPr>
            </w:pPr>
            <w:r>
              <w:rPr>
                <w:rFonts w:ascii="Arial" w:cs="Arial" w:eastAsia="Arial" w:hAnsi="Arial"/>
                <w:sz w:val="14"/>
                <w:szCs w:val="14"/>
                <w:b w:val="1"/>
                <w:bCs w:val="1"/>
                <w:color w:val="auto"/>
                <w:w w:val="85"/>
              </w:rPr>
              <w:t>D. Boone Wayson</w:t>
            </w:r>
          </w:p>
        </w:tc>
      </w:tr>
      <w:tr>
        <w:trPr>
          <w:trHeight w:val="471"/>
        </w:trPr>
        <w:tc>
          <w:tcPr>
            <w:tcW w:w="1620" w:type="dxa"/>
            <w:vAlign w:val="bottom"/>
          </w:tcPr>
          <w:p>
            <w:pPr>
              <w:ind w:left="1360"/>
              <w:spacing w:after="0"/>
              <w:rPr>
                <w:sz w:val="20"/>
                <w:szCs w:val="20"/>
                <w:color w:val="auto"/>
              </w:rPr>
            </w:pPr>
            <w:r>
              <w:rPr>
                <w:rFonts w:ascii="Arial" w:cs="Arial" w:eastAsia="Arial" w:hAnsi="Arial"/>
                <w:sz w:val="18"/>
                <w:szCs w:val="18"/>
                <w:color w:val="auto"/>
              </w:rPr>
              <w:t>/s/</w:t>
            </w:r>
          </w:p>
        </w:tc>
        <w:tc>
          <w:tcPr>
            <w:tcW w:w="2960" w:type="dxa"/>
            <w:vAlign w:val="bottom"/>
          </w:tcPr>
          <w:p>
            <w:pPr>
              <w:ind w:left="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LAINE</w:t>
            </w:r>
            <w:r>
              <w:rPr>
                <w:rFonts w:ascii="Arial" w:cs="Arial" w:eastAsia="Arial" w:hAnsi="Arial"/>
                <w:sz w:val="18"/>
                <w:szCs w:val="18"/>
                <w:color w:val="auto"/>
              </w:rPr>
              <w:t xml:space="preserve"> P. W</w:t>
            </w:r>
            <w:r>
              <w:rPr>
                <w:rFonts w:ascii="Arial" w:cs="Arial" w:eastAsia="Arial" w:hAnsi="Arial"/>
                <w:sz w:val="14"/>
                <w:szCs w:val="14"/>
                <w:color w:val="auto"/>
              </w:rPr>
              <w:t>YNN</w:t>
            </w:r>
          </w:p>
        </w:tc>
      </w:tr>
      <w:tr>
        <w:trPr>
          <w:trHeight w:val="110"/>
        </w:trPr>
        <w:tc>
          <w:tcPr>
            <w:tcW w:w="16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r>
      <w:tr>
        <w:trPr>
          <w:trHeight w:val="263"/>
        </w:trPr>
        <w:tc>
          <w:tcPr>
            <w:tcW w:w="1620" w:type="dxa"/>
            <w:vAlign w:val="bottom"/>
          </w:tcPr>
          <w:p>
            <w:pPr>
              <w:spacing w:after="0"/>
              <w:rPr>
                <w:sz w:val="22"/>
                <w:szCs w:val="22"/>
                <w:color w:val="auto"/>
              </w:rPr>
            </w:pPr>
          </w:p>
        </w:tc>
        <w:tc>
          <w:tcPr>
            <w:tcW w:w="2960" w:type="dxa"/>
            <w:vAlign w:val="bottom"/>
          </w:tcPr>
          <w:p>
            <w:pPr>
              <w:jc w:val="center"/>
              <w:ind w:right="1526"/>
              <w:spacing w:after="0"/>
              <w:rPr>
                <w:sz w:val="20"/>
                <w:szCs w:val="20"/>
                <w:color w:val="auto"/>
              </w:rPr>
            </w:pPr>
            <w:r>
              <w:rPr>
                <w:rFonts w:ascii="Arial" w:cs="Arial" w:eastAsia="Arial" w:hAnsi="Arial"/>
                <w:sz w:val="14"/>
                <w:szCs w:val="14"/>
                <w:b w:val="1"/>
                <w:bCs w:val="1"/>
                <w:color w:val="auto"/>
                <w:w w:val="87"/>
              </w:rPr>
              <w:t>Elaine P. Wynn</w:t>
            </w:r>
          </w:p>
        </w:tc>
      </w:tr>
      <w:tr>
        <w:trPr>
          <w:trHeight w:val="431"/>
        </w:trPr>
        <w:tc>
          <w:tcPr>
            <w:tcW w:w="1620" w:type="dxa"/>
            <w:vAlign w:val="bottom"/>
          </w:tcPr>
          <w:p>
            <w:pPr>
              <w:ind w:left="1360"/>
              <w:spacing w:after="0"/>
              <w:rPr>
                <w:sz w:val="20"/>
                <w:szCs w:val="20"/>
                <w:color w:val="auto"/>
              </w:rPr>
            </w:pPr>
            <w:r>
              <w:rPr>
                <w:rFonts w:ascii="Arial" w:cs="Arial" w:eastAsia="Arial" w:hAnsi="Arial"/>
                <w:sz w:val="18"/>
                <w:szCs w:val="18"/>
                <w:color w:val="auto"/>
              </w:rPr>
              <w:t>/s/</w:t>
            </w:r>
          </w:p>
        </w:tc>
        <w:tc>
          <w:tcPr>
            <w:tcW w:w="2960" w:type="dxa"/>
            <w:vAlign w:val="bottom"/>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TANLEY</w:t>
            </w:r>
            <w:r>
              <w:rPr>
                <w:rFonts w:ascii="Arial" w:cs="Arial" w:eastAsia="Arial" w:hAnsi="Arial"/>
                <w:sz w:val="18"/>
                <w:szCs w:val="18"/>
                <w:color w:val="auto"/>
              </w:rPr>
              <w:t xml:space="preserve"> R. Z</w:t>
            </w:r>
            <w:r>
              <w:rPr>
                <w:rFonts w:ascii="Arial" w:cs="Arial" w:eastAsia="Arial" w:hAnsi="Arial"/>
                <w:sz w:val="14"/>
                <w:szCs w:val="14"/>
                <w:color w:val="auto"/>
              </w:rPr>
              <w:t>AX</w:t>
            </w:r>
          </w:p>
        </w:tc>
      </w:tr>
      <w:tr>
        <w:trPr>
          <w:trHeight w:val="110"/>
        </w:trPr>
        <w:tc>
          <w:tcPr>
            <w:tcW w:w="16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r>
      <w:tr>
        <w:trPr>
          <w:trHeight w:val="263"/>
        </w:trPr>
        <w:tc>
          <w:tcPr>
            <w:tcW w:w="1620" w:type="dxa"/>
            <w:vAlign w:val="bottom"/>
          </w:tcPr>
          <w:p>
            <w:pPr>
              <w:spacing w:after="0"/>
              <w:rPr>
                <w:sz w:val="22"/>
                <w:szCs w:val="22"/>
                <w:color w:val="auto"/>
              </w:rPr>
            </w:pPr>
          </w:p>
        </w:tc>
        <w:tc>
          <w:tcPr>
            <w:tcW w:w="2960" w:type="dxa"/>
            <w:vAlign w:val="bottom"/>
          </w:tcPr>
          <w:p>
            <w:pPr>
              <w:jc w:val="center"/>
              <w:ind w:right="1526"/>
              <w:spacing w:after="0"/>
              <w:rPr>
                <w:sz w:val="20"/>
                <w:szCs w:val="20"/>
                <w:color w:val="auto"/>
              </w:rPr>
            </w:pPr>
            <w:r>
              <w:rPr>
                <w:rFonts w:ascii="Arial" w:cs="Arial" w:eastAsia="Arial" w:hAnsi="Arial"/>
                <w:sz w:val="14"/>
                <w:szCs w:val="14"/>
                <w:b w:val="1"/>
                <w:bCs w:val="1"/>
                <w:color w:val="auto"/>
                <w:w w:val="87"/>
              </w:rPr>
              <w:t>Stanley R. Zax</w:t>
            </w:r>
          </w:p>
        </w:tc>
      </w:tr>
      <w:tr>
        <w:trPr>
          <w:trHeight w:val="325"/>
        </w:trPr>
        <w:tc>
          <w:tcPr>
            <w:tcW w:w="16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r>
        <w:trPr>
          <w:trHeight w:val="263"/>
        </w:trPr>
        <w:tc>
          <w:tcPr>
            <w:tcW w:w="1620" w:type="dxa"/>
            <w:vAlign w:val="bottom"/>
          </w:tcPr>
          <w:p>
            <w:pPr>
              <w:spacing w:after="0"/>
              <w:rPr>
                <w:sz w:val="22"/>
                <w:szCs w:val="22"/>
                <w:color w:val="auto"/>
              </w:rPr>
            </w:pPr>
          </w:p>
        </w:tc>
        <w:tc>
          <w:tcPr>
            <w:tcW w:w="2960" w:type="dxa"/>
            <w:vAlign w:val="bottom"/>
          </w:tcPr>
          <w:p>
            <w:pPr>
              <w:jc w:val="center"/>
              <w:ind w:right="1526"/>
              <w:spacing w:after="0"/>
              <w:rPr>
                <w:sz w:val="20"/>
                <w:szCs w:val="20"/>
                <w:color w:val="auto"/>
              </w:rPr>
            </w:pPr>
            <w:r>
              <w:rPr>
                <w:rFonts w:ascii="Arial" w:cs="Arial" w:eastAsia="Arial" w:hAnsi="Arial"/>
                <w:sz w:val="14"/>
                <w:szCs w:val="14"/>
                <w:b w:val="1"/>
                <w:bCs w:val="1"/>
                <w:color w:val="auto"/>
                <w:w w:val="91"/>
              </w:rPr>
              <w:t>Allan Zeman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860"/>
        <w:spacing w:after="0"/>
        <w:tabs>
          <w:tab w:leader="none" w:pos="5240" w:val="left"/>
        </w:tabs>
        <w:rPr>
          <w:sz w:val="20"/>
          <w:szCs w:val="20"/>
          <w:color w:val="auto"/>
        </w:rPr>
      </w:pP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-633730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1155065</wp:posOffset>
            </wp:positionH>
            <wp:positionV relativeFrom="paragraph">
              <wp:posOffset>68580</wp:posOffset>
            </wp:positionV>
            <wp:extent cx="23177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68580</wp:posOffset>
            </wp:positionV>
            <wp:extent cx="24003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219"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219"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tabs>
          <w:tab w:leader="none" w:pos="48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April 13, 2005</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Resorts, Limited</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S-14</w:t>
      </w:r>
    </w:p>
    <w:p>
      <w:pPr>
        <w:sectPr>
          <w:pgSz w:w="11900" w:h="16838" w:orient="portrait"/>
          <w:cols w:equalWidth="0" w:num="2">
            <w:col w:w="4580" w:space="240"/>
            <w:col w:w="5920"/>
          </w:cols>
          <w:pgMar w:left="240" w:top="460" w:right="91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ARTICLES OF ORGANIZATION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LAS VEGAS, LLC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Nevada Revised Statutes Sections 86.221 and 86.226, the undersigned does hereby declare and certify that:</w:t>
      </w:r>
    </w:p>
    <w:p>
      <w:pPr>
        <w:spacing w:after="0" w:line="77" w:lineRule="exact"/>
        <w:rPr>
          <w:sz w:val="20"/>
          <w:szCs w:val="20"/>
          <w:color w:val="auto"/>
        </w:rPr>
      </w:pPr>
    </w:p>
    <w:p>
      <w:pPr>
        <w:ind w:left="640" w:hanging="176"/>
        <w:spacing w:after="0"/>
        <w:tabs>
          <w:tab w:leader="none" w:pos="6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name of the limited liability company is Wynn Las Vegas, LLC, a Nevada limited liability company (the “Company”).</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Company is managed by its member.</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Articles of Organization of the Company shall be amended and restated as set forth below.</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effective date of these Second Amended and Restated Articles of Organization shall be December 14,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NAME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Company is Wynn Las Vegas,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REGISTERED OFFICE AND RESIDENT AGENT</w:t>
      </w:r>
    </w:p>
    <w:p>
      <w:pPr>
        <w:spacing w:after="0" w:line="151"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The Company’s resident agent and the address of the registered office where process may be served in the State of Nevada is currently Marc H. Rubinstein, 3131 Las Vegas Boulevard South, Las Vegas, Nevada 89109, or such other resident agent and registered office as the member shall, from time to time, determine.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 AND PAYMENT OF EXPENSES</w:t>
      </w:r>
    </w:p>
    <w:p>
      <w:pPr>
        <w:spacing w:after="0" w:line="1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any other rights of indemnification permitted by the laws of the State of Nevada as may be provided for by the Company in these articles of organization, the Company’s operating agreement or any other agreement, the expenses of the member incurred in defending a civil or criminal action, suit or proceeding, involving alleged acts or omissions of such member in its capacity as a member of the Company, must be paid by the Company, or through insurance purchased and maintained by the Company or through other financial arrangements made by the Company as permitted by the laws of the State of Nevada, as they are incurred and in advance of the final disposition of the action, suit or proceeding, upon receipt of an unsecured undertaking by or on behalf of the member to repay the amount if it is ultimately determined by a court of competent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54" w:name="page255"/>
    <w:bookmarkEnd w:id="254"/>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jurisdiction that it is not entitled to be indemnified by the Company. Any repeal or modification of this Article III approved by the member of the Company shall be prospective only. In the event of any conflict between this Article III and any other article of the Company’s articles of organization, the terms and provisions of Article III shall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MANAGEMENT</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management of the Company shall be vested in its sole member. The name and address of the sole member of the Company is Wynn Resorts Holdings, LLC, 3131 Las Vegas Boulevard South, Las Vegas, Nevada 89109. The member may designate or authorize, by provision either in the Company’s operating agreement or in another writing, one or more persons, officers or employees of the Company who may, in the name and on behalf of the Company, and in lieu of or in addition to the member, contract debts or incur liabilities, and sign contracts or agreements (including, without limitation, instruments and documents providing for the acquisition, mortgage or disposition of property of the Company), and may authorize the use of facsimile signatures of any such persons, officers or employees.</w:t>
      </w:r>
    </w:p>
    <w:p>
      <w:pPr>
        <w:spacing w:after="0" w:line="13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V</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ORGANIZER</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name and post office box or street address of the organizer of the Company was Veronica L. Collins, 3145 Las Vegas Blvd. South, Las Vegas, Nevada 89109.</w:t>
      </w:r>
    </w:p>
    <w:p>
      <w:pPr>
        <w:spacing w:after="0" w:line="118" w:lineRule="exact"/>
        <w:rPr>
          <w:sz w:val="20"/>
          <w:szCs w:val="20"/>
          <w:color w:val="auto"/>
        </w:rPr>
      </w:pPr>
    </w:p>
    <w:p>
      <w:pPr>
        <w:ind w:left="5240"/>
        <w:spacing w:after="0"/>
        <w:rPr>
          <w:sz w:val="20"/>
          <w:szCs w:val="20"/>
          <w:color w:val="auto"/>
        </w:rPr>
      </w:pPr>
      <w:r>
        <w:rPr>
          <w:rFonts w:ascii="Arial" w:cs="Arial" w:eastAsia="Arial" w:hAnsi="Arial"/>
          <w:sz w:val="18"/>
          <w:szCs w:val="18"/>
          <w:u w:val="single" w:color="auto"/>
          <w:color w:val="auto"/>
        </w:rPr>
        <w:t>ARTICLE VI</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PURPOSES</w:t>
      </w:r>
    </w:p>
    <w:p>
      <w:pPr>
        <w:spacing w:after="0" w:line="1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character and general nature of the business to be conducted by the Company shall include, without limitation, the development, ownership, operation, management and conduct of gaming in a resort/casino to be known as “Wynn Las Vegas” and to be located at or about 3131 Las Vegas Boulevard South, Las Vegas, Nevada. The Company’s purposes shall also include the engagement in, conduct of and promotion of any other act or activity permitted under applicable law and all acts or activities as may be necessary or incidental to the Company’s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GAMING RESTRICTIONS</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Transfer of Interest in the Company</w:t>
      </w:r>
      <w:r>
        <w:rPr>
          <w:rFonts w:ascii="Arial" w:cs="Arial" w:eastAsia="Arial" w:hAnsi="Arial"/>
          <w:sz w:val="16"/>
          <w:szCs w:val="16"/>
          <w:color w:val="auto"/>
        </w:rPr>
        <w:t>. Notwithstanding anything to the contrary expressed or implied in these articles of organization, once the Company has been registered with or licensed by the Nevada Gaming Commission (the “Commission”), the sale, assignment, transfer, pledge or other disposition thereafter of any interest in the Company shall be ineffective unless approved in advance by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55" w:name="page256"/>
    <w:bookmarkEnd w:id="255"/>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Commission. If at any time the Commission finds that a member which owns any such interest is unsuitable to hold that interest, the Commission shall immediately notify the Company of that fact. The Company shall, within ten days from the date that it receives the notice from the Commission, return to the unsuitable member the amount of its capital account as reflected on the books of the Company. Beginning on the date when the Commission serves notice of a determination of unsuitability, pursuant to the preceding sentence, upon the Company, it shall be unlawful for the unsuitable member: (a) to receive any share of the distribution of profits or cash or any other property of, or payments upon dissolution of, the Company, other than a return of capital as required above; (b) to exercise directly or through a trustee or nominee, any voting right conferred by such interest; (c) to participate in the management of the business and affairs of the Company; or (d) to receive any remuneration in any form from the Company, for services rendered or otherwise.</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Determination of Unsuitability.</w:t>
      </w:r>
      <w:r>
        <w:rPr>
          <w:rFonts w:ascii="Arial" w:cs="Arial" w:eastAsia="Arial" w:hAnsi="Arial"/>
          <w:sz w:val="18"/>
          <w:szCs w:val="18"/>
          <w:color w:val="auto"/>
        </w:rPr>
        <w:t xml:space="preserve"> Any member that is found unsuitable by the Commission shall return all evidence of any ownership in the Company to the Company, at which time the Company shall, within ten days after the Company receives notice from the Commission, return to the member in cash, the amount of its capital account as reflected on the books of the Company, and the unsuitable member shall no longer have any direct or indirect interest in the Company.</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Redemption of Interest</w:t>
      </w:r>
      <w:r>
        <w:rPr>
          <w:rFonts w:ascii="Arial" w:cs="Arial" w:eastAsia="Arial" w:hAnsi="Arial"/>
          <w:sz w:val="18"/>
          <w:szCs w:val="18"/>
          <w:color w:val="auto"/>
        </w:rPr>
        <w:t>. Notwithstanding the foregoing, to the extent permitted by applicable law and the Commission, if a member has been found by the Commission to be unsuitable, the Company shall have the right to redeem such member’s interest in the Company as provided in any agreement among the Company and its member.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appears on the following page</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256" w:name="page257"/>
    <w:bookmarkEnd w:id="25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sole member of the Company has hereunto executed these Second Amended and Restated Articles of Organization as of the 14th day of December, 2004.</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Valvino Lamore, LLC,</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320"/>
        <w:spacing w:after="0"/>
        <w:tabs>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74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80010</wp:posOffset>
            </wp:positionV>
            <wp:extent cx="208407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1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00"/>
          </w:cols>
          <w:pgMar w:left="240" w:top="280" w:right="95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3.2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Nevada limited liability company</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Second Amended and Restated Operating Agreement of Wynn Las Vegas,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is adopted at Las Vegas, Nevada, effective as of December 14, 2004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Wynn Resorts Holdings, LLC, a Nevada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which constitutes the sole member of the Company, with reference to the recitals set forth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The Company’s initial member, Holdings (then known as Wynn Resorts, LLC), adopted an operating agreement for the Company, effective April 17, 2001, the date of formation of the Company (the “</w:t>
      </w:r>
      <w:r>
        <w:rPr>
          <w:rFonts w:ascii="Arial" w:cs="Arial" w:eastAsia="Arial" w:hAnsi="Arial"/>
          <w:sz w:val="18"/>
          <w:szCs w:val="18"/>
          <w:u w:val="single" w:color="auto"/>
          <w:color w:val="auto"/>
        </w:rPr>
        <w:t>Original Operating Agreement</w:t>
      </w:r>
      <w:r>
        <w:rPr>
          <w:rFonts w:ascii="Arial" w:cs="Arial" w:eastAsia="Arial" w:hAnsi="Arial"/>
          <w:sz w:val="18"/>
          <w:szCs w:val="18"/>
          <w:color w:val="auto"/>
        </w:rPr>
        <w: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 The Original Operating Agreement was amended and restated by Holdings as of October 21, 2002, and then further amended as of December 9, 2002 (as amended, the “</w:t>
      </w:r>
      <w:r>
        <w:rPr>
          <w:rFonts w:ascii="Arial" w:cs="Arial" w:eastAsia="Arial" w:hAnsi="Arial"/>
          <w:sz w:val="18"/>
          <w:szCs w:val="18"/>
          <w:u w:val="single" w:color="auto"/>
          <w:color w:val="auto"/>
        </w:rPr>
        <w:t>Current Operating Agreement</w:t>
      </w:r>
      <w:r>
        <w:rPr>
          <w:rFonts w:ascii="Arial" w:cs="Arial" w:eastAsia="Arial" w:hAnsi="Arial"/>
          <w:sz w:val="18"/>
          <w:szCs w:val="18"/>
          <w:color w:val="auto"/>
        </w:rPr>
        <w:t>”); and</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 As of the Effective Date, and pursuant to NRS 86.286(1), Holdings desires to amend and restate, in its entirety, the Current Operating Agreement to provide for the conduct of the Company’s business and affairs on and after the Effective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Holdings hereby agrees to and adopts the following: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“Act” means Chapter 86 of the NRS.</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“Affiliate” means with respect to a specified Person, any other Person who or which is (a) directly or indirectly controlling, controlled by or under common control with the specified Person, or (b) any member, stockholder, director, officer, manager, or comparable principal of, or relative or spouse of, the specified Person. For purposes of this definition, “control”, “controlling”, and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258" w:name="page259"/>
    <w:bookmarkEnd w:id="258"/>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w:t>
      </w:r>
      <w:r>
        <w:rPr>
          <w:rFonts w:ascii="Arial" w:cs="Arial" w:eastAsia="Arial" w:hAnsi="Arial"/>
          <w:sz w:val="18"/>
          <w:szCs w:val="18"/>
          <w:color w:val="auto"/>
        </w:rPr>
        <w:t>. “Agreement” means this Second Amended and Restated Operating Agreement, as amended from time to time.</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u w:val="single" w:color="auto"/>
          <w:color w:val="auto"/>
        </w:rPr>
        <w:t>Articles</w:t>
      </w:r>
      <w:r>
        <w:rPr>
          <w:rFonts w:ascii="Arial" w:cs="Arial" w:eastAsia="Arial" w:hAnsi="Arial"/>
          <w:sz w:val="18"/>
          <w:szCs w:val="18"/>
          <w:color w:val="auto"/>
        </w:rPr>
        <w:t>. “Articles” means the Second Amended and Restated Articles of Organization of the Company as filed with the Secretary of State of Nevada, as amended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Capital Contribution</w:t>
      </w:r>
      <w:r>
        <w:rPr>
          <w:rFonts w:ascii="Arial" w:cs="Arial" w:eastAsia="Arial" w:hAnsi="Arial"/>
          <w:sz w:val="18"/>
          <w:szCs w:val="18"/>
          <w:color w:val="auto"/>
        </w:rPr>
        <w:t>. “Capital Contribution” means a contribution to the capital of the Company in cash, property, or otherwise.</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means the Internal Revenue Code of 1986, as amended from time to time, or any corresponding United States federal tax statute enacted after the date of this Agreement. A reference to a specific section of the Code refers not only to such specific section but also to any corresponding provision of any United States federal tax statute enacted after the date of this Agreement, as such specific section or corresponding provision is in effect on the date of application of the provisions of this Agreement containing such reference.</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u w:val="single" w:color="auto"/>
          <w:color w:val="auto"/>
        </w:rPr>
        <w:t>Covered Person</w:t>
      </w:r>
      <w:r>
        <w:rPr>
          <w:rFonts w:ascii="Arial" w:cs="Arial" w:eastAsia="Arial" w:hAnsi="Arial"/>
          <w:sz w:val="18"/>
          <w:szCs w:val="18"/>
          <w:color w:val="auto"/>
        </w:rPr>
        <w:t>. “Covered Person” means (a) the Member, (b) any officer of the Company, (c) any manager or officer of the Member or the respective Affiliates of the Company or the Member, or (d) any Person who was, at the time of the act or omission in question, a Person described in any of clauses (a), (b) or (c) hereof.</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u w:val="single" w:color="auto"/>
          <w:color w:val="auto"/>
        </w:rPr>
        <w:t>Gaming Authority</w:t>
      </w:r>
      <w:r>
        <w:rPr>
          <w:rFonts w:ascii="Arial" w:cs="Arial" w:eastAsia="Arial" w:hAnsi="Arial"/>
          <w:sz w:val="16"/>
          <w:szCs w:val="16"/>
          <w:color w:val="auto"/>
        </w:rPr>
        <w:t>. “Gaming Authority” means those national, state, local and other governmental, regulatory and administrative authorities, agencies, boards and officials responsible for or involved in the regulation of gaming or gaming activities in any jurisdiction and, within the State of Nevada, specifically, the Nevada Gaming Commission, the Nevada State Gaming Control Board, and the Clark County Liquor and Gaming Licensing Board.</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u w:val="single" w:color="auto"/>
          <w:color w:val="auto"/>
        </w:rPr>
        <w:t>Gaming Laws</w:t>
      </w:r>
      <w:r>
        <w:rPr>
          <w:rFonts w:ascii="Arial" w:cs="Arial" w:eastAsia="Arial" w:hAnsi="Arial"/>
          <w:sz w:val="18"/>
          <w:szCs w:val="18"/>
          <w:color w:val="auto"/>
        </w:rPr>
        <w:t>. “Gaming Laws” means those laws pursuant to which any Gaming Authority possesses regulatory, licensing or permit authority over gaming within any jurisdiction and, within the State of Nevada, specifically, the Nevada Gaming Control Act, as codified in NRS Chapter 463, as amended from time to time, and the regulations of the Nevada Gaming Commission promulgated thereunder, as amended from time to time, and the Clark County Code, as amended from time to time.</w:t>
      </w:r>
    </w:p>
    <w:p>
      <w:pPr>
        <w:spacing w:after="0" w:line="130"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u w:val="single" w:color="auto"/>
          <w:color w:val="auto"/>
        </w:rPr>
        <w:t>Gaming Licenses</w:t>
      </w:r>
      <w:r>
        <w:rPr>
          <w:rFonts w:ascii="Arial" w:cs="Arial" w:eastAsia="Arial" w:hAnsi="Arial"/>
          <w:sz w:val="18"/>
          <w:szCs w:val="18"/>
          <w:color w:val="auto"/>
        </w:rPr>
        <w:t>. “Gaming Licenses” means all licenses, permits, approvals, authorizations, registrations, findings of suitability, franchises and entitlements issued by any Gaming Authority necessary for or relating to the conduct of activities or the ownership of an interest in an entity that conducts activities under the Gaming Laws.</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“Interest” means the entire ownership interest of the Member in the Company at any time, including the right of the Member to any and all benefits to which the Member may be entitled as provided under the Act and this Agreement.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Member</w:t>
      </w:r>
      <w:r>
        <w:rPr>
          <w:rFonts w:ascii="Arial" w:cs="Arial" w:eastAsia="Arial" w:hAnsi="Arial"/>
          <w:sz w:val="18"/>
          <w:szCs w:val="18"/>
          <w:color w:val="auto"/>
        </w:rPr>
        <w:t>. “Member” means the sole member of the Company. As of the Effective Date, the Member’s name, address and percentage Interest are as set forth on Schedule I attached 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NRS</w:t>
      </w:r>
      <w:r>
        <w:rPr>
          <w:rFonts w:ascii="Arial" w:cs="Arial" w:eastAsia="Arial" w:hAnsi="Arial"/>
          <w:sz w:val="18"/>
          <w:szCs w:val="18"/>
          <w:color w:val="auto"/>
        </w:rPr>
        <w:t>. “NRS” means the Nevada Revised Statutes, as amended from time to time.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80" w:right="259" w:bottom="1440" w:gutter="0" w:footer="0" w:header="0"/>
        </w:sectPr>
      </w:pPr>
    </w:p>
    <w:bookmarkStart w:id="259" w:name="page260"/>
    <w:bookmarkEnd w:id="259"/>
    <w:p>
      <w:pPr>
        <w:ind w:right="52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w:t>
      </w:r>
      <w:r>
        <w:rPr>
          <w:rFonts w:ascii="Arial" w:cs="Arial" w:eastAsia="Arial" w:hAnsi="Arial"/>
          <w:sz w:val="18"/>
          <w:szCs w:val="18"/>
          <w:color w:val="auto"/>
        </w:rPr>
        <w:t>. “Person” means a natural person, any form of business or social organization and any other non-governmental legal entity including, but not limited to, a corporation, partnership, association, trust, unincorporated organization, estate or limited liability company.</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u w:val="single" w:color="auto"/>
          <w:color w:val="auto"/>
        </w:rPr>
        <w:t>Records Office</w:t>
      </w:r>
      <w:r>
        <w:rPr>
          <w:rFonts w:ascii="Arial" w:cs="Arial" w:eastAsia="Arial" w:hAnsi="Arial"/>
          <w:sz w:val="18"/>
          <w:szCs w:val="18"/>
          <w:color w:val="auto"/>
        </w:rPr>
        <w:t>. “Records Office” means an office of the Company in Nevada, which may but need not be a place of its business, at which it shall keep all records identified in NRS 86.241, except that none of the lists required to be maintained pursuant to NRS 86.241 need be maintained in alphabetical order, nor shall the Company be required to maintain at its Records Office copies of powers of attorney except those relating to the execution of the Articles and this Agreement.</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Treasury Regulations</w:t>
      </w:r>
      <w:r>
        <w:rPr>
          <w:rFonts w:ascii="Arial" w:cs="Arial" w:eastAsia="Arial" w:hAnsi="Arial"/>
          <w:sz w:val="18"/>
          <w:szCs w:val="18"/>
          <w:color w:val="auto"/>
        </w:rPr>
        <w:t>. “Treasury Regulations” means the federal income tax regulations promulgated by the U.S. Treasury Department under the Code and codified at Title 26 of the Code of Federal Regulations, as amended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UCC</w:t>
      </w:r>
      <w:r>
        <w:rPr>
          <w:rFonts w:ascii="Arial" w:cs="Arial" w:eastAsia="Arial" w:hAnsi="Arial"/>
          <w:sz w:val="18"/>
          <w:szCs w:val="18"/>
          <w:color w:val="auto"/>
        </w:rPr>
        <w:t>. “UCC” means the Uniform Commercial Code as enacted and in effect in the State of Nevada or any other applicable jurisdiction.</w:t>
      </w:r>
    </w:p>
    <w:p>
      <w:pPr>
        <w:spacing w:after="0" w:line="15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u w:val="single" w:color="auto"/>
          <w:color w:val="auto"/>
        </w:rPr>
        <w:t>Unsuitable Person</w:t>
      </w:r>
      <w:r>
        <w:rPr>
          <w:rFonts w:ascii="Arial" w:cs="Arial" w:eastAsia="Arial" w:hAnsi="Arial"/>
          <w:sz w:val="16"/>
          <w:szCs w:val="16"/>
          <w:color w:val="auto"/>
        </w:rPr>
        <w:t>. “Unsuitable Person” means a manager, director, officer, agent or employee of the Company or an Affiliate of such Person, (i) who is denied a Gaming License by any Gaming Authority, disqualified from eligibility for a Gaming License, determined to be unsuitable to own or control an Interest or determined to be unsuitable to be connected with a Person engaged in gaming activities in any jurisdiction by a Gaming Authority, or (ii) whose continued involvement in the business of the Company or Affiliate of the Company as a manager, director officer, agent or employee (A) causes the Company or any Affiliate of the Company to lose or to be threatened with the loss of any Gaming License, or (B) is deemed likely, in the sole and absolute discretion of the Member, based on verifiable information or information received from the Gaming Authorities, to jeopardize or adversely affect the likelihood that the Gaming Authorities will issue a Gaming License to the Company or any Affiliate of the Company or to adversely affect the Company’s or any such Affiliate’s use of or entitlement to any Gaming License.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INTRODUCTORY MATTERS</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Formation</w:t>
      </w:r>
      <w:r>
        <w:rPr>
          <w:rFonts w:ascii="Arial" w:cs="Arial" w:eastAsia="Arial" w:hAnsi="Arial"/>
          <w:sz w:val="18"/>
          <w:szCs w:val="18"/>
          <w:color w:val="auto"/>
        </w:rPr>
        <w:t>. Pursuant to the Act, the Company has been formed as a Nevada limited liability company under the laws of the State of Nevada. To the extent that the rights or obligations of the Member are different by reason of any provision of this Agreement than they would be in the absence of such provision, this Agreement shall, to the extent permitted by the Act, control.</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Company is “Wynn Las Vegas, LLC.” Subject to compliance with applicable law, the business and affairs of the Company may be conducted under that name or any other name that the Member deems appropriate or advisable.</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Records Office</w:t>
      </w:r>
      <w:r>
        <w:rPr>
          <w:rFonts w:ascii="Arial" w:cs="Arial" w:eastAsia="Arial" w:hAnsi="Arial"/>
          <w:sz w:val="18"/>
          <w:szCs w:val="18"/>
          <w:color w:val="auto"/>
        </w:rPr>
        <w:t>. The Company shall continuously maintain in the State of Nevada a Records Office. As of the date hereof, the Records Office is 3131 Las Vegas Boulevard South, Las Vegas, Nevada 89109. The Records Office may be changed to another location within the State of Nevada as the Member may from time to time determine.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260" w:name="page261"/>
    <w:bookmarkEnd w:id="260"/>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2.4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Company may establish and maintain other offices at any time and at any place or places as the Member may designate or as the business of the Company may require.</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Resident Agent and Registered Office</w:t>
      </w:r>
      <w:r>
        <w:rPr>
          <w:rFonts w:ascii="Arial" w:cs="Arial" w:eastAsia="Arial" w:hAnsi="Arial"/>
          <w:sz w:val="16"/>
          <w:szCs w:val="16"/>
          <w:color w:val="auto"/>
        </w:rPr>
        <w:t>. The resident agent of the Company for service of process shall be as set forth in the Articles or as changed by the Member from time to time. The Company shall have as its registered office in the State of Nevada the street address of its resident agent.</w:t>
      </w:r>
    </w:p>
    <w:p>
      <w:pPr>
        <w:spacing w:after="0" w:line="7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Purpose</w:t>
      </w:r>
      <w:r>
        <w:rPr>
          <w:rFonts w:ascii="Arial" w:cs="Arial" w:eastAsia="Arial" w:hAnsi="Arial"/>
          <w:sz w:val="16"/>
          <w:szCs w:val="16"/>
          <w:color w:val="auto"/>
        </w:rPr>
        <w:t>. Except as provided elsewhere in this Agreement, the Company is formed for the object and purpose of engaging in any lawful act or activity for which limited liability companies may be formed under the Act and engaging in any and all activities necessary or incidental to the foregoing.</w:t>
      </w:r>
    </w:p>
    <w:p>
      <w:pPr>
        <w:spacing w:after="0" w:line="7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Powers of the Company</w:t>
      </w:r>
      <w:r>
        <w:rPr>
          <w:rFonts w:ascii="Arial" w:cs="Arial" w:eastAsia="Arial" w:hAnsi="Arial"/>
          <w:sz w:val="18"/>
          <w:szCs w:val="18"/>
          <w:color w:val="auto"/>
        </w:rPr>
        <w:t>. Except as provided elsewhere in this Agreement, the Company shall have the power and authority to take any and all actions necessary, appropriate, advisable, convenient or incidental to or for the furtherance of the purpose set forth in Section 2.6, including, but not limited to, the power and authority to:</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 borrow money and issue evidences of indebtedness, and to secure the same by a mortgage, pledge or other lien on any or all of the assets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51" w:lineRule="exact"/>
        <w:rPr>
          <w:sz w:val="20"/>
          <w:szCs w:val="20"/>
          <w:color w:val="auto"/>
        </w:rPr>
      </w:pPr>
    </w:p>
    <w:p>
      <w:pPr>
        <w:ind w:right="580" w:firstLine="921"/>
        <w:spacing w:after="0" w:line="268" w:lineRule="auto"/>
        <w:tabs>
          <w:tab w:leader="none" w:pos="116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conduct its business and operations in any state, territory, district or possession of the United States or in any foreign country that may be necessary or convenient to the accomplishment of the purpose of the Company;</w:t>
      </w:r>
    </w:p>
    <w:p>
      <w:pPr>
        <w:spacing w:after="0" w:line="118" w:lineRule="exact"/>
        <w:rPr>
          <w:rFonts w:ascii="Arial" w:cs="Arial" w:eastAsia="Arial" w:hAnsi="Arial"/>
          <w:sz w:val="18"/>
          <w:szCs w:val="18"/>
          <w:color w:val="auto"/>
        </w:rPr>
      </w:pPr>
    </w:p>
    <w:p>
      <w:pPr>
        <w:ind w:right="420" w:firstLine="921"/>
        <w:spacing w:after="0" w:line="259" w:lineRule="auto"/>
        <w:tabs>
          <w:tab w:leader="none" w:pos="11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acquire, by purchase, lease, contribution of property or otherwise, and own, hold, maintain, finance, improve, lease, sell, convey, mortgage, transfer, demolish or dispose of any real or personal property that may be necessary, convenient or incidental to the accomplishment of the purpose of the Company;</w:t>
      </w:r>
    </w:p>
    <w:p>
      <w:pPr>
        <w:spacing w:after="0" w:line="126" w:lineRule="exact"/>
        <w:rPr>
          <w:rFonts w:ascii="Arial" w:cs="Arial" w:eastAsia="Arial" w:hAnsi="Arial"/>
          <w:sz w:val="18"/>
          <w:szCs w:val="18"/>
          <w:color w:val="auto"/>
        </w:rPr>
      </w:pPr>
    </w:p>
    <w:p>
      <w:pPr>
        <w:ind w:right="160" w:firstLine="921"/>
        <w:spacing w:after="0" w:line="268" w:lineRule="auto"/>
        <w:tabs>
          <w:tab w:leader="none" w:pos="116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enter into, perform and carry out contracts of any kind, including without limitation, contracts with the Member or any Affiliate of the Member that are necessary to, in connection with, convenient to, or incidental to the accomplishment of the purpose of the Company;</w:t>
      </w:r>
    </w:p>
    <w:p>
      <w:pPr>
        <w:spacing w:after="0" w:line="118" w:lineRule="exact"/>
        <w:rPr>
          <w:rFonts w:ascii="Arial" w:cs="Arial" w:eastAsia="Arial" w:hAnsi="Arial"/>
          <w:sz w:val="18"/>
          <w:szCs w:val="18"/>
          <w:color w:val="auto"/>
        </w:rPr>
      </w:pPr>
    </w:p>
    <w:p>
      <w:pPr>
        <w:ind w:firstLine="921"/>
        <w:spacing w:after="0" w:line="268" w:lineRule="auto"/>
        <w:tabs>
          <w:tab w:leader="none" w:pos="11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purchase, take, receive, subscribe for or otherwise acquire, own, hold, vote, use, employ, sell, mortgage, lend, pledge or otherwise dispose of, and otherwise use and deal in and with, shares or other interests in or obligations of domestic or foreign entities;</w:t>
      </w:r>
    </w:p>
    <w:p>
      <w:pPr>
        <w:spacing w:after="0" w:line="118" w:lineRule="exact"/>
        <w:rPr>
          <w:rFonts w:ascii="Arial" w:cs="Arial" w:eastAsia="Arial" w:hAnsi="Arial"/>
          <w:sz w:val="18"/>
          <w:szCs w:val="18"/>
          <w:color w:val="auto"/>
        </w:rPr>
      </w:pPr>
    </w:p>
    <w:p>
      <w:pPr>
        <w:ind w:left="1140" w:hanging="219"/>
        <w:spacing w:after="0"/>
        <w:tabs>
          <w:tab w:leader="none" w:pos="11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lend money for any proper purpose, invest and reinvest its funds and take and hold real and personal property for the payment of funds so loaned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or invested;</w:t>
      </w:r>
    </w:p>
    <w:p>
      <w:pPr>
        <w:spacing w:after="0" w:line="151" w:lineRule="exact"/>
        <w:rPr>
          <w:rFonts w:ascii="Arial" w:cs="Arial" w:eastAsia="Arial" w:hAnsi="Arial"/>
          <w:sz w:val="15"/>
          <w:szCs w:val="15"/>
          <w:color w:val="auto"/>
        </w:rPr>
      </w:pPr>
    </w:p>
    <w:p>
      <w:pPr>
        <w:ind w:left="1160" w:hanging="239"/>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sue and be sued, complain and defend and participate in administrative or other proceedings, in its name;</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80"/>
          </w:cols>
          <w:pgMar w:left="240" w:top="280" w:right="279" w:bottom="1440" w:gutter="0" w:footer="0" w:header="0"/>
        </w:sectPr>
      </w:pPr>
    </w:p>
    <w:bookmarkStart w:id="261" w:name="page262"/>
    <w:bookmarkEnd w:id="261"/>
    <w:p>
      <w:pPr>
        <w:ind w:left="1160" w:hanging="239"/>
        <w:spacing w:after="0"/>
        <w:tabs>
          <w:tab w:leader="none" w:pos="11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appoint employees, agents and officers of the Company, and define their duties and fix their compensation;</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indemnify any Person and obtain any and all types of insurance;</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cease its activities and cancel its insurance;</w:t>
      </w:r>
    </w:p>
    <w:p>
      <w:pPr>
        <w:spacing w:after="0" w:line="157" w:lineRule="exact"/>
        <w:rPr>
          <w:rFonts w:ascii="Arial" w:cs="Arial" w:eastAsia="Arial" w:hAnsi="Arial"/>
          <w:sz w:val="18"/>
          <w:szCs w:val="18"/>
          <w:color w:val="auto"/>
        </w:rPr>
      </w:pPr>
    </w:p>
    <w:p>
      <w:pPr>
        <w:ind w:right="20" w:firstLine="921"/>
        <w:spacing w:after="0" w:line="268" w:lineRule="auto"/>
        <w:tabs>
          <w:tab w:leader="none" w:pos="116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negotiate, enter into, renegotiate, extend, renew, terminate, modify, amend, waive, execute, acknowledge or take any other action with respect to any lease, contract or security agreement in respect of any assets of the Company;</w:t>
      </w:r>
    </w:p>
    <w:p>
      <w:pPr>
        <w:spacing w:after="0" w:line="118" w:lineRule="exact"/>
        <w:rPr>
          <w:rFonts w:ascii="Arial" w:cs="Arial" w:eastAsia="Arial" w:hAnsi="Arial"/>
          <w:sz w:val="18"/>
          <w:szCs w:val="18"/>
          <w:color w:val="auto"/>
        </w:rPr>
      </w:pPr>
    </w:p>
    <w:p>
      <w:pPr>
        <w:ind w:right="200" w:firstLine="921"/>
        <w:spacing w:after="0" w:line="268" w:lineRule="auto"/>
        <w:tabs>
          <w:tab w:leader="none" w:pos="112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pay, collect, compromise, litigate, arbitrate or otherwise adjust or settle any and all other claims or demands of or against the Company or hold such proceeds against the payment of contingent liabilities;</w:t>
      </w:r>
    </w:p>
    <w:p>
      <w:pPr>
        <w:spacing w:after="0" w:line="118" w:lineRule="exact"/>
        <w:rPr>
          <w:rFonts w:ascii="Arial" w:cs="Arial" w:eastAsia="Arial" w:hAnsi="Arial"/>
          <w:sz w:val="18"/>
          <w:szCs w:val="18"/>
          <w:color w:val="auto"/>
        </w:rPr>
      </w:pPr>
    </w:p>
    <w:p>
      <w:pPr>
        <w:ind w:firstLine="921"/>
        <w:spacing w:after="0" w:line="268" w:lineRule="auto"/>
        <w:tabs>
          <w:tab w:leader="none" w:pos="121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apply for, obtain and maintain any licenses, permits, approvals, exemptions and waivers from any Gaming Authority as may be necessary under applicable Gaming Laws for the conduct of its business and operations; and</w:t>
      </w:r>
    </w:p>
    <w:p>
      <w:pPr>
        <w:spacing w:after="0" w:line="118" w:lineRule="exact"/>
        <w:rPr>
          <w:rFonts w:ascii="Arial" w:cs="Arial" w:eastAsia="Arial" w:hAnsi="Arial"/>
          <w:sz w:val="18"/>
          <w:szCs w:val="18"/>
          <w:color w:val="auto"/>
        </w:rPr>
      </w:pPr>
    </w:p>
    <w:p>
      <w:pPr>
        <w:ind w:right="320" w:firstLine="921"/>
        <w:spacing w:after="0" w:line="268" w:lineRule="auto"/>
        <w:tabs>
          <w:tab w:leader="none" w:pos="116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make, execute, acknowledge and file any and all documents or instruments necessary, convenient or incidental to the accomplishment of the purpose of the Company.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CAPITAL CONTRIBUTIONS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Member shall not be required to make any additional Capital Contribution to the Company.</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PROFITS AND LOSSES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Profits and Losses</w:t>
      </w:r>
      <w:r>
        <w:rPr>
          <w:rFonts w:ascii="Arial" w:cs="Arial" w:eastAsia="Arial" w:hAnsi="Arial"/>
          <w:sz w:val="18"/>
          <w:szCs w:val="18"/>
          <w:color w:val="auto"/>
        </w:rPr>
        <w:t>. The Company’s profits and losses for any period shall be allocated to the Member.</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Tax Classification</w:t>
      </w:r>
      <w:r>
        <w:rPr>
          <w:rFonts w:ascii="Arial" w:cs="Arial" w:eastAsia="Arial" w:hAnsi="Arial"/>
          <w:sz w:val="16"/>
          <w:szCs w:val="16"/>
          <w:color w:val="auto"/>
        </w:rPr>
        <w:t xml:space="preserve">. So long as the Company has only one Member, it is intended that the Company be disregarded for federal and all relevant state income tax purposes and that the activities of the Company be deemed to be activities of the Member for such purposes, as provided for by Treasury Regulations Sections 301.7701-1, </w:t>
      </w:r>
      <w:r>
        <w:rPr>
          <w:rFonts w:ascii="Arial" w:cs="Arial" w:eastAsia="Arial" w:hAnsi="Arial"/>
          <w:sz w:val="16"/>
          <w:szCs w:val="16"/>
          <w:i w:val="1"/>
          <w:iCs w:val="1"/>
          <w:color w:val="auto"/>
        </w:rPr>
        <w:t>et seq</w:t>
      </w:r>
      <w:r>
        <w:rPr>
          <w:rFonts w:ascii="Arial" w:cs="Arial" w:eastAsia="Arial" w:hAnsi="Arial"/>
          <w:sz w:val="16"/>
          <w:szCs w:val="16"/>
          <w:color w:val="auto"/>
        </w:rPr>
        <w:t>., and comparable provisions of applicable state tax law. In the event that the Company becomes an entity that has more than one Member, it is intended that the Company be treated as a “partnership” for federal and all relevant state income tax purposes, and all available elections shall be made, and take all available actions shall be taken, to cause the Company to be so treated.</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40"/>
          </w:cols>
          <w:pgMar w:left="240" w:top="280" w:right="319" w:bottom="1440" w:gutter="0" w:footer="0" w:header="0"/>
        </w:sectPr>
      </w:pPr>
    </w:p>
    <w:bookmarkStart w:id="262" w:name="page263"/>
    <w:bookmarkEnd w:id="26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DISTRIBUTIONS</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Operating Distributions</w:t>
      </w:r>
      <w:r>
        <w:rPr>
          <w:rFonts w:ascii="Arial" w:cs="Arial" w:eastAsia="Arial" w:hAnsi="Arial"/>
          <w:sz w:val="18"/>
          <w:szCs w:val="18"/>
          <w:color w:val="auto"/>
        </w:rPr>
        <w:t>. Subject to Section 5.2, the Company shall from time to time distribute to the Member such amounts in cash and other assets as shall be determined by the Member.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Limitations on Distribution</w:t>
      </w:r>
      <w:r>
        <w:rPr>
          <w:rFonts w:ascii="Arial" w:cs="Arial" w:eastAsia="Arial" w:hAnsi="Arial"/>
          <w:sz w:val="18"/>
          <w:szCs w:val="18"/>
          <w:color w:val="auto"/>
        </w:rPr>
        <w:t>. Notwithstanding any provision to the contrary contained in this Agreement, the Company shall not make any distribution if such distribution would violate the NRS or other applicable law or would cause a breach or default under any agreement or instrument to which the Company is a party or by which it or its assets are bound, but instead shall make such distribution as soon as practicable such that the making of such distribution would not cause such violation, breach or default.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MEMBERSHIP</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The Member shall not be liable under a judgment, decree or order of a court, or in any other manner, for a debt, obligation or liability of the Company, except to the extent required by law or in an agreement signed by the Member. The Member shall not be required to loan any funds to the Company, nor shall the Member be required to make any contribution to the Company, nor shall the Member be subject to any liability to the Company or any third party, as a result of any deficit of the Company. However, nothing in this Agreement shall prevent the Member from making secured or unsecured loans to the Company by agreement with the Company.</w:t>
      </w:r>
    </w:p>
    <w:p>
      <w:pPr>
        <w:spacing w:after="0" w:line="1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Powers of the Member</w:t>
      </w:r>
      <w:r>
        <w:rPr>
          <w:rFonts w:ascii="Arial" w:cs="Arial" w:eastAsia="Arial" w:hAnsi="Arial"/>
          <w:sz w:val="15"/>
          <w:szCs w:val="15"/>
          <w:color w:val="auto"/>
        </w:rPr>
        <w:t>. The Member shall have full, exclusive and complete discretion to manage and control the business and affairs of the Company, to make all decisions affecting the business and affairs of the Company and to take all such actions as it deems necessary, appropriate or convenient to or for the furtherance of the purpose of the Company, including, without limitation, the power and authority to execute all documents and instruments, perform all duties and powers, and do all things on behalf of the Company in all matters necessary, desirable, convenient or incidental to the purpose of the Company. The Member is an agent of the Company’s business and the actions of the Member taken in such capacity and in accordance with this Agreement shall bind the Company. The Member shall be the sole Person with the power to bind the Company except and to the extent that such power is expressly delegated to any other Person by the Member in this Agreement or in writing or by oral communication, and such delegation shall not cause the Member to cease to be the Member.</w:t>
      </w:r>
    </w:p>
    <w:p>
      <w:pPr>
        <w:spacing w:after="0" w:line="9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Election of Officers</w:t>
      </w:r>
      <w:r>
        <w:rPr>
          <w:rFonts w:ascii="Arial" w:cs="Arial" w:eastAsia="Arial" w:hAnsi="Arial"/>
          <w:sz w:val="16"/>
          <w:szCs w:val="16"/>
          <w:color w:val="auto"/>
        </w:rPr>
        <w:t>. Subject to the applicable provisions of the Gaming Laws, the Member in its sole discretion may, from time to time, appoint any individuals as officers with such duties, authorities, responsibilities and titles as the Member may deem appropriate. Such officers shall serve until their successors are duly appointed by the Member or until their earlier removal or resignation. Any officer appointed by the Member may be removed at any time by the Member and any vacancy in any office shall be filled by the Member. If any person elected to serve as an officer is found to be an Unsuitable Person, the Member shall immediately remove such person as an officer and such person shall thereupon automatically cease to be an officer.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280" w:right="259" w:bottom="1440" w:gutter="0" w:footer="0" w:header="0"/>
        </w:sectPr>
      </w:pPr>
    </w:p>
    <w:bookmarkStart w:id="263" w:name="page264"/>
    <w:bookmarkEnd w:id="263"/>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Arial" w:cs="Arial" w:eastAsia="Arial" w:hAnsi="Arial"/>
          <w:sz w:val="16"/>
          <w:szCs w:val="16"/>
          <w:u w:val="single" w:color="auto"/>
          <w:color w:val="auto"/>
        </w:rPr>
        <w:t>Designation of Authority</w:t>
      </w:r>
      <w:r>
        <w:rPr>
          <w:rFonts w:ascii="Arial" w:cs="Arial" w:eastAsia="Arial" w:hAnsi="Arial"/>
          <w:sz w:val="16"/>
          <w:szCs w:val="16"/>
          <w:color w:val="auto"/>
        </w:rPr>
        <w:t>. The Member may authorize, in a resolution or other writing, one or more Persons or one or more officers or employees of the Company who may, in the name and on behalf of the Company, and in lieu of or in addition to the Member, contract debts or incur liabilities, and sign contracts or agreements (including, without limitation, instruments and documents providing for the acquisition, mortgage or disposition of property of the Company), and may authorize the use of facsimile signatures of any such Persons, officers or employees.</w:t>
      </w:r>
    </w:p>
    <w:p>
      <w:pPr>
        <w:spacing w:after="0" w:line="9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Transfer of Interest</w:t>
      </w:r>
      <w:r>
        <w:rPr>
          <w:rFonts w:ascii="Arial" w:cs="Arial" w:eastAsia="Arial" w:hAnsi="Arial"/>
          <w:sz w:val="18"/>
          <w:szCs w:val="18"/>
          <w:color w:val="auto"/>
        </w:rPr>
        <w:t>. The Interest of the Member is personal property, and such Interest may be transferred or assigned, in whole or in part, in the sole discretion of the Member. Notwithstanding anything to the contrary set forth herein, no Interest in the Company may be issued or transferred in any manner whatsoever except in compliance with all Gaming Licenses and Gaming Laws.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CONDUCT AND SEPARATENESS COVENANTS</w:t>
      </w:r>
    </w:p>
    <w:p>
      <w:pPr>
        <w:spacing w:after="0" w:line="15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shall conduct business in its own name and hold itself out as a separate entity, and correct any known misunderstanding regarding its separate identity.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DISSOLUTION OF THE COMPANY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 OF THE INTEREST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Dissolution</w:t>
      </w:r>
      <w:r>
        <w:rPr>
          <w:rFonts w:ascii="Arial" w:cs="Arial" w:eastAsia="Arial" w:hAnsi="Arial"/>
          <w:sz w:val="18"/>
          <w:szCs w:val="18"/>
          <w:color w:val="auto"/>
        </w:rPr>
        <w:t>. The Company shall be dissolved and its affairs wound up as determined by the Member.</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w:t>
      </w:r>
      <w:r>
        <w:rPr>
          <w:rFonts w:ascii="Arial" w:cs="Arial" w:eastAsia="Arial" w:hAnsi="Arial"/>
          <w:sz w:val="18"/>
          <w:szCs w:val="18"/>
          <w:color w:val="auto"/>
        </w:rPr>
        <w:t>. Subject to Section 6.6 and applicable law, the Member may not resign from the Company before the dissolution and winding up of the Company.</w:t>
      </w:r>
    </w:p>
    <w:p>
      <w:pPr>
        <w:spacing w:after="0" w:line="118"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Distribution on Dissolution and Liquidation</w:t>
      </w:r>
      <w:r>
        <w:rPr>
          <w:rFonts w:ascii="Arial" w:cs="Arial" w:eastAsia="Arial" w:hAnsi="Arial"/>
          <w:sz w:val="16"/>
          <w:szCs w:val="16"/>
          <w:color w:val="auto"/>
        </w:rPr>
        <w:t>. In the event of the dissolution of the Company for any reason, the business of the Company shall be continued to the extent necessary to allow an orderly winding up of its affairs, including the liquidation and termination of the Company pursuant to the provisions of this Section 8.3, as promptly as practicable thereafter, and each of the following shall be accomplished:</w:t>
      </w:r>
    </w:p>
    <w:p>
      <w:pPr>
        <w:spacing w:after="0" w:line="12" w:lineRule="exact"/>
        <w:rPr>
          <w:sz w:val="20"/>
          <w:szCs w:val="20"/>
          <w:color w:val="auto"/>
        </w:rPr>
      </w:pPr>
    </w:p>
    <w:p>
      <w:pPr>
        <w:ind w:left="1160" w:hanging="239"/>
        <w:spacing w:after="0"/>
        <w:tabs>
          <w:tab w:leader="none" w:pos="11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Member shall oversee the winding up of the Company’s affairs;</w:t>
      </w:r>
    </w:p>
    <w:p>
      <w:pPr>
        <w:spacing w:after="0" w:line="157"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assets of the Company shall be liquidated as determined by the Member, or the Member may determine not to sell all or any portion of the assets, in which event such assets shall be distributed in kind; and</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proceeds of sale and all other assets of the Company shall be applied and distributed as follows and in the following order of priority:</w:t>
      </w:r>
    </w:p>
    <w:p>
      <w:pPr>
        <w:spacing w:after="0" w:line="99" w:lineRule="exact"/>
        <w:rPr>
          <w:rFonts w:ascii="Arial" w:cs="Arial" w:eastAsia="Arial" w:hAnsi="Arial"/>
          <w:sz w:val="16"/>
          <w:szCs w:val="16"/>
          <w:color w:val="auto"/>
        </w:rPr>
      </w:pPr>
    </w:p>
    <w:p>
      <w:pPr>
        <w:ind w:left="1700" w:hanging="208"/>
        <w:spacing w:after="0"/>
        <w:tabs>
          <w:tab w:leader="none" w:pos="17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to the expenses of liquidation;</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00"/>
          </w:cols>
          <w:pgMar w:left="240" w:top="280" w:right="259" w:bottom="1440" w:gutter="0" w:footer="0" w:header="0"/>
        </w:sectPr>
      </w:pPr>
    </w:p>
    <w:bookmarkStart w:id="264" w:name="page265"/>
    <w:bookmarkEnd w:id="264"/>
    <w:p>
      <w:pPr>
        <w:ind w:left="1760" w:hanging="268"/>
        <w:spacing w:after="0"/>
        <w:tabs>
          <w:tab w:leader="none" w:pos="17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payment of the debts and liabilities of the Company, including any debts and liabilities owed to the Member; and</w:t>
      </w:r>
    </w:p>
    <w:p>
      <w:pPr>
        <w:spacing w:after="0" w:line="157" w:lineRule="exact"/>
        <w:rPr>
          <w:rFonts w:ascii="Arial" w:cs="Arial" w:eastAsia="Arial" w:hAnsi="Arial"/>
          <w:sz w:val="18"/>
          <w:szCs w:val="18"/>
          <w:color w:val="auto"/>
        </w:rPr>
      </w:pPr>
    </w:p>
    <w:p>
      <w:pPr>
        <w:ind w:left="1800" w:hanging="308"/>
        <w:spacing w:after="0"/>
        <w:tabs>
          <w:tab w:leader="none" w:pos="18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balance, if any, to the Member.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LIABILITY, EXCULPATION AND INDEMNIFICATION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Exculpation</w:t>
      </w:r>
      <w:r>
        <w:rPr>
          <w:rFonts w:ascii="Arial" w:cs="Arial" w:eastAsia="Arial" w:hAnsi="Arial"/>
          <w:sz w:val="18"/>
          <w:szCs w:val="18"/>
          <w:color w:val="auto"/>
        </w:rPr>
        <w:t>.</w:t>
      </w:r>
    </w:p>
    <w:p>
      <w:pPr>
        <w:spacing w:after="0" w:line="77" w:lineRule="exact"/>
        <w:rPr>
          <w:sz w:val="20"/>
          <w:szCs w:val="20"/>
          <w:color w:val="auto"/>
        </w:rPr>
      </w:pPr>
    </w:p>
    <w:p>
      <w:pPr>
        <w:ind w:right="80" w:firstLine="921"/>
        <w:spacing w:after="0" w:line="256" w:lineRule="auto"/>
        <w:tabs>
          <w:tab w:leader="none" w:pos="11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 Covered Person shall be liable to the Company for any loss, damage or claim incurred by reason of any act or omission performed or omitted by the Covered Person in good faith on behalf of the Company, except that the Covered Person shall be liable for any such loss, damage or claim if a final adjudication by a court of competent jurisdiction establishes that the Covered Person’s acts or omissions involved intentional misconduct, fraud or a knowing violation of the law and was material to the cause of action.</w:t>
      </w:r>
    </w:p>
    <w:p>
      <w:pPr>
        <w:spacing w:after="0" w:line="129" w:lineRule="exact"/>
        <w:rPr>
          <w:rFonts w:ascii="Arial" w:cs="Arial" w:eastAsia="Arial" w:hAnsi="Arial"/>
          <w:sz w:val="18"/>
          <w:szCs w:val="18"/>
          <w:color w:val="auto"/>
        </w:rPr>
      </w:pPr>
    </w:p>
    <w:p>
      <w:pPr>
        <w:jc w:val="both"/>
        <w:ind w:firstLine="921"/>
        <w:spacing w:after="0" w:line="298" w:lineRule="auto"/>
        <w:tabs>
          <w:tab w:leader="none" w:pos="116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including information, opinions, reports or statements as to the value and amount of the assets, liabilities, profits or losses or any other facts pertinent to the existence and amount of assets from which distributions to the Member might properly be paid.</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Fiduciary Duty</w:t>
      </w:r>
      <w:r>
        <w:rPr>
          <w:rFonts w:ascii="Arial" w:cs="Arial" w:eastAsia="Arial" w:hAnsi="Arial"/>
          <w:sz w:val="16"/>
          <w:szCs w:val="16"/>
          <w:color w:val="auto"/>
        </w:rPr>
        <w:t>. To the extent that, at law or in equity, a Covered Person has duties (including fiduciary duties) and liabilities relating thereto to the Company, then, to the fullest extent permitted by applicable law, the Covered Person acting under this Agreement shall not be liable to the Company or the Member for its good faith acts or omissions in reliance on the provisions of this Agreement. The provisions of this Agreement, to the extent that they restrict the duties and liabilities of a Covered Person otherwise existing at law or in equity, replace such other duties and liabilities of the Covered Person.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shall indemnify and hold harmless the Covered Person to the fullest extent permitted by NRS 86.411 to 86.451, inclusive.</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Determination of Right to Indemnification</w:t>
      </w:r>
      <w:r>
        <w:rPr>
          <w:rFonts w:ascii="Arial" w:cs="Arial" w:eastAsia="Arial" w:hAnsi="Arial"/>
          <w:sz w:val="18"/>
          <w:szCs w:val="18"/>
          <w:color w:val="auto"/>
        </w:rPr>
        <w:t>. Any indemnification under Section 9.3, unless ordered by a court or advanced pursuant to Section 9.5 below, shall be made by the Company only as authorized in the specific case upon a determination by the Member, in its sole discretion, that indemnification is proper in the circumstances.</w:t>
      </w:r>
    </w:p>
    <w:p>
      <w:pPr>
        <w:spacing w:after="0" w:line="12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Advance Payment of Expenses</w:t>
      </w:r>
      <w:r>
        <w:rPr>
          <w:rFonts w:ascii="Arial" w:cs="Arial" w:eastAsia="Arial" w:hAnsi="Arial"/>
          <w:sz w:val="16"/>
          <w:szCs w:val="16"/>
          <w:color w:val="auto"/>
        </w:rPr>
        <w:t>. The expenses of the Member incurred in defending a civil or criminal action, suit or proceeding shall be paid by the Company as they are incurred and in advance of the final disposition of the action, suit or proceeding, upon receipt of an undertaking by or on behalf of the Member to repay the amount if it is ultimately determined by a court of competent jurisdiction that the Member is not entitled to be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80" w:right="239" w:bottom="1440" w:gutter="0" w:footer="0" w:header="0"/>
        </w:sectPr>
      </w:pPr>
    </w:p>
    <w:bookmarkStart w:id="265" w:name="page266"/>
    <w:bookmarkEnd w:id="265"/>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indemnified by the Company. The provisions of this section do not affect any rights to advancement of expenses to which personnel of the Company other than the Member may be entitled under any contract or otherwise by law.</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Assets of the Company</w:t>
      </w:r>
      <w:r>
        <w:rPr>
          <w:rFonts w:ascii="Arial" w:cs="Arial" w:eastAsia="Arial" w:hAnsi="Arial"/>
          <w:sz w:val="18"/>
          <w:szCs w:val="18"/>
          <w:color w:val="auto"/>
        </w:rPr>
        <w:t>. Any indemnification under this Article IX shall be satisfied solely out of the assets of the Company. No debt shall be incurred by the Company or the Member in order to provide a source of funds for any indemnity, and the Member shall not have any liability (or any liability to make any additional Capital Contribution) on account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Membership Certificates</w:t>
      </w:r>
      <w:r>
        <w:rPr>
          <w:rFonts w:ascii="Arial" w:cs="Arial" w:eastAsia="Arial" w:hAnsi="Arial"/>
          <w:sz w:val="18"/>
          <w:szCs w:val="18"/>
          <w:color w:val="auto"/>
        </w:rPr>
        <w:t>. The Company shall issue a certificate to the Member to evidence the Interest in the Company. The Member or any officer of the Company may execute such certificate on behalf of the Company.</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Securities Under the UCC</w:t>
      </w:r>
      <w:r>
        <w:rPr>
          <w:rFonts w:ascii="Arial" w:cs="Arial" w:eastAsia="Arial" w:hAnsi="Arial"/>
          <w:sz w:val="16"/>
          <w:szCs w:val="16"/>
          <w:color w:val="auto"/>
        </w:rPr>
        <w:t>. The Interest of a Member shall be considered a “security” as defined in Section 104.8102(1)(o) of the Nevada UCC and Section 8102(a)(15) or other corresponding provisions of the UCC in effect in other applicable jurisdictions, and this statement shall constitute an express provision that each such Interest is a security governed by Article 8 of the UCC, within the meaning of Section 104.8103(3) of the Nevada UCC and Section 8103(c) or other corresponding provisions of the UCC in effect in other applicable jurisdictions, solely for the purposes of establishing the applicability thereto of the provisions of Article 8 governing securities. No Interest of the Member shall be considered a “security” for any other purpose, nor shall this statement be construed to suggest that any such Interest should otherwise be considered a “security.” The Company shall imprint or otherwise place, on any certificate representing the Interest a legend in substantially the following form (in addition to any other legend required by applicable law or otherwise):</w:t>
      </w:r>
    </w:p>
    <w:p>
      <w:pPr>
        <w:spacing w:after="0" w:line="105" w:lineRule="exact"/>
        <w:rPr>
          <w:sz w:val="20"/>
          <w:szCs w:val="20"/>
          <w:color w:val="auto"/>
        </w:rPr>
      </w:pPr>
    </w:p>
    <w:p>
      <w:pPr>
        <w:ind w:left="460" w:right="60"/>
        <w:spacing w:after="0" w:line="288" w:lineRule="auto"/>
        <w:rPr>
          <w:sz w:val="20"/>
          <w:szCs w:val="20"/>
          <w:color w:val="auto"/>
        </w:rPr>
      </w:pPr>
      <w:r>
        <w:rPr>
          <w:rFonts w:ascii="Arial" w:cs="Arial" w:eastAsia="Arial" w:hAnsi="Arial"/>
          <w:sz w:val="16"/>
          <w:szCs w:val="16"/>
          <w:color w:val="auto"/>
        </w:rPr>
        <w:t>“THE OWNERSHIP INTEREST REPRESENTED BY THIS CERTIFICATE SHALL BE CONSIDERED A ‘SECURITY’ AS DEFINED IN SECTION 104.8102(1)(o) OF THE NEVADA UCC AND SECTION 8102(a)(15) OR OTHER CORRESPONDING PROVISIONS OF THE UCC IN ANY OTHER APPLICABLE STATE OR JURISDICTION, AND THIS STATEMENT SHALL CONSTITUTE AN EXPRESS PROVISION THAT THE OWNERSHIP INTEREST REPRESENTED BY THIS CERTIFICATE IS A SECURITY GOVERNED BY ARTICLE 8 OF THE UCC, WITHIN THE MEANING OF SECTION 104.8103(3) OF THE NEVADA UCC AND SECTION 8103(c) OR OTHER CORRESPONDING PROVISIONS OF THE UCC IN ANY OTHER APPLICABLE STATE OR JURISDICTION, SOLELY FOR THE PURPOSES OF ESTABLISHING THE APPLICABILITY THERETO OF THE PROVISIONS OF ARTICLE 8 GOVERNING SECURITIES. THE OWNERSHIP INTEREST REPRESENTED BY THIS CERTIFICATE SHALL NOT BE CONSIDERED A ‘SECURITY’ FOR ANY OTHER PURPOSE, NOR SHALL THIS STATEMENT BE CONSTRUED TO SUGGEST THAT THE OWNERSHIP INTEREST REPRESENTED BY THIS CERTIFICATE SHOULD OTHERWISE BE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80"/>
          </w:cols>
          <w:pgMar w:left="240" w:top="280" w:right="279" w:bottom="1440" w:gutter="0" w:footer="0" w:header="0"/>
        </w:sectPr>
      </w:pPr>
    </w:p>
    <w:bookmarkStart w:id="266" w:name="page267"/>
    <w:bookmarkEnd w:id="266"/>
    <w:p>
      <w:pPr>
        <w:ind w:left="46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CONSIDERED A ‘SECURITY.’ FOR PURPOSES HEREOF, ‘UCC’ SHALL MEAN THE UNIFORM COMMERCIAL CODE AS ENACTED AND IN EFFECT IN THE STATE OF NEVADA AND ANY OTHER APPLICABLE STATE OR JURISDICTION.”</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may purchase and maintain insurance, to the extent and in such amounts as the Member shall, in its sole discretion, deem reasonable, on behalf of such Persons as the Member shall determine, against any liability that may be asserted against or expenses that may be incurred by any such Person in connection with the activities of the Company.</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Agreement, including any schedules or exhibits hereto, together with the Articles to the extent referenced herein, constitutes the complete and exclusive agreement and understanding of the Member with respect to the subject matter contained herein. This Agreement and the Articles replace and supersede all prior agreements, negotiations, statements, memoranda and understandings, whether written or oral, by the Member.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only by a writing signed by the Member.</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This Agreement, and the rights and obligations of the Member, shall be interpreted and enforced in accordance with and governed by the laws of the State of Nevada without regard to the conflict laws of that State.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headings in this Agreement are inserted for convenience only and are in no way intended to describe, interpret, define, or limit the scope, extent or intent of this Agreement or any provisions contained herein. In the interpretation of this Agreement, the singular may be read as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the neuter gender as the masculine or feminine, and</w:t>
      </w:r>
      <w:r>
        <w:rPr>
          <w:rFonts w:ascii="Arial" w:cs="Arial" w:eastAsia="Arial" w:hAnsi="Arial"/>
          <w:sz w:val="18"/>
          <w:szCs w:val="18"/>
          <w:i w:val="1"/>
          <w:iCs w:val="1"/>
          <w:color w:val="auto"/>
        </w:rPr>
        <w:t xml:space="preserve"> vice versa</w:t>
      </w:r>
      <w:r>
        <w:rPr>
          <w:rFonts w:ascii="Arial" w:cs="Arial" w:eastAsia="Arial" w:hAnsi="Arial"/>
          <w:sz w:val="18"/>
          <w:szCs w:val="18"/>
          <w:color w:val="auto"/>
        </w:rPr>
        <w:t>, and the future tense as the past or present, and</w:t>
      </w:r>
      <w:r>
        <w:rPr>
          <w:rFonts w:ascii="Arial" w:cs="Arial" w:eastAsia="Arial" w:hAnsi="Arial"/>
          <w:sz w:val="18"/>
          <w:szCs w:val="18"/>
          <w:i w:val="1"/>
          <w:iCs w:val="1"/>
          <w:color w:val="auto"/>
        </w:rPr>
        <w:t xml:space="preserve"> vice versa</w:t>
      </w:r>
      <w:r>
        <w:rPr>
          <w:rFonts w:ascii="Arial" w:cs="Arial" w:eastAsia="Arial" w:hAnsi="Arial"/>
          <w:sz w:val="18"/>
          <w:szCs w:val="18"/>
          <w:color w:val="auto"/>
        </w:rPr>
        <w:t>, all interchangeably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context may require in order to fully effectuate the intent of the Member and the transactions contemplated herein. Syntax shall yield to the substance of the terms and provisions hereof.</w:t>
      </w:r>
    </w:p>
    <w:p>
      <w:pPr>
        <w:spacing w:after="0" w:line="12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Facsimile Copies</w:t>
      </w:r>
      <w:r>
        <w:rPr>
          <w:rFonts w:ascii="Arial" w:cs="Arial" w:eastAsia="Arial" w:hAnsi="Arial"/>
          <w:sz w:val="18"/>
          <w:szCs w:val="18"/>
          <w:color w:val="auto"/>
        </w:rPr>
        <w:t>. Facsimile copies of this Agreement or any approval or written consent of the Member, and facsimile signatures hereon or thereon, shall have the same force and effect as originals.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any application thereof, is held by a court of competent jurisdiction to be invalid, void, illegal or unenforceable to any extent, that provision, or application thereof, shall be deemed severable and the remainder of this Agreement, and all other applications of such provision, shall not be affected, impaired or invalidated thereby, and shall continue in full force and effect to the fullest extent permitted by law.</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Waivers</w:t>
      </w:r>
      <w:r>
        <w:rPr>
          <w:rFonts w:ascii="Arial" w:cs="Arial" w:eastAsia="Arial" w:hAnsi="Arial"/>
          <w:sz w:val="18"/>
          <w:szCs w:val="18"/>
          <w:color w:val="auto"/>
        </w:rPr>
        <w:t>. No waiver of any of the provisions of this Agreement shall be deemed, or shall constitute, a waiver of any other provision, whether or not similar, nor shall any waiver constitute a continuing waiver, and no waiver shall be binding unless evidenced by an instrument in writing and executed by the Member.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280" w:right="259" w:bottom="1440" w:gutter="0" w:footer="0" w:header="0"/>
        </w:sectPr>
      </w:pPr>
    </w:p>
    <w:bookmarkStart w:id="267" w:name="page268"/>
    <w:bookmarkEnd w:id="267"/>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10.11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adopted solely by and for the benefit of the Member and its successors and assigns, and, except as set forth in Article IX hereof, no other Person shall have any rights, interest or claims hereunder or be entitled to any benefits under or on account of this Agreement as a third party beneficiary or otherwise.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appears on the following page</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240"/>
          </w:cols>
          <w:pgMar w:left="240" w:top="280" w:right="41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Member has executed and adopted this Agreement as of the Effective Date.</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WYNN RESORTS HOLDINGS, LLC,</w:t>
      </w:r>
    </w:p>
    <w:p>
      <w:pPr>
        <w:spacing w:after="0" w:line="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40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80010</wp:posOffset>
            </wp:positionV>
            <wp:extent cx="24009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9759"/>
          </w:cols>
          <w:pgMar w:left="700" w:top="280" w:right="1440" w:bottom="1440" w:gutter="0" w:footer="0" w:header="0"/>
        </w:sectPr>
      </w:pPr>
    </w:p>
    <w:bookmarkStart w:id="269" w:name="page270"/>
    <w:bookmarkEnd w:id="269"/>
    <w:p>
      <w:pPr>
        <w:jc w:val="center"/>
        <w:ind w:right="-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ectPr>
          <w:pgSz w:w="11900" w:h="16838" w:orient="portrait"/>
          <w:cols w:equalWidth="0" w:num="1">
            <w:col w:w="9079"/>
          </w:cols>
          <w:pgMar w:left="1380" w:top="280" w:right="1440"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Member’s Name: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Wynn Resorts Holdings, LLC</w:t>
      </w:r>
    </w:p>
    <w:p>
      <w:pPr>
        <w:spacing w:after="0" w:line="140" w:lineRule="exact"/>
        <w:rPr>
          <w:sz w:val="20"/>
          <w:szCs w:val="20"/>
          <w:color w:val="auto"/>
        </w:rPr>
      </w:pPr>
    </w:p>
    <w:p>
      <w:pPr>
        <w:sectPr>
          <w:pgSz w:w="11900" w:h="16838" w:orient="portrait"/>
          <w:cols w:equalWidth="0" w:num="2">
            <w:col w:w="2500" w:space="720"/>
            <w:col w:w="5859"/>
          </w:cols>
          <w:pgMar w:left="138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Member’s Address:</w:t>
      </w:r>
    </w:p>
    <w:p>
      <w:pPr>
        <w:spacing w:after="0" w:line="20" w:lineRule="exact"/>
        <w:rPr>
          <w:sz w:val="20"/>
          <w:szCs w:val="20"/>
          <w:color w:val="auto"/>
        </w:rPr>
      </w:pPr>
      <w:r>
        <w:rPr>
          <w:sz w:val="20"/>
          <w:szCs w:val="20"/>
          <w:color w:val="auto"/>
        </w:rPr>
        <w:br w:type="column"/>
      </w:r>
    </w:p>
    <w:p>
      <w:pPr>
        <w:jc w:val="center"/>
        <w:ind w:right="1659"/>
        <w:spacing w:after="0"/>
        <w:rPr>
          <w:sz w:val="20"/>
          <w:szCs w:val="20"/>
          <w:color w:val="auto"/>
        </w:rPr>
      </w:pPr>
      <w:r>
        <w:rPr>
          <w:rFonts w:ascii="Arial" w:cs="Arial" w:eastAsia="Arial" w:hAnsi="Arial"/>
          <w:sz w:val="15"/>
          <w:szCs w:val="15"/>
          <w:color w:val="auto"/>
        </w:rPr>
        <w:t>3131 Las Vegas Boulevard South Las Vegas, Nevada 89109</w:t>
      </w:r>
    </w:p>
    <w:p>
      <w:pPr>
        <w:spacing w:after="0" w:line="151" w:lineRule="exact"/>
        <w:rPr>
          <w:sz w:val="20"/>
          <w:szCs w:val="20"/>
          <w:color w:val="auto"/>
        </w:rPr>
      </w:pPr>
    </w:p>
    <w:p>
      <w:pPr>
        <w:sectPr>
          <w:pgSz w:w="11900" w:h="16838" w:orient="portrait"/>
          <w:cols w:equalWidth="0" w:num="2">
            <w:col w:w="2500" w:space="720"/>
            <w:col w:w="5859"/>
          </w:cols>
          <w:pgMar w:left="138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Member’s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w:t>
      </w:r>
    </w:p>
    <w:p>
      <w:pPr>
        <w:spacing w:after="0" w:line="192" w:lineRule="exact"/>
        <w:rPr>
          <w:sz w:val="20"/>
          <w:szCs w:val="20"/>
          <w:color w:val="auto"/>
        </w:rPr>
      </w:pPr>
    </w:p>
    <w:p>
      <w:pPr>
        <w:sectPr>
          <w:pgSz w:w="11900" w:h="16838" w:orient="portrait"/>
          <w:cols w:equalWidth="0" w:num="2">
            <w:col w:w="2500" w:space="720"/>
            <w:col w:w="5859"/>
          </w:cols>
          <w:pgMar w:left="1380" w:top="280" w:right="1440" w:bottom="1440" w:gutter="0" w:footer="0" w:header="0"/>
          <w:type w:val="continuous"/>
        </w:sectPr>
      </w:pPr>
    </w:p>
    <w:p>
      <w:pPr>
        <w:jc w:val="center"/>
        <w:ind w:right="-60"/>
        <w:spacing w:after="0"/>
        <w:rPr>
          <w:sz w:val="20"/>
          <w:szCs w:val="20"/>
          <w:color w:val="auto"/>
        </w:rPr>
      </w:pPr>
      <w:r>
        <w:rPr>
          <w:rFonts w:ascii="Arial" w:cs="Arial" w:eastAsia="Arial" w:hAnsi="Arial"/>
          <w:sz w:val="16"/>
          <w:szCs w:val="16"/>
          <w:color w:val="auto"/>
        </w:rPr>
        <w:t>- 1 -</w:t>
      </w:r>
    </w:p>
    <w:p>
      <w:pPr>
        <w:sectPr>
          <w:pgSz w:w="11900" w:h="16838" w:orient="portrait"/>
          <w:cols w:equalWidth="0" w:num="1">
            <w:col w:w="9079"/>
          </w:cols>
          <w:pgMar w:left="1380" w:top="280" w:right="1440" w:bottom="1440" w:gutter="0" w:footer="0" w:header="0"/>
          <w:type w:val="continuous"/>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3.3</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AMENDED AND RESTATED ARTICLES OF INCORPORATION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LAS VEGAS CAPITAL CORP.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Pursuant to Nevada Revised Statutes Section 78.390 and 78.403, the undersigned officer of Wynn Las Vegas Capital Corp. does hereby declare and certify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70" w:lineRule="exact"/>
        <w:rPr>
          <w:sz w:val="20"/>
          <w:szCs w:val="20"/>
          <w:color w:val="auto"/>
        </w:rPr>
      </w:pPr>
    </w:p>
    <w:p>
      <w:pPr>
        <w:ind w:left="900" w:hanging="446"/>
        <w:spacing w:after="0"/>
        <w:tabs>
          <w:tab w:leader="none" w:pos="90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He constitutes the duly elected and acting Secretary of the corporation, which is duly organized and existing under the laws of the State of Nevada.</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original Articles of Incorporation of the corporation were filed with the Secretary of State on June 3, 2002.</w:t>
      </w:r>
    </w:p>
    <w:p>
      <w:pPr>
        <w:spacing w:after="0" w:line="76"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As of the date hereof, by unanimous written consent, the board of directors of the corporation approved the amendment and restatement of the Articles of Incorporation of the corporation as set forth below.</w:t>
      </w:r>
    </w:p>
    <w:p>
      <w:pPr>
        <w:spacing w:after="0" w:line="37" w:lineRule="exact"/>
        <w:rPr>
          <w:rFonts w:ascii="Arial" w:cs="Arial" w:eastAsia="Arial" w:hAnsi="Arial"/>
          <w:sz w:val="18"/>
          <w:szCs w:val="18"/>
          <w:color w:val="auto"/>
        </w:rPr>
      </w:pPr>
    </w:p>
    <w:p>
      <w:pPr>
        <w:ind w:left="900" w:right="380" w:hanging="446"/>
        <w:spacing w:after="0" w:line="306" w:lineRule="auto"/>
        <w:tabs>
          <w:tab w:leader="none" w:pos="90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As of the date hereof, upon the recommendation of the board of directors, the amendment and restatement of the Articles of Incorporation of the corporation as set forth below was approved and adopted by the sole stockholder of the corporation holding 100% of the voting power of the outstanding shares of the corporation’s capital stock, which is sufficient for approval thereof.</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Articles of Incorporation of the corporation are hereby amended and restated in their entirety as follows: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shall be “Wynn Las Vegas Capital Corp.”</w:t>
      </w:r>
    </w:p>
    <w:p>
      <w:pPr>
        <w:spacing w:after="0" w:line="15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OFFICE</w:t>
      </w:r>
    </w:p>
    <w:p>
      <w:pPr>
        <w:spacing w:after="0" w:line="151"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name of the resident agent and the street address of the registered office in the State of Nevada where process may be served upon the corporation is currently Marc H. Rubinstein, 3145 Las Vegas Boulevard South, Las Vegas, Nevada 89109. The corporation may, from time to time, in the manner provided by law, change the resident agent and the registered office within the State of Nevada. The corporation may also maintain an office or offices for the conduct of its business, either within or without the State of Nevada.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71" w:name="page272"/>
    <w:bookmarkEnd w:id="27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15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Authorized Shares</w:t>
      </w:r>
      <w:r>
        <w:rPr>
          <w:rFonts w:ascii="Arial" w:cs="Arial" w:eastAsia="Arial" w:hAnsi="Arial"/>
          <w:sz w:val="18"/>
          <w:szCs w:val="18"/>
          <w:color w:val="auto"/>
        </w:rPr>
        <w:t>. The aggregate number of shares which the corporation shall have authority to issue shall consist of two thousand (2,000) shares of common stock, par value $0.01.</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Assessment of Stock</w:t>
      </w:r>
      <w:r>
        <w:rPr>
          <w:rFonts w:ascii="Arial" w:cs="Arial" w:eastAsia="Arial" w:hAnsi="Arial"/>
          <w:sz w:val="18"/>
          <w:szCs w:val="18"/>
          <w:color w:val="auto"/>
        </w:rPr>
        <w:t>. The capital stock of the corporation, after the amount of the subscription price has been fully paid in, shall not be assessable for any purpose, and no stock issued as fully paid shall ever be assessable or assessed. No stockholder of the corporation is individually liable for the debts or liabilities of the corporation.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DIRECTORS AND OFFICERS</w:t>
      </w:r>
    </w:p>
    <w:p>
      <w:pPr>
        <w:spacing w:after="0" w:line="15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Number of Directors</w:t>
      </w:r>
      <w:r>
        <w:rPr>
          <w:rFonts w:ascii="Arial" w:cs="Arial" w:eastAsia="Arial" w:hAnsi="Arial"/>
          <w:sz w:val="15"/>
          <w:szCs w:val="15"/>
          <w:color w:val="auto"/>
        </w:rPr>
        <w:t>. The members of the governing board of the corporation are styled as directors. The board of directors of the corporation shall be elected in such manner as shall be provided in the bylaws of the corporation. The board of directors shall consist of at least one (1) and not more than ten</w:t>
      </w:r>
    </w:p>
    <w:p>
      <w:pPr>
        <w:ind w:right="800" w:firstLine="8"/>
        <w:spacing w:after="0" w:line="261" w:lineRule="auto"/>
        <w:tabs>
          <w:tab w:leader="none" w:pos="33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individuals. The number of directors may be changed from time to time within this range in such manner as shall be provided in the bylaws of the corporation.</w:t>
      </w:r>
    </w:p>
    <w:p>
      <w:pPr>
        <w:spacing w:after="0" w:line="12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Current Director</w:t>
      </w:r>
      <w:r>
        <w:rPr>
          <w:rFonts w:ascii="Arial" w:cs="Arial" w:eastAsia="Arial" w:hAnsi="Arial"/>
          <w:sz w:val="18"/>
          <w:szCs w:val="18"/>
          <w:color w:val="auto"/>
        </w:rPr>
        <w:t>. The name and post office box or street address of the current director is Stephen A. Wynn, 3145 Las Vegas Boulevard South, Las Vegas, Nevada 89109.</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In addition to any other rights of indemnification permitted by the laws of the State of Nevada or as may be provided for by the corporation in its bylaws or by agreement, the expenses of officers and directors incurred in defending a civil or criminal action, suit or proceeding, involving alleged acts or omissions of such officer or director in his or her capacity as an officer or director of the corporation, must be paid, by the corporation or through insurance purchased and maintained by the corporation or through other financial arrangements made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he or she is not entitled to be indemnified by the corporation.</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 The liability of directors and officers of the corporation shall be eliminated or limited to the fullest extent permitted by the Nevada Revised Statutes. If the Nevada Revised Statutes are amended to further eliminate or limit or authorize corporate action to further eliminate or limit the liability of directors or officers, the liability of directors and officers of the corporation shall be eliminated or limited to the fullest extent permitted by the Nevada Revised Statutes, as so amended from time to time.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REPEAL AND CONFLICTS</w:t>
      </w:r>
    </w:p>
    <w:p>
      <w:pPr>
        <w:spacing w:after="0" w:line="1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Any repeal or modification of Section 3 or 4 of Article IV above approved by the stockholders of the corporation shall be prospective only, and shall not adversely affect any limitation on the liability of a director or officer of the corporation existing as of the time of such repeal or modification. In the event of any conflict between Section 3 or 4 of Article IV and any other Article of the corporation’s Articles of Incorporation, the terms and provisions of Sections 3 and/or 4 of Article IV shall control.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COMBINATIONS WITH INTERESTED STOCKHOLDERS</w:t>
      </w:r>
    </w:p>
    <w:p>
      <w:pPr>
        <w:spacing w:after="0" w:line="15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At such time, if any, as the corporation becomes a “resident domestic corporation”, as that term is defined in NRS 78.427, the corporation shall not be subject to, or governed by, any of the provisions in NRS 78.411 to 78.444, inclusive, as may be amended from time to time, or any successor statute.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INCORPORATOR</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name and post office box or street address of the organizer of the corporation was Ellen Schulhofer, Esq., 300 S. Fourth Street, Ste. 1200, Las Vegas, Nevada 89101.</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SEPARATENESS COVENANTS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CORPORATION RESTRICTIONS</w:t>
      </w:r>
    </w:p>
    <w:p>
      <w:pPr>
        <w:spacing w:after="0" w:line="151"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 xml:space="preserve">Section 8.1 </w:t>
      </w:r>
      <w:r>
        <w:rPr>
          <w:rFonts w:ascii="Arial" w:cs="Arial" w:eastAsia="Arial" w:hAnsi="Arial"/>
          <w:sz w:val="15"/>
          <w:szCs w:val="15"/>
          <w:u w:val="single" w:color="auto"/>
          <w:color w:val="auto"/>
        </w:rPr>
        <w:t>Conduct</w:t>
      </w:r>
      <w:r>
        <w:rPr>
          <w:rFonts w:ascii="Arial" w:cs="Arial" w:eastAsia="Arial" w:hAnsi="Arial"/>
          <w:sz w:val="15"/>
          <w:szCs w:val="15"/>
          <w:color w:val="auto"/>
        </w:rPr>
        <w:t>. The corporation shall (a) conduct business in its own name and hold itself out as a separate entity, (b) correct any known misunderstanding regarding its separate identity, (c) maintain a separate office location or, if the corporation shares office space with others, pay its fair allocable share of overhead costs, (d) have separate stationery and checks in its own name (as well as separate invoices in its own name to the extent that the corporation uses invoices in the conduct of its business), and (e) observe all organizational formalities. The corporation shall not use the name of Wynn Resorts, Limited (“WRL”) or any other Person (as hereinafter defined), or permit WRL or any other Person to use the name of the corporation; or engage in any other action that would reasonably be expected to call into question the separate identity of (i) the corporation or any of the other Restricted Entities (as hereinafter defined) from</w:t>
      </w:r>
    </w:p>
    <w:p>
      <w:pPr>
        <w:spacing w:after="0" w:line="1" w:lineRule="exact"/>
        <w:rPr>
          <w:sz w:val="20"/>
          <w:szCs w:val="20"/>
          <w:color w:val="auto"/>
        </w:rPr>
      </w:pPr>
    </w:p>
    <w:p>
      <w:pPr>
        <w:ind w:firstLine="8"/>
        <w:spacing w:after="0" w:line="252" w:lineRule="auto"/>
        <w:tabs>
          <w:tab w:leader="none" w:pos="25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of the Wynn NR Entities (as hereinafter defined), or to create or increase any risk that the assets of the corporation will be consolidated with those of the Wynn NR Entities or any other Person (other than a Restricted Entity) under applicable federal or state bankruptcy or insolvency law. The corporation shall maintain adequate capital in light of its contemplated business purpose, transactions and liabilities; provided, however, that the foregoing shall not be construed as imposing an obligation on any stockholder to contribute additional capital to the corporation in order to satisfy the liabilities of the corporation (it being understood, however, that a stockholder separately may incur contractual liabilities with respect to certain liabilities of the corporation, including pursuant to the Indenture Documents and the Bank Documents). For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73" w:name="page274"/>
    <w:bookmarkEnd w:id="273"/>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purposes, (A) the term “Wynn NR Entities” shall mean WRL and any of its Affiliates (defined below) (excluding, however, the Restricted Entities); (B) the term “Restricted Entities” shall mean this corporation; Valvino Lamore, LLC, a Nevada limited liability company; Palo, LLC, a Delaware limited liability company; Wynn Resorts Holdings, LLC, a Nevada limited liability company; Desert Inn Water Company, LLC, a Nevada limited liability company; Wynn Design &amp; Development, LLC, a Nevada limited liability company; World Travel, LLC, a Nevada limited liability company; Las Vegas Jet, LLC, a Nevada limited liability company; and Wynn Las Vegas, LLC, a Nevada limited liability company; and (C) the term “Person” shall mean a natural person, any form of business or social organization and any other non-governmental legal entity including, but not limited to, a corporation, partnership, association, trust, unincorporated organization, estate or limited liability company; (D) the term “Indenture Documents” shall mean that certain Indenture, by and among Wynn Las Vegas, LLC and Wynn Las Vegas Capital Corp., as joint and several obligors, Desert Inn Water Company, LLC, Wynn Design &amp; Development, LLC, Wynn Resorts Holdings, LLC, Las Vegas Jet, LLC, World Travel, LLC, Palo, LLC and Valvino Lamore, LLC, as guarantors, and Wells Fargo Bank Northwest, National Association, as trustee, entered into in connection with the offer and sale of up to $450,000,000 aggregate principal amount of Second Mortgage Notes due 2010 of Wynn Las Vegas, LLC and Wynn Las Vegas Capital Corp., and all documents, instruments and agreements executed or delivered in connection therewith, as the foregoing may from time to time be supplemented, modified, amended, restated, refinanced or replaced, with the same or any successor or replacement trustee or agent; and (E) the term “Bank Documents” shall mean that certain Credit Agreement, among Wynn Las Vegas, LLC, the lenders party thereto, Deutsche Bank Securities, Inc., as lead arranger and joint book running manager, Deutsche Bank Trust Company Americas, as administrative agent and swing line lender, Banc of America Securities LLC, as lead arranger, joint book running manager and syndication agent, Bear, Stearns &amp; Co. Inc., as arranger and joint book running manager, Bear Stearns Corporate Lending Inc., as joint documentation agent, and Dresdner Bank AG, New York Branch, as arranger and joint documentation agent, entered into to finance the development and construction of the Le Reve Casino Resort, and all documents, instruments and agreements executed or delivered in connection therewith, as the foregoing may from time to time be supplemented, modified, amended, restated, refinanced or replaced, with the same or any successor or replacement agents and lenders.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Obligations</w:t>
      </w:r>
      <w:r>
        <w:rPr>
          <w:rFonts w:ascii="Arial" w:cs="Arial" w:eastAsia="Arial" w:hAnsi="Arial"/>
          <w:sz w:val="18"/>
          <w:szCs w:val="18"/>
          <w:color w:val="auto"/>
        </w:rPr>
        <w:t>. All obligations and indebtedness of any kind incurred by the corporation shall be paid from the assets of the corporation and the corporation’s assets shall not be used to pay any obligation or indebtedness of Wynn NR Entities. The corporation shall not hold itself out, or permit itself to be held out, as having agreed to pay or be liable for the debts of any of the Wynn NR Entities or hold out its credit or assets as being available to satisfy the obligations of others and shall not cause or permit others to hold out their credit or assets as being available to satisfy its obligations except for guarantees among the Restricted Entities.</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corporation shall comply in all material respects with all applicable laws, rules, regulations and orders, such compliance to include, without limitation, paying before the same become delinquent all taxes, assessments and governmental charges imposed upon it or upon its property, except to the extent contested in good faith.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74" w:name="page275"/>
    <w:bookmarkEnd w:id="2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8.4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77" w:lineRule="exact"/>
        <w:rPr>
          <w:sz w:val="20"/>
          <w:szCs w:val="20"/>
          <w:color w:val="auto"/>
        </w:rPr>
      </w:pPr>
    </w:p>
    <w:p>
      <w:pPr>
        <w:ind w:left="-20" w:firstLine="921"/>
        <w:spacing w:after="0" w:line="259" w:lineRule="auto"/>
        <w:tabs>
          <w:tab w:leader="none" w:pos="113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corporation shall require that all full-time employees of the corporation identify themselves as such and not as employees of any of the Wynn NR Entities (including, without limitation, by means of providing appropriate directors and employees with business or identification cards identifying such directors and employees as the corporation’s directors and employees).</w:t>
      </w:r>
    </w:p>
    <w:p>
      <w:pPr>
        <w:spacing w:after="0" w:line="126" w:lineRule="exact"/>
        <w:rPr>
          <w:rFonts w:ascii="Arial" w:cs="Arial" w:eastAsia="Arial" w:hAnsi="Arial"/>
          <w:sz w:val="18"/>
          <w:szCs w:val="18"/>
          <w:color w:val="auto"/>
        </w:rPr>
      </w:pPr>
    </w:p>
    <w:p>
      <w:pPr>
        <w:ind w:left="-20" w:right="40" w:firstLine="921"/>
        <w:spacing w:after="0" w:line="294" w:lineRule="auto"/>
        <w:tabs>
          <w:tab w:leader="none" w:pos="1142"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To the extent the following Persons provide services to the corporation, the corporation shall compensate all directors, employees, consultants and agents directly, from corporation’s bank accounts, for services provided to the corporation by such directors, employees, consultants and agents, except to the extent that any director, employee, consultant or agent of the corporation is also a director, employee, consultant or agent of any of the Wynn NR Entities and the compensation of such director, employee, consultant or agent is allocated between the corporation and such Wynn NR Entities on a basis that reflects in a reasonable manner the services rendered to the corporation and such Wynn NR Entities.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w:t>
      </w:r>
    </w:p>
    <w:p>
      <w:pPr>
        <w:spacing w:after="0" w:line="77" w:lineRule="exact"/>
        <w:rPr>
          <w:sz w:val="20"/>
          <w:szCs w:val="20"/>
          <w:color w:val="auto"/>
        </w:rPr>
      </w:pPr>
    </w:p>
    <w:p>
      <w:pPr>
        <w:ind w:left="-20" w:firstLine="921"/>
        <w:spacing w:after="0" w:line="286" w:lineRule="auto"/>
        <w:tabs>
          <w:tab w:leader="none" w:pos="113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corporation shall conduct all transactions with any Wynn NR Entities on an arms’-length basis, excluding payment of certain management fees or distributions to the extent of available and unrestricted funds, and only as permitted by the agreements governing its indebtedness or other obligations. The corporation shall allocate all overhead expenses (including, without limitation, shared office space and telephone and other utility charges) for items shared between the corporation and such Wynn NR Entities on the basis of actual use to the extent practicable and, to the extent such allocation is not practicable, on a basis reasonably related to actual use. The corporation shall not commingle any funds or other assets with those of any Wynn NR Entities, and the corporation shall maintain its books, records, and accounts in a manner that appropriately reflects that its assets and liabilities are separate and apart from those of its Affiliates, including any Wynn NR Entities. The corporation will not acquire any obligations or securities of any Wynn NR Entities. For these purposes, the term “Affiliate” shall mean with respect to a specified Person, any other Person who or which is (i) directly or indirectly controlling, controlled by or under common control with the specified Person, or (ii) any member, stockholder, director, officer, manager, or comparable principal of, or relative or spouse of, the specified Person. For purposes of this definition, “control”, “controlling”, and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10" w:lineRule="exact"/>
        <w:rPr>
          <w:rFonts w:ascii="Arial" w:cs="Arial" w:eastAsia="Arial" w:hAnsi="Arial"/>
          <w:sz w:val="16"/>
          <w:szCs w:val="16"/>
          <w:color w:val="auto"/>
        </w:rPr>
      </w:pPr>
    </w:p>
    <w:p>
      <w:pPr>
        <w:ind w:left="-20" w:right="100" w:firstLine="921"/>
        <w:spacing w:after="0" w:line="256" w:lineRule="auto"/>
        <w:tabs>
          <w:tab w:leader="none" w:pos="114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Except for master or blanket policies covering the corporation and any Affiliate(s) or the property of the corporation and Wynn NR Entities, the costs of which are allocated between the corporation and any Wynn NR Entities on a reasonable basis, the corporation will not permit itself to be named as an insured on the insurance policy covering the property of any Wynn NR Entities or enter into an agreement with the holder of such policy whereby in the event of a loss in connection with such property, proceeds are paid to the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275" w:name="page276"/>
    <w:bookmarkEnd w:id="275"/>
    <w:p>
      <w:pPr>
        <w:ind w:left="-400" w:firstLine="921"/>
        <w:spacing w:after="0" w:line="268" w:lineRule="auto"/>
        <w:tabs>
          <w:tab w:leader="none" w:pos="752" w:val="left"/>
        </w:tabs>
        <w:numPr>
          <w:ilvl w:val="0"/>
          <w:numId w:val="2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shall not permit any Wynn NR Entities to pay any part of the corporation’s operating expenses except pursuant to allocation arrangements that comply with the requirements of this Article VIII.</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on following page</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20"/>
          </w:cols>
          <w:pgMar w:left="640" w:top="280" w:right="639" w:bottom="1440" w:gutter="0" w:footer="0" w:header="0"/>
        </w:sectPr>
      </w:pPr>
    </w:p>
    <w:bookmarkStart w:id="276" w:name="page277"/>
    <w:bookmarkEnd w:id="27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has hereunto executed these First Amended and Restated Articles of Incorporation as of the 21st day of October, 2002.</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 H. Rubinstein, Secretary</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240" w:top="280" w:right="81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3.4</w:t>
      </w:r>
    </w:p>
    <w:p>
      <w:pPr>
        <w:spacing w:after="0" w:line="8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CERTIFICATE OF AMENDMENT OF THE</w:t>
      </w:r>
    </w:p>
    <w:p>
      <w:pPr>
        <w:spacing w:after="0" w:line="1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ARTICLES OF INCORPORATION</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WYNN LAS VEGAS CAPITAL CORP.</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Pursuant to Nevada Revised Statutes Section 78.390, the undersigned officer of Wynn Las Vegas Capital Corp. does hereby declare and certify that:</w:t>
      </w:r>
    </w:p>
    <w:p>
      <w:pPr>
        <w:spacing w:after="0" w:line="100" w:lineRule="exact"/>
        <w:rPr>
          <w:sz w:val="20"/>
          <w:szCs w:val="20"/>
          <w:color w:val="auto"/>
        </w:rPr>
      </w:pPr>
    </w:p>
    <w:p>
      <w:pPr>
        <w:ind w:left="440" w:hanging="436"/>
        <w:spacing w:after="0"/>
        <w:tabs>
          <w:tab w:leader="none" w:pos="4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He constitutes the duly elected and acting Secretary of this corporation, which is duly organized and existing under the laws of the State of Nevada.</w:t>
      </w:r>
    </w:p>
    <w:p>
      <w:pPr>
        <w:spacing w:after="0" w:line="99" w:lineRule="exact"/>
        <w:rPr>
          <w:rFonts w:ascii="Arial" w:cs="Arial" w:eastAsia="Arial" w:hAnsi="Arial"/>
          <w:sz w:val="16"/>
          <w:szCs w:val="16"/>
          <w:color w:val="auto"/>
        </w:rPr>
      </w:pPr>
    </w:p>
    <w:p>
      <w:pPr>
        <w:ind w:left="440" w:hanging="436"/>
        <w:spacing w:after="0"/>
        <w:tabs>
          <w:tab w:leader="none" w:pos="4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original Articles of Incorporation of this corporation were filed with the Secretary of State on June 3, 2002.</w:t>
      </w:r>
    </w:p>
    <w:p>
      <w:pPr>
        <w:spacing w:after="0" w:line="76" w:lineRule="exact"/>
        <w:rPr>
          <w:rFonts w:ascii="Arial" w:cs="Arial" w:eastAsia="Arial" w:hAnsi="Arial"/>
          <w:sz w:val="18"/>
          <w:szCs w:val="18"/>
          <w:color w:val="auto"/>
        </w:rPr>
      </w:pPr>
    </w:p>
    <w:p>
      <w:pPr>
        <w:ind w:left="440" w:right="120" w:hanging="436"/>
        <w:spacing w:after="0" w:line="268" w:lineRule="auto"/>
        <w:tabs>
          <w:tab w:leader="none" w:pos="4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As of the date hereof, by unanimous written consent, the board of directors of the corporation approved the amendment of the Articles of Incorporation of this corporation as set forth below.</w:t>
      </w:r>
    </w:p>
    <w:p>
      <w:pPr>
        <w:spacing w:after="0" w:line="37" w:lineRule="exact"/>
        <w:rPr>
          <w:rFonts w:ascii="Arial" w:cs="Arial" w:eastAsia="Arial" w:hAnsi="Arial"/>
          <w:sz w:val="18"/>
          <w:szCs w:val="18"/>
          <w:color w:val="auto"/>
        </w:rPr>
      </w:pPr>
    </w:p>
    <w:p>
      <w:pPr>
        <w:ind w:left="440" w:right="100" w:hanging="436"/>
        <w:spacing w:after="0" w:line="259" w:lineRule="auto"/>
        <w:tabs>
          <w:tab w:leader="none" w:pos="4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As of the date hereof, upon the recommendation of the board of directors, the amendment of the Articles of Incorporation of the corporation as set forth below was approved and adopted by the sole stockholder of this corporation holding 100% of the voting power of the outstanding shares of this corporation’s capital stock, which is sufficient for approval thereof.</w:t>
      </w:r>
    </w:p>
    <w:p>
      <w:pPr>
        <w:spacing w:after="0" w:line="45" w:lineRule="exact"/>
        <w:rPr>
          <w:rFonts w:ascii="Arial" w:cs="Arial" w:eastAsia="Arial" w:hAnsi="Arial"/>
          <w:sz w:val="18"/>
          <w:szCs w:val="18"/>
          <w:color w:val="auto"/>
        </w:rPr>
      </w:pPr>
    </w:p>
    <w:p>
      <w:pPr>
        <w:ind w:left="440" w:hanging="436"/>
        <w:spacing w:after="0"/>
        <w:tabs>
          <w:tab w:leader="none" w:pos="4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Articles of Incorporation of this corporation are hereby amended to add the following Article VIII thereto:</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u w:val="single" w:color="auto"/>
          <w:color w:val="auto"/>
        </w:rPr>
        <w:t>SEPARATENESS COVENANTS AND</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u w:val="single" w:color="auto"/>
          <w:color w:val="auto"/>
        </w:rPr>
        <w:t>CORPORATION RESTRICTIONS</w:t>
      </w:r>
    </w:p>
    <w:p>
      <w:pPr>
        <w:spacing w:after="0" w:line="151" w:lineRule="exact"/>
        <w:rPr>
          <w:sz w:val="20"/>
          <w:szCs w:val="20"/>
          <w:color w:val="auto"/>
        </w:rPr>
      </w:pPr>
    </w:p>
    <w:p>
      <w:pPr>
        <w:ind w:left="700"/>
        <w:spacing w:after="0" w:line="289"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Conduct</w:t>
      </w:r>
      <w:r>
        <w:rPr>
          <w:rFonts w:ascii="Arial" w:cs="Arial" w:eastAsia="Arial" w:hAnsi="Arial"/>
          <w:sz w:val="16"/>
          <w:szCs w:val="16"/>
          <w:color w:val="auto"/>
        </w:rPr>
        <w:t>. The corporation shall (a) conduct business in its own name and hold itself out as a separate entity, (b) correct any known misunderstanding regarding its separate identity, (c) maintain a separate office location or, if the corporation shares office space with others, pay its fair allocable share of overhead costs, (d) have separate stationery and checks in its own name (as well as separate invoices in its own name to the extent that the corporation uses invoices in the conduct of its business), and (e) observe all organizational formalities. The corporation shall not use the name of Wynn Resorts, Limited (“WRL”) or any other Person (as hereinafter defined), or permit WRL or any other Person to use the name of the corporation; or engage in any other action that would reasonably be expected to call into question the separate identity of (i) the corporation or any of the other Restricted Entities (as hereinafter defined) from (ii) any of the Wynn NR Entities (as hereinafter defined), or to create or increase any risk that the assets of the corporation will be consolidated with those of the</w:t>
      </w:r>
    </w:p>
    <w:p>
      <w:pPr>
        <w:sectPr>
          <w:pgSz w:w="11900" w:h="16838" w:orient="portrait"/>
          <w:cols w:equalWidth="0" w:num="1">
            <w:col w:w="11200"/>
          </w:cols>
          <w:pgMar w:left="460" w:top="125" w:right="239" w:bottom="1440" w:gutter="0" w:footer="0" w:header="0"/>
        </w:sectPr>
      </w:pPr>
    </w:p>
    <w:bookmarkStart w:id="278" w:name="page279"/>
    <w:bookmarkEnd w:id="2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NR Entities or any other Person (other than a Restricted Entity) under applicable federal or state bankruptcy or insolvency law.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corporation shall maintain adequate capital in light of its contemplated business purpose, transactions and liabilities; provided, however,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foregoing shall not be construed as imposing an obligation on any stockholder to contribute additional capital to the corporation in order to satisfy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liabilities of the corporation (it being understood, however, that a stockholder separately may incur contractual liabilities with respect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liabilities of the corporation, including pursuant to the Indenture Documents and the Bank Documents. For these purposes, (A) the term “Wynn NR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Entities” shall mean WRL and any of its Affiliates (defined below) (excluding, however, the Restricted Entities); (B) the term “Restricted Entities”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mean this corporation; Valvino Lamore, LLC, a Nevada limited liability company; Palo, LLC, a Delaware limited liability company; Wynn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Resorts Holdings, LLC, a Nevada limited liability company; Desert Inn Water Company, LLC, a Nevada limited liability company; Wynn Design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LLC, a Nevada limited liability company; World Travel, LLC, a Nevada limited liability company; Las Vegas Jet, LLC, a Nevada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and Wynn Las Vegas, LLC, a Nevada limited liability company; and (C) the term “Person” shall mean a natural person,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form of business or social organization and any other non-governmental legal entity including, but not limited to, a corporation,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association, trust, unincorporated organization, estate or limited liability company; (D) the term “Indenture Documents” shall mean that certain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Indenture, by and among Wynn Las Vegas, LLC and Wynn Las Vegas Capital Corp., as joint and several obligors, Desert Inn Water Company, LLC,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Wynn Design &amp; Development, LLC, Wynn Resorts Holdings, LLC, Las Vegas Jet, LLC, World Travel, LLC, Palo, LLC and Valvino Lamore,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guarantors, and Wells Fargo Bank Northwest, National Association, as trustee, entered into in connection with the offer and sale of up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$450,000,000 aggregate principal amount of Second Mortgage Notes due 2010 of Wynn Las Vegas, LLC and Wynn Las Vegas Capital Corp., and all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documents, instruments and agreements executed or delivered in connection therewith, as the foregoing may from time to time be supplemented,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modified, amended, restated, refinanced or replaced, with the same or any successor or replacement trustee or agent; and (E) the term “Bank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Documents” shall mean that certain Credit Agreement, among Wynn Las Vegas, LLC, the lenders party thereto, Deutsche Bank Securities, Inc.,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lead arranger and joint book running manager, Deutsche Bank Trust Company Americas, as administrative agent and swing line lender, Banc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America Securities LLC, as lead arranger, joint book running manager and syndication agent, Bear, Stearns &amp; Co. Inc., as arranger and joint book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running manager, Bear Stearns Corporate Lending Inc., as joint documentation agent, and Dresdner Bank AG, New York Branch, as arranger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joint documentation agent, entered into to finance the development and</w:t>
      </w:r>
    </w:p>
    <w:p>
      <w:pPr>
        <w:spacing w:after="0" w:line="15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460"/>
          </w:cols>
          <w:pgMar w:left="1160" w:top="280" w:right="279" w:bottom="1440" w:gutter="0" w:footer="0" w:header="0"/>
        </w:sectPr>
      </w:pPr>
    </w:p>
    <w:bookmarkStart w:id="279" w:name="page280"/>
    <w:bookmarkEnd w:id="279"/>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construction of the Le Reve Casino Resort, and all documents, instruments and agreements executed or delivered in connection therewith, as the foregoing may from time to time be supplemented, modified, amended, restated, refinanced or replaced, with the same or any successor or replacement agents and lenders.</w:t>
      </w:r>
    </w:p>
    <w:p>
      <w:pPr>
        <w:spacing w:after="0" w:line="4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Obligations</w:t>
      </w:r>
      <w:r>
        <w:rPr>
          <w:rFonts w:ascii="Arial" w:cs="Arial" w:eastAsia="Arial" w:hAnsi="Arial"/>
          <w:sz w:val="16"/>
          <w:szCs w:val="16"/>
          <w:color w:val="auto"/>
        </w:rPr>
        <w:t>. All obligations and indebtedness of any kind incurred by the corporation shall be paid from the assets of the corporation and the corporation’s assets shall not be used to pay any obligation or indebtedness of Wynn NR Entities. The corporation shall not hold itself out, or permit itself to be held out, as having agreed to pay or be liable for the debts of any of the Wynn NR Entities or hold out its credit or assets as being available to satisfy the obligations of others and shall not cause or permit others to hold out their credit or assets as being available to satisfy its obligations except for guarantees among the Restricted Entities.</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corporation shall comply in all material respects with all applicable laws, rules, regulations and orders, such compliance to include, without limitation, paying before the same become delinquent all taxes, assessments and governmental charges imposed upon it or upon its property, except to the extent contested in good faith.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77" w:lineRule="exact"/>
        <w:rPr>
          <w:sz w:val="20"/>
          <w:szCs w:val="20"/>
          <w:color w:val="auto"/>
        </w:rPr>
      </w:pPr>
    </w:p>
    <w:p>
      <w:pPr>
        <w:ind w:firstLine="1"/>
        <w:spacing w:after="0" w:line="259" w:lineRule="auto"/>
        <w:tabs>
          <w:tab w:leader="none" w:pos="23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corporation shall require that all full-time employees of the corporation identify themselves as such and not as employees of any of the Wynn NR Entities (including, without limitation, by means of providing appropriate directors and employees with business or identification cards identifying such directors and employees as the corporation’s directors and employees).</w:t>
      </w:r>
    </w:p>
    <w:p>
      <w:pPr>
        <w:spacing w:after="0" w:line="45" w:lineRule="exact"/>
        <w:rPr>
          <w:rFonts w:ascii="Arial" w:cs="Arial" w:eastAsia="Arial" w:hAnsi="Arial"/>
          <w:sz w:val="18"/>
          <w:szCs w:val="18"/>
          <w:color w:val="auto"/>
        </w:rPr>
      </w:pPr>
    </w:p>
    <w:p>
      <w:pPr>
        <w:ind w:right="60" w:firstLine="1"/>
        <w:spacing w:after="0" w:line="294" w:lineRule="auto"/>
        <w:tabs>
          <w:tab w:leader="none" w:pos="24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To the extent the following Persons provide services to the corporation, the corporation shall compensate all directors, employees, consultants and agents directly, from corporation’s bank accounts, for services provided to the corporation by such directors, employees, consultants and agents, except to the extent that any director, employee, consultant or agent of the corporation is also a director, employee, consultant or agent of any of the Wynn NR Entities and the compensation of such director, employee, consultant or agent is allocated between the corporation and such Wynn NR Entities on a basis that reflects in a reasonable manner the services rendered to the corporation and such Wynn NR Entities.</w:t>
      </w:r>
    </w:p>
    <w:p>
      <w:pPr>
        <w:spacing w:after="0" w:line="102" w:lineRule="exact"/>
        <w:rPr>
          <w:rFonts w:ascii="Arial" w:cs="Arial" w:eastAsia="Arial" w:hAnsi="Arial"/>
          <w:sz w:val="16"/>
          <w:szCs w:val="16"/>
          <w:color w:val="auto"/>
        </w:rPr>
      </w:pPr>
    </w:p>
    <w:p>
      <w:pPr>
        <w:ind w:left="4760" w:hanging="112"/>
        <w:spacing w:after="0"/>
        <w:tabs>
          <w:tab w:leader="none" w:pos="47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480"/>
          </w:cols>
          <w:pgMar w:left="1160" w:top="280" w:right="25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8.5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w:t>
      </w:r>
    </w:p>
    <w:p>
      <w:pPr>
        <w:spacing w:after="0" w:line="77" w:lineRule="exact"/>
        <w:rPr>
          <w:sz w:val="20"/>
          <w:szCs w:val="20"/>
          <w:color w:val="auto"/>
        </w:rPr>
      </w:pPr>
    </w:p>
    <w:p>
      <w:pPr>
        <w:ind w:right="40" w:firstLine="1"/>
        <w:spacing w:after="0" w:line="286" w:lineRule="auto"/>
        <w:tabs>
          <w:tab w:leader="none" w:pos="239"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corporation shall conduct all transactions with any Wynn NR Entities on an arms’-length basis, excluding payment of certain management fees or distributions to the extent of available and unrestricted funds, and only as permitted by the agreements governing its indebtedness or other obligations. The corporation shall allocate all overhead expenses (including, without limitation, shared office space and telephone and other utility charges) for items shared between the corporation and such Wynn NR Entities on the basis of actual use to the extent practicable and, to the extent such allocation is not practicable, on a basis reasonably related to actual use. The corporation shall not commingle any funds or other assets with those of any Wynn NR Entities, and the corporation shall maintain its books, records, and accounts in a manner that appropriately reflects that its assets and liabilities are separate and apart from those of its Affiliates, including any Wynn NR Entities. The corporation will not acquire any obligations or securities of any Wynn NR Entities. For these purposes, the term “Affiliate” shall mean with respect to a specified Person, any other Person who or which is (i) directly or indirectly controlling, controlled by or under common control with the specified Person, or (ii) any member, stockholder, director, officer, manager, or comparable principal of, or relative or spouse of, the specified Person. For purposes of this definition, “control”, “controlling”, and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26" w:lineRule="exact"/>
        <w:rPr>
          <w:rFonts w:ascii="Arial" w:cs="Arial" w:eastAsia="Arial" w:hAnsi="Arial"/>
          <w:sz w:val="16"/>
          <w:szCs w:val="16"/>
          <w:color w:val="auto"/>
        </w:rPr>
      </w:pPr>
    </w:p>
    <w:p>
      <w:pPr>
        <w:ind w:firstLine="1"/>
        <w:spacing w:after="0" w:line="298" w:lineRule="auto"/>
        <w:tabs>
          <w:tab w:leader="none" w:pos="249" w:val="left"/>
        </w:tabs>
        <w:numPr>
          <w:ilvl w:val="0"/>
          <w:numId w:val="254"/>
        </w:numPr>
        <w:rPr>
          <w:rFonts w:ascii="Arial" w:cs="Arial" w:eastAsia="Arial" w:hAnsi="Arial"/>
          <w:sz w:val="16"/>
          <w:szCs w:val="16"/>
          <w:color w:val="auto"/>
        </w:rPr>
      </w:pPr>
      <w:r>
        <w:rPr>
          <w:rFonts w:ascii="Arial" w:cs="Arial" w:eastAsia="Arial" w:hAnsi="Arial"/>
          <w:sz w:val="16"/>
          <w:szCs w:val="16"/>
          <w:color w:val="auto"/>
        </w:rPr>
        <w:t>Except for master or blanket policies covering the corporation and any Affiliate(s) or the property of the corporation and Wynn NR Entities, the costs of which are allocated between the corporation and any Wynn NR Entities on a reasonable basis, the corporation will not permit itself to be named as an insured on the insurance policy covering the property of any Wynn NR Entities or enter into an agreement with the holder of such policy whereby in the event of a loss in connection with such property, proceeds are paid to the corporation.</w:t>
      </w:r>
    </w:p>
    <w:p>
      <w:pPr>
        <w:spacing w:after="0" w:line="18" w:lineRule="exact"/>
        <w:rPr>
          <w:rFonts w:ascii="Arial" w:cs="Arial" w:eastAsia="Arial" w:hAnsi="Arial"/>
          <w:sz w:val="16"/>
          <w:szCs w:val="16"/>
          <w:color w:val="auto"/>
        </w:rPr>
      </w:pPr>
    </w:p>
    <w:p>
      <w:pPr>
        <w:ind w:right="240" w:firstLine="1"/>
        <w:spacing w:after="0" w:line="268" w:lineRule="auto"/>
        <w:tabs>
          <w:tab w:leader="none" w:pos="23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corporation shall not permit any Wynn NR Entities to pay any part of the corporation’s operating expenses except pursuant to allocation arrangements that comply with the requirements of this Article VIII.”</w:t>
      </w:r>
    </w:p>
    <w:p>
      <w:pPr>
        <w:spacing w:after="0" w:line="118"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on following page</w:t>
      </w:r>
      <w:r>
        <w:rPr>
          <w:rFonts w:ascii="Arial" w:cs="Arial" w:eastAsia="Arial" w:hAnsi="Arial"/>
          <w:sz w:val="18"/>
          <w:szCs w:val="18"/>
          <w:color w:val="auto"/>
        </w:rPr>
        <w:t>]</w:t>
      </w:r>
    </w:p>
    <w:p>
      <w:pPr>
        <w:spacing w:after="0" w:line="158"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340"/>
          </w:cols>
          <w:pgMar w:left="1160" w:top="280" w:right="399" w:bottom="1440" w:gutter="0" w:footer="0" w:header="0"/>
        </w:sectPr>
      </w:pPr>
    </w:p>
    <w:bookmarkStart w:id="281" w:name="page282"/>
    <w:bookmarkEnd w:id="281"/>
    <w:p>
      <w:pPr>
        <w:ind w:left="5660" w:right="179" w:hanging="6390"/>
        <w:spacing w:after="0" w:line="5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has hereunto executed this Certificate of Amendment as of the 27th day of December, 2002.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-67945</wp:posOffset>
            </wp:positionV>
            <wp:extent cx="289877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Marc H. Rubinstein, Secretary</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9019"/>
          </w:cols>
          <w:pgMar w:left="1440" w:top="280" w:right="1440"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3.5</w:t>
      </w:r>
    </w:p>
    <w:p>
      <w:pPr>
        <w:spacing w:after="0" w:line="7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FIRST AMENDED AND RESTATED BYLAWS</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WYNN LAS VEGAS CAPITAL CORP.</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 Nevada corporation</w:t>
      </w:r>
    </w:p>
    <w:p>
      <w:pPr>
        <w:sectPr>
          <w:pgSz w:w="11900" w:h="16838" w:orient="portrait"/>
          <w:cols w:equalWidth="0" w:num="1">
            <w:col w:w="10220"/>
          </w:cols>
          <w:pgMar w:left="1440" w:top="125" w:right="2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1024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12"/>
        </w:trPr>
        <w:tc>
          <w:tcPr>
            <w:tcW w:w="820" w:type="dxa"/>
            <w:vAlign w:val="bottom"/>
          </w:tcPr>
          <w:p>
            <w:pPr>
              <w:spacing w:after="0"/>
              <w:rPr>
                <w:sz w:val="24"/>
                <w:szCs w:val="24"/>
                <w:color w:val="auto"/>
              </w:rPr>
            </w:pPr>
          </w:p>
        </w:tc>
        <w:tc>
          <w:tcPr>
            <w:tcW w:w="10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820" w:type="dxa"/>
            <w:vAlign w:val="bottom"/>
          </w:tcPr>
          <w:p>
            <w:pPr>
              <w:spacing w:after="0"/>
              <w:rPr>
                <w:sz w:val="8"/>
                <w:szCs w:val="8"/>
                <w:color w:val="auto"/>
              </w:rPr>
            </w:pPr>
          </w:p>
        </w:tc>
        <w:tc>
          <w:tcPr>
            <w:tcW w:w="102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Article I</w:t>
            </w:r>
          </w:p>
        </w:tc>
        <w:tc>
          <w:tcPr>
            <w:tcW w:w="10240" w:type="dxa"/>
            <w:vAlign w:val="bottom"/>
          </w:tcPr>
          <w:p>
            <w:pPr>
              <w:ind w:left="100"/>
              <w:spacing w:after="0"/>
              <w:rPr>
                <w:sz w:val="20"/>
                <w:szCs w:val="20"/>
                <w:color w:val="auto"/>
              </w:rPr>
            </w:pPr>
            <w:r>
              <w:rPr>
                <w:rFonts w:ascii="Arial" w:cs="Arial" w:eastAsia="Arial" w:hAnsi="Arial"/>
                <w:sz w:val="18"/>
                <w:szCs w:val="18"/>
                <w:color w:val="auto"/>
              </w:rPr>
              <w:t>STOCKHOLDERS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0240" w:type="dxa"/>
            <w:vAlign w:val="bottom"/>
          </w:tcPr>
          <w:p>
            <w:pPr>
              <w:ind w:left="100"/>
              <w:spacing w:after="0"/>
              <w:rPr>
                <w:sz w:val="20"/>
                <w:szCs w:val="20"/>
                <w:color w:val="auto"/>
              </w:rPr>
            </w:pPr>
            <w:r>
              <w:rPr>
                <w:rFonts w:ascii="Arial" w:cs="Arial" w:eastAsia="Arial" w:hAnsi="Arial"/>
                <w:sz w:val="18"/>
                <w:szCs w:val="18"/>
                <w:color w:val="auto"/>
              </w:rPr>
              <w:t>Annual Meeting</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024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240" w:type="dxa"/>
            <w:vAlign w:val="bottom"/>
          </w:tcPr>
          <w:p>
            <w:pPr>
              <w:ind w:left="100"/>
              <w:spacing w:after="0"/>
              <w:rPr>
                <w:sz w:val="20"/>
                <w:szCs w:val="20"/>
                <w:color w:val="auto"/>
              </w:rPr>
            </w:pPr>
            <w:r>
              <w:rPr>
                <w:rFonts w:ascii="Arial" w:cs="Arial" w:eastAsia="Arial" w:hAnsi="Arial"/>
                <w:sz w:val="18"/>
                <w:szCs w:val="18"/>
                <w:color w:val="auto"/>
              </w:rPr>
              <w:t>Place of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0240" w:type="dxa"/>
            <w:vAlign w:val="bottom"/>
          </w:tcPr>
          <w:p>
            <w:pPr>
              <w:ind w:left="100"/>
              <w:spacing w:after="0"/>
              <w:rPr>
                <w:sz w:val="20"/>
                <w:szCs w:val="20"/>
                <w:color w:val="auto"/>
              </w:rPr>
            </w:pPr>
            <w:r>
              <w:rPr>
                <w:rFonts w:ascii="Arial" w:cs="Arial" w:eastAsia="Arial" w:hAnsi="Arial"/>
                <w:sz w:val="18"/>
                <w:szCs w:val="18"/>
                <w:color w:val="auto"/>
              </w:rPr>
              <w:t>Notice of Meetings; Waiver of Notice.</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0240" w:type="dxa"/>
            <w:vAlign w:val="bottom"/>
          </w:tcPr>
          <w:p>
            <w:pPr>
              <w:ind w:left="100"/>
              <w:spacing w:after="0"/>
              <w:rPr>
                <w:sz w:val="20"/>
                <w:szCs w:val="20"/>
                <w:color w:val="auto"/>
              </w:rPr>
            </w:pPr>
            <w:r>
              <w:rPr>
                <w:rFonts w:ascii="Arial" w:cs="Arial" w:eastAsia="Arial" w:hAnsi="Arial"/>
                <w:sz w:val="18"/>
                <w:szCs w:val="18"/>
                <w:color w:val="auto"/>
              </w:rPr>
              <w:t>Meeting Without Notice.</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0240" w:type="dxa"/>
            <w:vAlign w:val="bottom"/>
          </w:tcPr>
          <w:p>
            <w:pPr>
              <w:ind w:left="100"/>
              <w:spacing w:after="0"/>
              <w:rPr>
                <w:sz w:val="20"/>
                <w:szCs w:val="20"/>
                <w:color w:val="auto"/>
              </w:rPr>
            </w:pPr>
            <w:r>
              <w:rPr>
                <w:rFonts w:ascii="Arial" w:cs="Arial" w:eastAsia="Arial" w:hAnsi="Arial"/>
                <w:sz w:val="18"/>
                <w:szCs w:val="18"/>
                <w:color w:val="auto"/>
              </w:rPr>
              <w:t>Determination of Stockholders of Record.</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0240" w:type="dxa"/>
            <w:vAlign w:val="bottom"/>
          </w:tcPr>
          <w:p>
            <w:pPr>
              <w:ind w:left="100"/>
              <w:spacing w:after="0"/>
              <w:rPr>
                <w:sz w:val="20"/>
                <w:szCs w:val="20"/>
                <w:color w:val="auto"/>
              </w:rPr>
            </w:pPr>
            <w:r>
              <w:rPr>
                <w:rFonts w:ascii="Arial" w:cs="Arial" w:eastAsia="Arial" w:hAnsi="Arial"/>
                <w:sz w:val="18"/>
                <w:szCs w:val="18"/>
                <w:color w:val="auto"/>
              </w:rPr>
              <w:t>Quorum; Adjourned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0240" w:type="dxa"/>
            <w:vAlign w:val="bottom"/>
          </w:tcPr>
          <w:p>
            <w:pPr>
              <w:ind w:left="100"/>
              <w:spacing w:after="0"/>
              <w:rPr>
                <w:sz w:val="20"/>
                <w:szCs w:val="20"/>
                <w:color w:val="auto"/>
              </w:rPr>
            </w:pPr>
            <w:r>
              <w:rPr>
                <w:rFonts w:ascii="Arial" w:cs="Arial" w:eastAsia="Arial" w:hAnsi="Arial"/>
                <w:sz w:val="18"/>
                <w:szCs w:val="18"/>
                <w:color w:val="auto"/>
              </w:rPr>
              <w:t>Voting; Manner of Acting.</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0240" w:type="dxa"/>
            <w:vAlign w:val="bottom"/>
          </w:tcPr>
          <w:p>
            <w:pPr>
              <w:ind w:left="100"/>
              <w:spacing w:after="0"/>
              <w:rPr>
                <w:sz w:val="20"/>
                <w:szCs w:val="20"/>
                <w:color w:val="auto"/>
              </w:rPr>
            </w:pPr>
            <w:r>
              <w:rPr>
                <w:rFonts w:ascii="Arial" w:cs="Arial" w:eastAsia="Arial" w:hAnsi="Arial"/>
                <w:sz w:val="18"/>
                <w:szCs w:val="18"/>
                <w:color w:val="auto"/>
              </w:rPr>
              <w:t>Proxies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0240" w:type="dxa"/>
            <w:vAlign w:val="bottom"/>
          </w:tcPr>
          <w:p>
            <w:pPr>
              <w:ind w:left="100"/>
              <w:spacing w:after="0"/>
              <w:rPr>
                <w:sz w:val="20"/>
                <w:szCs w:val="20"/>
                <w:color w:val="auto"/>
              </w:rPr>
            </w:pPr>
            <w:r>
              <w:rPr>
                <w:rFonts w:ascii="Arial" w:cs="Arial" w:eastAsia="Arial" w:hAnsi="Arial"/>
                <w:sz w:val="18"/>
                <w:szCs w:val="18"/>
                <w:color w:val="auto"/>
              </w:rPr>
              <w:t>Telephonic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0240" w:type="dxa"/>
            <w:vAlign w:val="bottom"/>
          </w:tcPr>
          <w:p>
            <w:pPr>
              <w:ind w:left="100"/>
              <w:spacing w:after="0"/>
              <w:rPr>
                <w:sz w:val="20"/>
                <w:szCs w:val="20"/>
                <w:color w:val="auto"/>
              </w:rPr>
            </w:pPr>
            <w:r>
              <w:rPr>
                <w:rFonts w:ascii="Arial" w:cs="Arial" w:eastAsia="Arial" w:hAnsi="Arial"/>
                <w:sz w:val="18"/>
                <w:szCs w:val="18"/>
                <w:color w:val="auto"/>
              </w:rPr>
              <w:t>Action Without Meeting</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0240" w:type="dxa"/>
            <w:vAlign w:val="bottom"/>
          </w:tcPr>
          <w:p>
            <w:pPr>
              <w:ind w:left="100"/>
              <w:spacing w:after="0"/>
              <w:rPr>
                <w:sz w:val="20"/>
                <w:szCs w:val="20"/>
                <w:color w:val="auto"/>
              </w:rPr>
            </w:pPr>
            <w:r>
              <w:rPr>
                <w:rFonts w:ascii="Arial" w:cs="Arial" w:eastAsia="Arial" w:hAnsi="Arial"/>
                <w:sz w:val="18"/>
                <w:szCs w:val="18"/>
                <w:color w:val="auto"/>
              </w:rPr>
              <w:t>Organization; Order of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Article II</w:t>
            </w:r>
          </w:p>
        </w:tc>
        <w:tc>
          <w:tcPr>
            <w:tcW w:w="10240" w:type="dxa"/>
            <w:vAlign w:val="bottom"/>
          </w:tcPr>
          <w:p>
            <w:pPr>
              <w:ind w:left="100"/>
              <w:spacing w:after="0"/>
              <w:rPr>
                <w:sz w:val="20"/>
                <w:szCs w:val="20"/>
                <w:color w:val="auto"/>
              </w:rPr>
            </w:pPr>
            <w:r>
              <w:rPr>
                <w:rFonts w:ascii="Arial" w:cs="Arial" w:eastAsia="Arial" w:hAnsi="Arial"/>
                <w:sz w:val="18"/>
                <w:szCs w:val="18"/>
                <w:color w:val="auto"/>
              </w:rPr>
              <w:t>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10240" w:type="dxa"/>
            <w:vAlign w:val="bottom"/>
          </w:tcPr>
          <w:p>
            <w:pPr>
              <w:ind w:left="100"/>
              <w:spacing w:after="0"/>
              <w:rPr>
                <w:sz w:val="20"/>
                <w:szCs w:val="20"/>
                <w:color w:val="auto"/>
              </w:rPr>
            </w:pPr>
            <w:r>
              <w:rPr>
                <w:rFonts w:ascii="Arial" w:cs="Arial" w:eastAsia="Arial" w:hAnsi="Arial"/>
                <w:sz w:val="18"/>
                <w:szCs w:val="18"/>
                <w:color w:val="auto"/>
              </w:rPr>
              <w:t>Number, Tenure, and Qualifications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10240" w:type="dxa"/>
            <w:vAlign w:val="bottom"/>
          </w:tcPr>
          <w:p>
            <w:pPr>
              <w:ind w:left="100"/>
              <w:spacing w:after="0"/>
              <w:rPr>
                <w:sz w:val="20"/>
                <w:szCs w:val="20"/>
                <w:color w:val="auto"/>
              </w:rPr>
            </w:pPr>
            <w:r>
              <w:rPr>
                <w:rFonts w:ascii="Arial" w:cs="Arial" w:eastAsia="Arial" w:hAnsi="Arial"/>
                <w:sz w:val="18"/>
                <w:szCs w:val="18"/>
                <w:color w:val="auto"/>
              </w:rPr>
              <w:t>Change In Number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10240" w:type="dxa"/>
            <w:vAlign w:val="bottom"/>
          </w:tcPr>
          <w:p>
            <w:pPr>
              <w:ind w:left="100"/>
              <w:spacing w:after="0"/>
              <w:rPr>
                <w:sz w:val="20"/>
                <w:szCs w:val="20"/>
                <w:color w:val="auto"/>
              </w:rPr>
            </w:pPr>
            <w:r>
              <w:rPr>
                <w:rFonts w:ascii="Arial" w:cs="Arial" w:eastAsia="Arial" w:hAnsi="Arial"/>
                <w:sz w:val="18"/>
                <w:szCs w:val="18"/>
                <w:color w:val="auto"/>
              </w:rPr>
              <w:t>Reduction In Number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10240" w:type="dxa"/>
            <w:vAlign w:val="bottom"/>
          </w:tcPr>
          <w:p>
            <w:pPr>
              <w:ind w:left="100"/>
              <w:spacing w:after="0"/>
              <w:rPr>
                <w:sz w:val="20"/>
                <w:szCs w:val="20"/>
                <w:color w:val="auto"/>
              </w:rPr>
            </w:pPr>
            <w:r>
              <w:rPr>
                <w:rFonts w:ascii="Arial" w:cs="Arial" w:eastAsia="Arial" w:hAnsi="Arial"/>
                <w:sz w:val="18"/>
                <w:szCs w:val="18"/>
                <w:color w:val="auto"/>
              </w:rPr>
              <w:t>Resignation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0240" w:type="dxa"/>
            <w:vAlign w:val="bottom"/>
          </w:tcPr>
          <w:p>
            <w:pPr>
              <w:ind w:left="100"/>
              <w:spacing w:after="0"/>
              <w:rPr>
                <w:sz w:val="20"/>
                <w:szCs w:val="20"/>
                <w:color w:val="auto"/>
              </w:rPr>
            </w:pPr>
            <w:r>
              <w:rPr>
                <w:rFonts w:ascii="Arial" w:cs="Arial" w:eastAsia="Arial" w:hAnsi="Arial"/>
                <w:sz w:val="18"/>
                <w:szCs w:val="18"/>
                <w:color w:val="auto"/>
              </w:rPr>
              <w:t>Removal.</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2.06</w:t>
            </w:r>
          </w:p>
        </w:tc>
        <w:tc>
          <w:tcPr>
            <w:tcW w:w="1024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2.07</w:t>
            </w:r>
          </w:p>
        </w:tc>
        <w:tc>
          <w:tcPr>
            <w:tcW w:w="10240" w:type="dxa"/>
            <w:vAlign w:val="bottom"/>
          </w:tcPr>
          <w:p>
            <w:pPr>
              <w:ind w:left="100"/>
              <w:spacing w:after="0"/>
              <w:rPr>
                <w:sz w:val="20"/>
                <w:szCs w:val="20"/>
                <w:color w:val="auto"/>
              </w:rPr>
            </w:pPr>
            <w:r>
              <w:rPr>
                <w:rFonts w:ascii="Arial" w:cs="Arial" w:eastAsia="Arial" w:hAnsi="Arial"/>
                <w:sz w:val="18"/>
                <w:szCs w:val="18"/>
                <w:color w:val="auto"/>
              </w:rPr>
              <w:t>Annual and Regular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1024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0240" w:type="dxa"/>
            <w:vAlign w:val="bottom"/>
          </w:tcPr>
          <w:p>
            <w:pPr>
              <w:ind w:left="100"/>
              <w:spacing w:after="0"/>
              <w:rPr>
                <w:sz w:val="20"/>
                <w:szCs w:val="20"/>
                <w:color w:val="auto"/>
              </w:rPr>
            </w:pPr>
            <w:r>
              <w:rPr>
                <w:rFonts w:ascii="Arial" w:cs="Arial" w:eastAsia="Arial" w:hAnsi="Arial"/>
                <w:sz w:val="18"/>
                <w:szCs w:val="18"/>
                <w:color w:val="auto"/>
              </w:rPr>
              <w:t>Place of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2.10</w:t>
            </w:r>
          </w:p>
        </w:tc>
        <w:tc>
          <w:tcPr>
            <w:tcW w:w="10240" w:type="dxa"/>
            <w:vAlign w:val="bottom"/>
          </w:tcPr>
          <w:p>
            <w:pPr>
              <w:ind w:left="100"/>
              <w:spacing w:after="0"/>
              <w:rPr>
                <w:sz w:val="20"/>
                <w:szCs w:val="20"/>
                <w:color w:val="auto"/>
              </w:rPr>
            </w:pPr>
            <w:r>
              <w:rPr>
                <w:rFonts w:ascii="Arial" w:cs="Arial" w:eastAsia="Arial" w:hAnsi="Arial"/>
                <w:sz w:val="18"/>
                <w:szCs w:val="18"/>
                <w:color w:val="auto"/>
              </w:rPr>
              <w:t>Notice of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0240" w:type="dxa"/>
            <w:vAlign w:val="bottom"/>
          </w:tcPr>
          <w:p>
            <w:pPr>
              <w:ind w:left="100"/>
              <w:spacing w:after="0"/>
              <w:rPr>
                <w:sz w:val="20"/>
                <w:szCs w:val="20"/>
                <w:color w:val="auto"/>
              </w:rPr>
            </w:pPr>
            <w:r>
              <w:rPr>
                <w:rFonts w:ascii="Arial" w:cs="Arial" w:eastAsia="Arial" w:hAnsi="Arial"/>
                <w:sz w:val="18"/>
                <w:szCs w:val="18"/>
                <w:color w:val="auto"/>
              </w:rPr>
              <w:t>Quorum; Adjourned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10240" w:type="dxa"/>
            <w:vAlign w:val="bottom"/>
          </w:tcPr>
          <w:p>
            <w:pPr>
              <w:ind w:left="100"/>
              <w:spacing w:after="0"/>
              <w:rPr>
                <w:sz w:val="20"/>
                <w:szCs w:val="20"/>
                <w:color w:val="auto"/>
              </w:rPr>
            </w:pPr>
            <w:r>
              <w:rPr>
                <w:rFonts w:ascii="Arial" w:cs="Arial" w:eastAsia="Arial" w:hAnsi="Arial"/>
                <w:sz w:val="18"/>
                <w:szCs w:val="18"/>
                <w:color w:val="auto"/>
              </w:rPr>
              <w:t>Manner of Acting</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2.13</w:t>
            </w:r>
          </w:p>
        </w:tc>
        <w:tc>
          <w:tcPr>
            <w:tcW w:w="10240" w:type="dxa"/>
            <w:vAlign w:val="bottom"/>
          </w:tcPr>
          <w:p>
            <w:pPr>
              <w:ind w:left="100"/>
              <w:spacing w:after="0"/>
              <w:rPr>
                <w:sz w:val="20"/>
                <w:szCs w:val="20"/>
                <w:color w:val="auto"/>
              </w:rPr>
            </w:pPr>
            <w:r>
              <w:rPr>
                <w:rFonts w:ascii="Arial" w:cs="Arial" w:eastAsia="Arial" w:hAnsi="Arial"/>
                <w:sz w:val="18"/>
                <w:szCs w:val="18"/>
                <w:color w:val="auto"/>
              </w:rPr>
              <w:t>Telephonic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10240" w:type="dxa"/>
            <w:vAlign w:val="bottom"/>
          </w:tcPr>
          <w:p>
            <w:pPr>
              <w:ind w:left="100"/>
              <w:spacing w:after="0"/>
              <w:rPr>
                <w:sz w:val="20"/>
                <w:szCs w:val="20"/>
                <w:color w:val="auto"/>
              </w:rPr>
            </w:pPr>
            <w:r>
              <w:rPr>
                <w:rFonts w:ascii="Arial" w:cs="Arial" w:eastAsia="Arial" w:hAnsi="Arial"/>
                <w:sz w:val="18"/>
                <w:szCs w:val="18"/>
                <w:color w:val="auto"/>
              </w:rPr>
              <w:t>Action Without Meeting</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0240" w:type="dxa"/>
            <w:vAlign w:val="bottom"/>
          </w:tcPr>
          <w:p>
            <w:pPr>
              <w:ind w:left="100"/>
              <w:spacing w:after="0"/>
              <w:rPr>
                <w:sz w:val="20"/>
                <w:szCs w:val="20"/>
                <w:color w:val="auto"/>
              </w:rPr>
            </w:pPr>
            <w:r>
              <w:rPr>
                <w:rFonts w:ascii="Arial" w:cs="Arial" w:eastAsia="Arial" w:hAnsi="Arial"/>
                <w:sz w:val="18"/>
                <w:szCs w:val="18"/>
                <w:color w:val="auto"/>
              </w:rPr>
              <w:t>Powers and Duties.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1024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10240" w:type="dxa"/>
            <w:vAlign w:val="bottom"/>
          </w:tcPr>
          <w:p>
            <w:pPr>
              <w:ind w:left="100"/>
              <w:spacing w:after="0"/>
              <w:rPr>
                <w:sz w:val="20"/>
                <w:szCs w:val="20"/>
                <w:color w:val="auto"/>
              </w:rPr>
            </w:pPr>
            <w:r>
              <w:rPr>
                <w:rFonts w:ascii="Arial" w:cs="Arial" w:eastAsia="Arial" w:hAnsi="Arial"/>
                <w:sz w:val="18"/>
                <w:szCs w:val="18"/>
                <w:color w:val="auto"/>
              </w:rPr>
              <w:t>Organization; Order of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820" w:type="dxa"/>
            <w:vAlign w:val="bottom"/>
          </w:tcPr>
          <w:p>
            <w:pPr>
              <w:jc w:val="right"/>
              <w:ind w:right="12"/>
              <w:spacing w:after="0"/>
              <w:rPr>
                <w:sz w:val="20"/>
                <w:szCs w:val="20"/>
                <w:color w:val="auto"/>
              </w:rPr>
            </w:pPr>
            <w:r>
              <w:rPr>
                <w:rFonts w:ascii="Arial" w:cs="Arial" w:eastAsia="Arial" w:hAnsi="Arial"/>
                <w:sz w:val="18"/>
                <w:szCs w:val="18"/>
                <w:color w:val="auto"/>
                <w:w w:val="99"/>
              </w:rPr>
              <w:t>Article III</w:t>
            </w:r>
          </w:p>
        </w:tc>
        <w:tc>
          <w:tcPr>
            <w:tcW w:w="10240" w:type="dxa"/>
            <w:vAlign w:val="bottom"/>
          </w:tcPr>
          <w:p>
            <w:pPr>
              <w:ind w:left="100"/>
              <w:spacing w:after="0"/>
              <w:rPr>
                <w:sz w:val="20"/>
                <w:szCs w:val="20"/>
                <w:color w:val="auto"/>
              </w:rPr>
            </w:pPr>
            <w:r>
              <w:rPr>
                <w:rFonts w:ascii="Arial" w:cs="Arial" w:eastAsia="Arial" w:hAnsi="Arial"/>
                <w:sz w:val="18"/>
                <w:szCs w:val="18"/>
                <w:color w:val="auto"/>
              </w:rPr>
              <w:t>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10240" w:type="dxa"/>
            <w:vAlign w:val="bottom"/>
          </w:tcPr>
          <w:p>
            <w:pPr>
              <w:ind w:left="100"/>
              <w:spacing w:after="0"/>
              <w:rPr>
                <w:sz w:val="20"/>
                <w:szCs w:val="20"/>
                <w:color w:val="auto"/>
              </w:rPr>
            </w:pPr>
            <w:r>
              <w:rPr>
                <w:rFonts w:ascii="Arial" w:cs="Arial" w:eastAsia="Arial" w:hAnsi="Arial"/>
                <w:sz w:val="18"/>
                <w:szCs w:val="18"/>
                <w:color w:val="auto"/>
              </w:rPr>
              <w:t>Election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3.02</w:t>
            </w:r>
          </w:p>
        </w:tc>
        <w:tc>
          <w:tcPr>
            <w:tcW w:w="10240" w:type="dxa"/>
            <w:vAlign w:val="bottom"/>
          </w:tcPr>
          <w:p>
            <w:pPr>
              <w:ind w:left="100"/>
              <w:spacing w:after="0"/>
              <w:rPr>
                <w:sz w:val="20"/>
                <w:szCs w:val="20"/>
                <w:color w:val="auto"/>
              </w:rPr>
            </w:pPr>
            <w:r>
              <w:rPr>
                <w:rFonts w:ascii="Arial" w:cs="Arial" w:eastAsia="Arial" w:hAnsi="Arial"/>
                <w:sz w:val="18"/>
                <w:szCs w:val="18"/>
                <w:color w:val="auto"/>
              </w:rPr>
              <w:t>Removal; Resignation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1024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3.04</w:t>
            </w:r>
          </w:p>
        </w:tc>
        <w:tc>
          <w:tcPr>
            <w:tcW w:w="10240" w:type="dxa"/>
            <w:vAlign w:val="bottom"/>
          </w:tcPr>
          <w:p>
            <w:pPr>
              <w:ind w:left="100"/>
              <w:spacing w:after="0"/>
              <w:rPr>
                <w:sz w:val="20"/>
                <w:szCs w:val="20"/>
                <w:color w:val="auto"/>
              </w:rPr>
            </w:pPr>
            <w:r>
              <w:rPr>
                <w:rFonts w:ascii="Arial" w:cs="Arial" w:eastAsia="Arial" w:hAnsi="Arial"/>
                <w:sz w:val="18"/>
                <w:szCs w:val="18"/>
                <w:color w:val="auto"/>
              </w:rPr>
              <w:t>President; Chief Executive Officer</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3.05</w:t>
            </w:r>
          </w:p>
        </w:tc>
        <w:tc>
          <w:tcPr>
            <w:tcW w:w="10240" w:type="dxa"/>
            <w:vAlign w:val="bottom"/>
          </w:tcPr>
          <w:p>
            <w:pPr>
              <w:ind w:left="100"/>
              <w:spacing w:after="0"/>
              <w:rPr>
                <w:sz w:val="20"/>
                <w:szCs w:val="20"/>
                <w:color w:val="auto"/>
              </w:rPr>
            </w:pPr>
            <w:r>
              <w:rPr>
                <w:rFonts w:ascii="Arial" w:cs="Arial" w:eastAsia="Arial" w:hAnsi="Arial"/>
                <w:sz w:val="18"/>
                <w:szCs w:val="18"/>
                <w:color w:val="auto"/>
              </w:rPr>
              <w:t>Vice Presidents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10240" w:type="dxa"/>
            <w:vAlign w:val="bottom"/>
          </w:tcPr>
          <w:p>
            <w:pPr>
              <w:ind w:left="100"/>
              <w:spacing w:after="0"/>
              <w:rPr>
                <w:sz w:val="20"/>
                <w:szCs w:val="20"/>
                <w:color w:val="auto"/>
              </w:rPr>
            </w:pPr>
            <w:r>
              <w:rPr>
                <w:rFonts w:ascii="Arial" w:cs="Arial" w:eastAsia="Arial" w:hAnsi="Arial"/>
                <w:sz w:val="18"/>
                <w:szCs w:val="18"/>
                <w:color w:val="auto"/>
              </w:rPr>
              <w:t>Secretary</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3.07</w:t>
            </w:r>
          </w:p>
        </w:tc>
        <w:tc>
          <w:tcPr>
            <w:tcW w:w="10240" w:type="dxa"/>
            <w:vAlign w:val="bottom"/>
          </w:tcPr>
          <w:p>
            <w:pPr>
              <w:ind w:left="100"/>
              <w:spacing w:after="0"/>
              <w:rPr>
                <w:sz w:val="20"/>
                <w:szCs w:val="20"/>
                <w:color w:val="auto"/>
              </w:rPr>
            </w:pPr>
            <w:r>
              <w:rPr>
                <w:rFonts w:ascii="Arial" w:cs="Arial" w:eastAsia="Arial" w:hAnsi="Arial"/>
                <w:sz w:val="18"/>
                <w:szCs w:val="18"/>
                <w:color w:val="auto"/>
              </w:rPr>
              <w:t>Assistant Secretaries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3.08</w:t>
            </w:r>
          </w:p>
        </w:tc>
        <w:tc>
          <w:tcPr>
            <w:tcW w:w="10240" w:type="dxa"/>
            <w:vAlign w:val="bottom"/>
          </w:tcPr>
          <w:p>
            <w:pPr>
              <w:ind w:left="100"/>
              <w:spacing w:after="0"/>
              <w:rPr>
                <w:sz w:val="20"/>
                <w:szCs w:val="20"/>
                <w:color w:val="auto"/>
              </w:rPr>
            </w:pPr>
            <w:r>
              <w:rPr>
                <w:rFonts w:ascii="Arial" w:cs="Arial" w:eastAsia="Arial" w:hAnsi="Arial"/>
                <w:sz w:val="18"/>
                <w:szCs w:val="18"/>
                <w:color w:val="auto"/>
              </w:rPr>
              <w:t>Treasurer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10240" w:type="dxa"/>
            <w:vAlign w:val="bottom"/>
          </w:tcPr>
          <w:p>
            <w:pPr>
              <w:ind w:left="100"/>
              <w:spacing w:after="0"/>
              <w:rPr>
                <w:sz w:val="20"/>
                <w:szCs w:val="20"/>
                <w:color w:val="auto"/>
              </w:rPr>
            </w:pPr>
            <w:r>
              <w:rPr>
                <w:rFonts w:ascii="Arial" w:cs="Arial" w:eastAsia="Arial" w:hAnsi="Arial"/>
                <w:sz w:val="18"/>
                <w:szCs w:val="18"/>
                <w:color w:val="auto"/>
              </w:rPr>
              <w:t>Assistant Treasurers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3.10</w:t>
            </w:r>
          </w:p>
        </w:tc>
        <w:tc>
          <w:tcPr>
            <w:tcW w:w="10240" w:type="dxa"/>
            <w:vAlign w:val="bottom"/>
          </w:tcPr>
          <w:p>
            <w:pPr>
              <w:ind w:left="100"/>
              <w:spacing w:after="0"/>
              <w:rPr>
                <w:sz w:val="20"/>
                <w:szCs w:val="20"/>
                <w:color w:val="auto"/>
              </w:rPr>
            </w:pPr>
            <w:r>
              <w:rPr>
                <w:rFonts w:ascii="Arial" w:cs="Arial" w:eastAsia="Arial" w:hAnsi="Arial"/>
                <w:sz w:val="18"/>
                <w:szCs w:val="18"/>
                <w:color w:val="auto"/>
              </w:rPr>
              <w:t>Chairman of the Board</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82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10240" w:type="dxa"/>
            <w:vAlign w:val="bottom"/>
          </w:tcPr>
          <w:p>
            <w:pPr>
              <w:ind w:left="100"/>
              <w:spacing w:after="0"/>
              <w:rPr>
                <w:sz w:val="20"/>
                <w:szCs w:val="20"/>
                <w:color w:val="auto"/>
              </w:rPr>
            </w:pPr>
            <w:r>
              <w:rPr>
                <w:rFonts w:ascii="Arial" w:cs="Arial" w:eastAsia="Arial" w:hAnsi="Arial"/>
                <w:sz w:val="18"/>
                <w:szCs w:val="18"/>
                <w:color w:val="auto"/>
              </w:rPr>
              <w:t>Execution of Negotiable Instruments, Deeds and 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40"/>
          </w:cols>
          <w:pgMar w:left="320" w:top="274" w:right="23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174"/>
        </w:trPr>
        <w:tc>
          <w:tcPr>
            <w:tcW w:w="940" w:type="dxa"/>
            <w:vAlign w:val="bottom"/>
          </w:tcPr>
          <w:p>
            <w:pPr>
              <w:spacing w:after="0"/>
              <w:rPr>
                <w:sz w:val="15"/>
                <w:szCs w:val="15"/>
                <w:color w:val="auto"/>
              </w:rPr>
            </w:pPr>
          </w:p>
        </w:tc>
        <w:tc>
          <w:tcPr>
            <w:tcW w:w="10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940" w:type="dxa"/>
            <w:vAlign w:val="bottom"/>
          </w:tcPr>
          <w:p>
            <w:pPr>
              <w:spacing w:after="0"/>
              <w:rPr>
                <w:sz w:val="8"/>
                <w:szCs w:val="8"/>
                <w:color w:val="auto"/>
              </w:rPr>
            </w:pPr>
          </w:p>
        </w:tc>
        <w:tc>
          <w:tcPr>
            <w:tcW w:w="101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Article IV</w:t>
            </w:r>
          </w:p>
        </w:tc>
        <w:tc>
          <w:tcPr>
            <w:tcW w:w="10140" w:type="dxa"/>
            <w:vAlign w:val="bottom"/>
          </w:tcPr>
          <w:p>
            <w:pPr>
              <w:ind w:left="120"/>
              <w:spacing w:after="0"/>
              <w:rPr>
                <w:sz w:val="20"/>
                <w:szCs w:val="20"/>
                <w:color w:val="auto"/>
              </w:rPr>
            </w:pPr>
            <w:r>
              <w:rPr>
                <w:rFonts w:ascii="Arial" w:cs="Arial" w:eastAsia="Arial" w:hAnsi="Arial"/>
                <w:sz w:val="18"/>
                <w:szCs w:val="18"/>
                <w:color w:val="auto"/>
              </w:rPr>
              <w:t>CAPITAL STOCK</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4.01</w:t>
            </w:r>
          </w:p>
        </w:tc>
        <w:tc>
          <w:tcPr>
            <w:tcW w:w="10140" w:type="dxa"/>
            <w:vAlign w:val="bottom"/>
          </w:tcPr>
          <w:p>
            <w:pPr>
              <w:ind w:left="120"/>
              <w:spacing w:after="0"/>
              <w:rPr>
                <w:sz w:val="20"/>
                <w:szCs w:val="20"/>
                <w:color w:val="auto"/>
              </w:rPr>
            </w:pPr>
            <w:r>
              <w:rPr>
                <w:rFonts w:ascii="Arial" w:cs="Arial" w:eastAsia="Arial" w:hAnsi="Arial"/>
                <w:sz w:val="18"/>
                <w:szCs w:val="18"/>
                <w:color w:val="auto"/>
              </w:rPr>
              <w:t>Issuance</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4.02</w:t>
            </w:r>
          </w:p>
        </w:tc>
        <w:tc>
          <w:tcPr>
            <w:tcW w:w="10140" w:type="dxa"/>
            <w:vAlign w:val="bottom"/>
          </w:tcPr>
          <w:p>
            <w:pPr>
              <w:ind w:left="120"/>
              <w:spacing w:after="0"/>
              <w:rPr>
                <w:sz w:val="20"/>
                <w:szCs w:val="20"/>
                <w:color w:val="auto"/>
              </w:rPr>
            </w:pPr>
            <w:r>
              <w:rPr>
                <w:rFonts w:ascii="Arial" w:cs="Arial" w:eastAsia="Arial" w:hAnsi="Arial"/>
                <w:sz w:val="18"/>
                <w:szCs w:val="18"/>
                <w:color w:val="auto"/>
              </w:rPr>
              <w:t>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4.03</w:t>
            </w:r>
          </w:p>
        </w:tc>
        <w:tc>
          <w:tcPr>
            <w:tcW w:w="10140" w:type="dxa"/>
            <w:vAlign w:val="bottom"/>
          </w:tcPr>
          <w:p>
            <w:pPr>
              <w:ind w:left="120"/>
              <w:spacing w:after="0"/>
              <w:rPr>
                <w:sz w:val="20"/>
                <w:szCs w:val="20"/>
                <w:color w:val="auto"/>
              </w:rPr>
            </w:pPr>
            <w:r>
              <w:rPr>
                <w:rFonts w:ascii="Arial" w:cs="Arial" w:eastAsia="Arial" w:hAnsi="Arial"/>
                <w:sz w:val="18"/>
                <w:szCs w:val="18"/>
                <w:color w:val="auto"/>
              </w:rPr>
              <w:t>Surrendered; Lost or Destroyed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4.04</w:t>
            </w:r>
          </w:p>
        </w:tc>
        <w:tc>
          <w:tcPr>
            <w:tcW w:w="10140" w:type="dxa"/>
            <w:vAlign w:val="bottom"/>
          </w:tcPr>
          <w:p>
            <w:pPr>
              <w:ind w:left="120"/>
              <w:spacing w:after="0"/>
              <w:rPr>
                <w:sz w:val="20"/>
                <w:szCs w:val="20"/>
                <w:color w:val="auto"/>
              </w:rPr>
            </w:pPr>
            <w:r>
              <w:rPr>
                <w:rFonts w:ascii="Arial" w:cs="Arial" w:eastAsia="Arial" w:hAnsi="Arial"/>
                <w:sz w:val="18"/>
                <w:szCs w:val="18"/>
                <w:color w:val="auto"/>
              </w:rPr>
              <w:t>Replacement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4.05</w:t>
            </w:r>
          </w:p>
        </w:tc>
        <w:tc>
          <w:tcPr>
            <w:tcW w:w="10140" w:type="dxa"/>
            <w:vAlign w:val="bottom"/>
          </w:tcPr>
          <w:p>
            <w:pPr>
              <w:ind w:left="120"/>
              <w:spacing w:after="0"/>
              <w:rPr>
                <w:sz w:val="20"/>
                <w:szCs w:val="20"/>
                <w:color w:val="auto"/>
              </w:rPr>
            </w:pPr>
            <w:r>
              <w:rPr>
                <w:rFonts w:ascii="Arial" w:cs="Arial" w:eastAsia="Arial" w:hAnsi="Arial"/>
                <w:sz w:val="18"/>
                <w:szCs w:val="18"/>
                <w:color w:val="auto"/>
              </w:rPr>
              <w:t>Transfer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4.06</w:t>
            </w:r>
          </w:p>
        </w:tc>
        <w:tc>
          <w:tcPr>
            <w:tcW w:w="10140" w:type="dxa"/>
            <w:vAlign w:val="bottom"/>
          </w:tcPr>
          <w:p>
            <w:pPr>
              <w:ind w:left="120"/>
              <w:spacing w:after="0"/>
              <w:rPr>
                <w:sz w:val="20"/>
                <w:szCs w:val="20"/>
                <w:color w:val="auto"/>
              </w:rPr>
            </w:pPr>
            <w:r>
              <w:rPr>
                <w:rFonts w:ascii="Arial" w:cs="Arial" w:eastAsia="Arial" w:hAnsi="Arial"/>
                <w:sz w:val="18"/>
                <w:szCs w:val="18"/>
                <w:color w:val="auto"/>
              </w:rPr>
              <w:t>Transfer Agent; Registrars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4.07</w:t>
            </w:r>
          </w:p>
        </w:tc>
        <w:tc>
          <w:tcPr>
            <w:tcW w:w="10140" w:type="dxa"/>
            <w:vAlign w:val="bottom"/>
          </w:tcPr>
          <w:p>
            <w:pPr>
              <w:ind w:left="120"/>
              <w:spacing w:after="0"/>
              <w:rPr>
                <w:sz w:val="20"/>
                <w:szCs w:val="20"/>
                <w:color w:val="auto"/>
              </w:rPr>
            </w:pPr>
            <w:r>
              <w:rPr>
                <w:rFonts w:ascii="Arial" w:cs="Arial" w:eastAsia="Arial" w:hAnsi="Arial"/>
                <w:sz w:val="18"/>
                <w:szCs w:val="18"/>
                <w:color w:val="auto"/>
              </w:rPr>
              <w:t>Stock Transfer Records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4.08</w:t>
            </w:r>
          </w:p>
        </w:tc>
        <w:tc>
          <w:tcPr>
            <w:tcW w:w="1014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Article V</w:t>
            </w:r>
          </w:p>
        </w:tc>
        <w:tc>
          <w:tcPr>
            <w:tcW w:w="10140" w:type="dxa"/>
            <w:vAlign w:val="bottom"/>
          </w:tcPr>
          <w:p>
            <w:pPr>
              <w:ind w:left="120"/>
              <w:spacing w:after="0"/>
              <w:rPr>
                <w:sz w:val="20"/>
                <w:szCs w:val="20"/>
                <w:color w:val="auto"/>
              </w:rPr>
            </w:pPr>
            <w:r>
              <w:rPr>
                <w:rFonts w:ascii="Arial" w:cs="Arial" w:eastAsia="Arial" w:hAnsi="Arial"/>
                <w:sz w:val="18"/>
                <w:szCs w:val="18"/>
                <w:color w:val="auto"/>
              </w:rPr>
              <w:t>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5.01</w:t>
            </w:r>
          </w:p>
        </w:tc>
        <w:tc>
          <w:tcPr>
            <w:tcW w:w="10140" w:type="dxa"/>
            <w:vAlign w:val="bottom"/>
          </w:tcPr>
          <w:p>
            <w:pPr>
              <w:ind w:left="120"/>
              <w:spacing w:after="0"/>
              <w:rPr>
                <w:sz w:val="20"/>
                <w:szCs w:val="20"/>
                <w:color w:val="auto"/>
              </w:rPr>
            </w:pPr>
            <w:r>
              <w:rPr>
                <w:rFonts w:ascii="Arial" w:cs="Arial" w:eastAsia="Arial" w:hAnsi="Arial"/>
                <w:sz w:val="18"/>
                <w:szCs w:val="18"/>
                <w:color w:val="auto"/>
              </w:rPr>
              <w:t>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Article VI</w:t>
            </w:r>
          </w:p>
        </w:tc>
        <w:tc>
          <w:tcPr>
            <w:tcW w:w="10140" w:type="dxa"/>
            <w:vAlign w:val="bottom"/>
          </w:tcPr>
          <w:p>
            <w:pPr>
              <w:ind w:left="120"/>
              <w:spacing w:after="0"/>
              <w:rPr>
                <w:sz w:val="20"/>
                <w:szCs w:val="20"/>
                <w:color w:val="auto"/>
              </w:rPr>
            </w:pPr>
            <w:r>
              <w:rPr>
                <w:rFonts w:ascii="Arial" w:cs="Arial" w:eastAsia="Arial" w:hAnsi="Arial"/>
                <w:sz w:val="18"/>
                <w:szCs w:val="18"/>
                <w:color w:val="auto"/>
              </w:rPr>
              <w:t>RECORDS; REPORTS; SEAL; AND FINANCIAL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6.01</w:t>
            </w:r>
          </w:p>
        </w:tc>
        <w:tc>
          <w:tcPr>
            <w:tcW w:w="10140" w:type="dxa"/>
            <w:vAlign w:val="bottom"/>
          </w:tcPr>
          <w:p>
            <w:pPr>
              <w:ind w:left="120"/>
              <w:spacing w:after="0"/>
              <w:rPr>
                <w:sz w:val="20"/>
                <w:szCs w:val="20"/>
                <w:color w:val="auto"/>
              </w:rPr>
            </w:pPr>
            <w:r>
              <w:rPr>
                <w:rFonts w:ascii="Arial" w:cs="Arial" w:eastAsia="Arial" w:hAnsi="Arial"/>
                <w:sz w:val="18"/>
                <w:szCs w:val="18"/>
                <w:color w:val="auto"/>
              </w:rPr>
              <w:t>Records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6.02</w:t>
            </w:r>
          </w:p>
        </w:tc>
        <w:tc>
          <w:tcPr>
            <w:tcW w:w="10140" w:type="dxa"/>
            <w:vAlign w:val="bottom"/>
          </w:tcPr>
          <w:p>
            <w:pPr>
              <w:ind w:left="120"/>
              <w:spacing w:after="0"/>
              <w:rPr>
                <w:sz w:val="20"/>
                <w:szCs w:val="20"/>
                <w:color w:val="auto"/>
              </w:rPr>
            </w:pPr>
            <w:r>
              <w:rPr>
                <w:rFonts w:ascii="Arial" w:cs="Arial" w:eastAsia="Arial" w:hAnsi="Arial"/>
                <w:sz w:val="18"/>
                <w:szCs w:val="18"/>
                <w:color w:val="auto"/>
              </w:rPr>
              <w:t>Directors’ and Officers’ Right of Inspection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6.03</w:t>
            </w:r>
          </w:p>
        </w:tc>
        <w:tc>
          <w:tcPr>
            <w:tcW w:w="10140" w:type="dxa"/>
            <w:vAlign w:val="bottom"/>
          </w:tcPr>
          <w:p>
            <w:pPr>
              <w:ind w:left="120"/>
              <w:spacing w:after="0"/>
              <w:rPr>
                <w:sz w:val="20"/>
                <w:szCs w:val="20"/>
                <w:color w:val="auto"/>
              </w:rPr>
            </w:pPr>
            <w:r>
              <w:rPr>
                <w:rFonts w:ascii="Arial" w:cs="Arial" w:eastAsia="Arial" w:hAnsi="Arial"/>
                <w:sz w:val="18"/>
                <w:szCs w:val="18"/>
                <w:color w:val="auto"/>
              </w:rPr>
              <w:t>Corporate Seal</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6.04</w:t>
            </w:r>
          </w:p>
        </w:tc>
        <w:tc>
          <w:tcPr>
            <w:tcW w:w="10140" w:type="dxa"/>
            <w:vAlign w:val="bottom"/>
          </w:tcPr>
          <w:p>
            <w:pPr>
              <w:ind w:left="120"/>
              <w:spacing w:after="0"/>
              <w:rPr>
                <w:sz w:val="20"/>
                <w:szCs w:val="20"/>
                <w:color w:val="auto"/>
              </w:rPr>
            </w:pPr>
            <w:r>
              <w:rPr>
                <w:rFonts w:ascii="Arial" w:cs="Arial" w:eastAsia="Arial" w:hAnsi="Arial"/>
                <w:sz w:val="18"/>
                <w:szCs w:val="18"/>
                <w:color w:val="auto"/>
              </w:rPr>
              <w:t>Fiscal Year-End</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6.05</w:t>
            </w:r>
          </w:p>
        </w:tc>
        <w:tc>
          <w:tcPr>
            <w:tcW w:w="10140" w:type="dxa"/>
            <w:vAlign w:val="bottom"/>
          </w:tcPr>
          <w:p>
            <w:pPr>
              <w:ind w:left="120"/>
              <w:spacing w:after="0"/>
              <w:rPr>
                <w:sz w:val="20"/>
                <w:szCs w:val="20"/>
                <w:color w:val="auto"/>
              </w:rPr>
            </w:pPr>
            <w:r>
              <w:rPr>
                <w:rFonts w:ascii="Arial" w:cs="Arial" w:eastAsia="Arial" w:hAnsi="Arial"/>
                <w:sz w:val="18"/>
                <w:szCs w:val="18"/>
                <w:color w:val="auto"/>
              </w:rPr>
              <w:t>Reserves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Article VII</w:t>
            </w:r>
          </w:p>
        </w:tc>
        <w:tc>
          <w:tcPr>
            <w:tcW w:w="1014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7.01</w:t>
            </w:r>
          </w:p>
        </w:tc>
        <w:tc>
          <w:tcPr>
            <w:tcW w:w="10140" w:type="dxa"/>
            <w:vAlign w:val="bottom"/>
          </w:tcPr>
          <w:p>
            <w:pPr>
              <w:ind w:left="120"/>
              <w:spacing w:after="0"/>
              <w:rPr>
                <w:sz w:val="20"/>
                <w:szCs w:val="20"/>
                <w:color w:val="auto"/>
              </w:rPr>
            </w:pPr>
            <w:r>
              <w:rPr>
                <w:rFonts w:ascii="Arial" w:cs="Arial" w:eastAsia="Arial" w:hAnsi="Arial"/>
                <w:sz w:val="18"/>
                <w:szCs w:val="18"/>
                <w:color w:val="auto"/>
              </w:rPr>
              <w:t>Indemnification and 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1014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940" w:type="dxa"/>
            <w:vAlign w:val="bottom"/>
          </w:tcPr>
          <w:p>
            <w:pPr>
              <w:jc w:val="right"/>
              <w:ind w:right="12"/>
              <w:spacing w:after="0"/>
              <w:rPr>
                <w:sz w:val="20"/>
                <w:szCs w:val="20"/>
                <w:color w:val="auto"/>
              </w:rPr>
            </w:pPr>
            <w:r>
              <w:rPr>
                <w:rFonts w:ascii="Arial" w:cs="Arial" w:eastAsia="Arial" w:hAnsi="Arial"/>
                <w:sz w:val="18"/>
                <w:szCs w:val="18"/>
                <w:color w:val="auto"/>
                <w:w w:val="99"/>
              </w:rPr>
              <w:t>Article VIII</w:t>
            </w:r>
          </w:p>
        </w:tc>
        <w:tc>
          <w:tcPr>
            <w:tcW w:w="10140" w:type="dxa"/>
            <w:vAlign w:val="bottom"/>
          </w:tcPr>
          <w:p>
            <w:pPr>
              <w:ind w:left="120"/>
              <w:spacing w:after="0"/>
              <w:rPr>
                <w:sz w:val="20"/>
                <w:szCs w:val="20"/>
                <w:color w:val="auto"/>
              </w:rPr>
            </w:pPr>
            <w:r>
              <w:rPr>
                <w:rFonts w:ascii="Arial" w:cs="Arial" w:eastAsia="Arial" w:hAnsi="Arial"/>
                <w:sz w:val="18"/>
                <w:szCs w:val="18"/>
                <w:color w:val="auto"/>
              </w:rPr>
              <w:t>AMENDMENT OR REPEAL</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8.01</w:t>
            </w:r>
          </w:p>
        </w:tc>
        <w:tc>
          <w:tcPr>
            <w:tcW w:w="10140" w:type="dxa"/>
            <w:vAlign w:val="bottom"/>
          </w:tcPr>
          <w:p>
            <w:pPr>
              <w:ind w:left="120"/>
              <w:spacing w:after="0"/>
              <w:rPr>
                <w:sz w:val="20"/>
                <w:szCs w:val="20"/>
                <w:color w:val="auto"/>
              </w:rPr>
            </w:pPr>
            <w:r>
              <w:rPr>
                <w:rFonts w:ascii="Arial" w:cs="Arial" w:eastAsia="Arial" w:hAnsi="Arial"/>
                <w:sz w:val="18"/>
                <w:szCs w:val="18"/>
                <w:color w:val="auto"/>
              </w:rPr>
              <w:t>Amendment or Repeal</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Article IX</w:t>
            </w:r>
          </w:p>
        </w:tc>
        <w:tc>
          <w:tcPr>
            <w:tcW w:w="10140" w:type="dxa"/>
            <w:vAlign w:val="bottom"/>
          </w:tcPr>
          <w:p>
            <w:pPr>
              <w:ind w:left="120"/>
              <w:spacing w:after="0"/>
              <w:rPr>
                <w:sz w:val="20"/>
                <w:szCs w:val="20"/>
                <w:color w:val="auto"/>
              </w:rPr>
            </w:pPr>
            <w:r>
              <w:rPr>
                <w:rFonts w:ascii="Arial" w:cs="Arial" w:eastAsia="Arial" w:hAnsi="Arial"/>
                <w:sz w:val="18"/>
                <w:szCs w:val="18"/>
                <w:color w:val="auto"/>
              </w:rPr>
              <w:t>CHANGES IN NEVADA LAW</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9.01</w:t>
            </w:r>
          </w:p>
        </w:tc>
        <w:tc>
          <w:tcPr>
            <w:tcW w:w="10140" w:type="dxa"/>
            <w:vAlign w:val="bottom"/>
          </w:tcPr>
          <w:p>
            <w:pPr>
              <w:ind w:left="120"/>
              <w:spacing w:after="0"/>
              <w:rPr>
                <w:sz w:val="20"/>
                <w:szCs w:val="20"/>
                <w:color w:val="auto"/>
              </w:rPr>
            </w:pPr>
            <w:r>
              <w:rPr>
                <w:rFonts w:ascii="Arial" w:cs="Arial" w:eastAsia="Arial" w:hAnsi="Arial"/>
                <w:sz w:val="18"/>
                <w:szCs w:val="18"/>
                <w:color w:val="auto"/>
              </w:rPr>
              <w:t>Changes in Nevada Law</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Article X</w:t>
            </w:r>
          </w:p>
        </w:tc>
        <w:tc>
          <w:tcPr>
            <w:tcW w:w="10140" w:type="dxa"/>
            <w:vAlign w:val="bottom"/>
          </w:tcPr>
          <w:p>
            <w:pPr>
              <w:ind w:left="120"/>
              <w:spacing w:after="0"/>
              <w:rPr>
                <w:sz w:val="20"/>
                <w:szCs w:val="20"/>
                <w:color w:val="auto"/>
              </w:rPr>
            </w:pPr>
            <w:r>
              <w:rPr>
                <w:rFonts w:ascii="Arial" w:cs="Arial" w:eastAsia="Arial" w:hAnsi="Arial"/>
                <w:sz w:val="18"/>
                <w:szCs w:val="18"/>
                <w:color w:val="auto"/>
              </w:rPr>
              <w:t>SEPARATENESS COVENANTS AND CORPORATION RESTRICTIONS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0140" w:type="dxa"/>
            <w:vAlign w:val="bottom"/>
          </w:tcPr>
          <w:p>
            <w:pPr>
              <w:ind w:left="120"/>
              <w:spacing w:after="0"/>
              <w:rPr>
                <w:sz w:val="20"/>
                <w:szCs w:val="20"/>
                <w:color w:val="auto"/>
              </w:rPr>
            </w:pPr>
            <w:r>
              <w:rPr>
                <w:rFonts w:ascii="Arial" w:cs="Arial" w:eastAsia="Arial" w:hAnsi="Arial"/>
                <w:sz w:val="18"/>
                <w:szCs w:val="18"/>
                <w:color w:val="auto"/>
              </w:rPr>
              <w:t>Conduct</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0140" w:type="dxa"/>
            <w:vAlign w:val="bottom"/>
          </w:tcPr>
          <w:p>
            <w:pPr>
              <w:ind w:left="120"/>
              <w:spacing w:after="0"/>
              <w:rPr>
                <w:sz w:val="20"/>
                <w:szCs w:val="20"/>
                <w:color w:val="auto"/>
              </w:rPr>
            </w:pPr>
            <w:r>
              <w:rPr>
                <w:rFonts w:ascii="Arial" w:cs="Arial" w:eastAsia="Arial" w:hAnsi="Arial"/>
                <w:sz w:val="18"/>
                <w:szCs w:val="18"/>
                <w:color w:val="auto"/>
              </w:rPr>
              <w:t>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140" w:type="dxa"/>
            <w:vAlign w:val="bottom"/>
          </w:tcPr>
          <w:p>
            <w:pPr>
              <w:ind w:left="120"/>
              <w:spacing w:after="0"/>
              <w:rPr>
                <w:sz w:val="20"/>
                <w:szCs w:val="20"/>
                <w:color w:val="auto"/>
              </w:rPr>
            </w:pPr>
            <w:r>
              <w:rPr>
                <w:rFonts w:ascii="Arial" w:cs="Arial" w:eastAsia="Arial" w:hAnsi="Arial"/>
                <w:sz w:val="18"/>
                <w:szCs w:val="18"/>
                <w:color w:val="auto"/>
              </w:rPr>
              <w:t>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0140" w:type="dxa"/>
            <w:vAlign w:val="bottom"/>
          </w:tcPr>
          <w:p>
            <w:pPr>
              <w:ind w:left="120"/>
              <w:spacing w:after="0"/>
              <w:rPr>
                <w:sz w:val="20"/>
                <w:szCs w:val="20"/>
                <w:color w:val="auto"/>
              </w:rPr>
            </w:pPr>
            <w:r>
              <w:rPr>
                <w:rFonts w:ascii="Arial" w:cs="Arial" w:eastAsia="Arial" w:hAnsi="Arial"/>
                <w:sz w:val="18"/>
                <w:szCs w:val="18"/>
                <w:color w:val="auto"/>
              </w:rPr>
              <w:t>Employees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0140" w:type="dxa"/>
            <w:vAlign w:val="bottom"/>
          </w:tcPr>
          <w:p>
            <w:pPr>
              <w:ind w:left="120"/>
              <w:spacing w:after="0"/>
              <w:rPr>
                <w:sz w:val="20"/>
                <w:szCs w:val="20"/>
                <w:color w:val="auto"/>
              </w:rPr>
            </w:pPr>
            <w:r>
              <w:rPr>
                <w:rFonts w:ascii="Arial" w:cs="Arial" w:eastAsia="Arial" w:hAnsi="Arial"/>
                <w:sz w:val="18"/>
                <w:szCs w:val="18"/>
                <w:color w:val="auto"/>
              </w:rPr>
              <w:t>Affiliate Transactions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0140" w:type="dxa"/>
            <w:vAlign w:val="bottom"/>
          </w:tcPr>
          <w:p>
            <w:pPr>
              <w:ind w:left="120"/>
              <w:spacing w:after="0"/>
              <w:rPr>
                <w:sz w:val="20"/>
                <w:szCs w:val="20"/>
                <w:color w:val="auto"/>
              </w:rPr>
            </w:pPr>
            <w:r>
              <w:rPr>
                <w:rFonts w:ascii="Arial" w:cs="Arial" w:eastAsia="Arial" w:hAnsi="Arial"/>
                <w:sz w:val="18"/>
                <w:szCs w:val="18"/>
                <w:color w:val="auto"/>
              </w:rPr>
              <w:t>Other Limitations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60"/>
          </w:cols>
          <w:pgMar w:left="300" w:top="275" w:right="239" w:bottom="1440" w:gutter="0" w:footer="0" w:header="0"/>
        </w:sectPr>
      </w:pPr>
    </w:p>
    <w:bookmarkStart w:id="285" w:name="page286"/>
    <w:bookmarkEnd w:id="2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FIRST AMENDED AND RESTATED BYLAWS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CAPITAL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Nevada corporation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Annual Meeting</w:t>
      </w:r>
      <w:r>
        <w:rPr>
          <w:rFonts w:ascii="Arial" w:cs="Arial" w:eastAsia="Arial" w:hAnsi="Arial"/>
          <w:sz w:val="16"/>
          <w:szCs w:val="16"/>
          <w:color w:val="auto"/>
        </w:rPr>
        <w:t>. An annual meeting of the stockholders of the corporation shall be held at 2:00 p.m., local time, on the third Thursday of May, in each year, commencing after the first anniversary of incorporation, but if such date is a Saturday, Sunday or legal holiday, then on the next succeeding business day, for the purpose of electing directors of the corporation to serve during the ensuing year and for the transaction of such other business as may properly come before the meeting. If the election of the directors is not held on the day designated herein for any annual meeting of the stockholders, or at any adjournment thereof, the president shall cause the election to be held at a special meeting of the stockholders as soon thereafter as is convenient.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77" w:lineRule="exact"/>
        <w:rPr>
          <w:sz w:val="20"/>
          <w:szCs w:val="20"/>
          <w:color w:val="auto"/>
        </w:rPr>
      </w:pPr>
    </w:p>
    <w:p>
      <w:pPr>
        <w:jc w:val="both"/>
        <w:ind w:right="200" w:firstLine="921"/>
        <w:spacing w:after="0" w:line="259" w:lineRule="auto"/>
        <w:tabs>
          <w:tab w:leader="none" w:pos="115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Special meetings of the stockholders may be called by the chairman of the board, if any, or the president and shall be called by the chairman, if any, the president or the Board of Directors at the written request of the holders of not less than a majority of the voting power of any class of the corporation’s stock entitled to vote.</w:t>
      </w:r>
    </w:p>
    <w:p>
      <w:pPr>
        <w:spacing w:after="0" w:line="126"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 business shall be acted upon at a special meeting except as set forth in the notice calling the meeting, unless one of the conditions for the holding of a meeting without notice set forth in Section 1.05 shall be satisfied, in which case any business may be transacted and the meeting shall be valid for all purposes.</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Place of Meetings</w:t>
      </w:r>
      <w:r>
        <w:rPr>
          <w:rFonts w:ascii="Arial" w:cs="Arial" w:eastAsia="Arial" w:hAnsi="Arial"/>
          <w:sz w:val="18"/>
          <w:szCs w:val="18"/>
          <w:color w:val="auto"/>
        </w:rPr>
        <w:t>. Any meeting of the stockholders of the corporation may be held at its registered office in the State of Nevada or at such other place in or out of the State of Nevada and the United States as the Board of Directors may designate. A waiver of notice signed by stockholders entitled to vote may designate any place for the holding of such meeting.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Notice of Meetings; Waiver of Notice</w:t>
      </w:r>
      <w:r>
        <w:rPr>
          <w:rFonts w:ascii="Arial" w:cs="Arial" w:eastAsia="Arial" w:hAnsi="Arial"/>
          <w:sz w:val="18"/>
          <w:szCs w:val="18"/>
          <w:color w:val="auto"/>
        </w:rPr>
        <w:t>.</w:t>
      </w:r>
    </w:p>
    <w:p>
      <w:pPr>
        <w:spacing w:after="0" w:line="77" w:lineRule="exact"/>
        <w:rPr>
          <w:sz w:val="20"/>
          <w:szCs w:val="20"/>
          <w:color w:val="auto"/>
        </w:rPr>
      </w:pPr>
    </w:p>
    <w:p>
      <w:pPr>
        <w:ind w:right="180" w:firstLine="921"/>
        <w:spacing w:after="0" w:line="306" w:lineRule="auto"/>
        <w:tabs>
          <w:tab w:leader="none" w:pos="1152"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president, a vice president, the secretary, an assistant secretary or any other individual designated by the Board of Directors shall sign and deliver, or cause to be delivered, written notice to the stockholders of any stockholders’ meeting at least ten (10) days, but not more than sixty (60) days, before the date of such meeting. The notice shall state the place, date and time of the meeting and the purpose or purposes for which the meeting is called.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86" w:name="page287"/>
    <w:bookmarkEnd w:id="286"/>
    <w:p>
      <w:pPr>
        <w:ind w:left="-60" w:firstLine="921"/>
        <w:spacing w:after="0" w:line="268" w:lineRule="auto"/>
        <w:tabs>
          <w:tab w:leader="none" w:pos="1102"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an annual meeting, any proper business may be presented for action, except that action on any of the following items shall be taken only if the general nature of the proposal is stated in the notice:</w:t>
      </w:r>
    </w:p>
    <w:p>
      <w:pPr>
        <w:spacing w:after="0" w:line="37" w:lineRule="exact"/>
        <w:rPr>
          <w:rFonts w:ascii="Arial" w:cs="Arial" w:eastAsia="Arial" w:hAnsi="Arial"/>
          <w:sz w:val="18"/>
          <w:szCs w:val="18"/>
          <w:color w:val="auto"/>
        </w:rPr>
      </w:pPr>
    </w:p>
    <w:p>
      <w:pPr>
        <w:ind w:left="-60" w:right="380" w:firstLine="1492"/>
        <w:spacing w:after="0" w:line="259" w:lineRule="auto"/>
        <w:tabs>
          <w:tab w:leader="none" w:pos="1633"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Action with respect to any contract or transaction between the corporation and one or more of its directors or officers or between the corporation and any corporation, firm or association in which one or more of the corporation’s directors or officers is a director or officer or is financially interested;</w:t>
      </w:r>
    </w:p>
    <w:p>
      <w:pPr>
        <w:spacing w:after="0" w:line="126" w:lineRule="exact"/>
        <w:rPr>
          <w:rFonts w:ascii="Arial" w:cs="Arial" w:eastAsia="Arial" w:hAnsi="Arial"/>
          <w:sz w:val="18"/>
          <w:szCs w:val="18"/>
          <w:color w:val="auto"/>
        </w:rPr>
      </w:pPr>
    </w:p>
    <w:p>
      <w:pPr>
        <w:ind w:left="1700" w:hanging="268"/>
        <w:spacing w:after="0"/>
        <w:tabs>
          <w:tab w:leader="none" w:pos="17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Adoption of amendments to the Articles of Incorporation; or</w:t>
      </w:r>
    </w:p>
    <w:p>
      <w:pPr>
        <w:spacing w:after="0" w:line="157" w:lineRule="exact"/>
        <w:rPr>
          <w:rFonts w:ascii="Arial" w:cs="Arial" w:eastAsia="Arial" w:hAnsi="Arial"/>
          <w:sz w:val="18"/>
          <w:szCs w:val="18"/>
          <w:color w:val="auto"/>
        </w:rPr>
      </w:pPr>
    </w:p>
    <w:p>
      <w:pPr>
        <w:ind w:left="1740" w:hanging="308"/>
        <w:spacing w:after="0"/>
        <w:tabs>
          <w:tab w:leader="none" w:pos="174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Action with respect to a merger, share exchange, reorganization, partial or complete liquidation, or dissolution of the corporation.</w:t>
      </w:r>
    </w:p>
    <w:p>
      <w:pPr>
        <w:spacing w:after="0" w:line="180" w:lineRule="exact"/>
        <w:rPr>
          <w:rFonts w:ascii="Arial" w:cs="Arial" w:eastAsia="Arial" w:hAnsi="Arial"/>
          <w:sz w:val="16"/>
          <w:szCs w:val="16"/>
          <w:color w:val="auto"/>
        </w:rPr>
      </w:pPr>
    </w:p>
    <w:p>
      <w:pPr>
        <w:ind w:left="-60" w:right="100" w:firstLine="921"/>
        <w:spacing w:after="0" w:line="256" w:lineRule="auto"/>
        <w:tabs>
          <w:tab w:leader="none" w:pos="109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copy of the notice shall be personally delivered or mailed postage prepaid to each stockholder of record entitled to vote at the meeting at the address appearing on the records of the corporation, and the notice shall be deemed delivered the date the same is deposited in the United States mail for transmission to such stockholder. If the address of any stockholder does not appear upon the records of the corporation, it will be sufficient to address any notice to such stockholder at the registered office of the corporation.</w:t>
      </w:r>
    </w:p>
    <w:p>
      <w:pPr>
        <w:spacing w:after="0" w:line="129" w:lineRule="exact"/>
        <w:rPr>
          <w:rFonts w:ascii="Arial" w:cs="Arial" w:eastAsia="Arial" w:hAnsi="Arial"/>
          <w:sz w:val="18"/>
          <w:szCs w:val="18"/>
          <w:color w:val="auto"/>
        </w:rPr>
      </w:pPr>
    </w:p>
    <w:p>
      <w:pPr>
        <w:ind w:left="-60" w:right="140" w:firstLine="921"/>
        <w:spacing w:after="0" w:line="259" w:lineRule="auto"/>
        <w:tabs>
          <w:tab w:leader="none" w:pos="109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written certificate of the individual signing a notice of meeting, setting forth the substance of the notice or having a copy thereof attached, the date the notice was mailed or personally delivered to the stockholders and the addresses to which the notice was mailed, shall be prima facie evidence of the manner and fact of giving such notice.</w:t>
      </w:r>
    </w:p>
    <w:p>
      <w:pPr>
        <w:spacing w:after="0" w:line="126" w:lineRule="exact"/>
        <w:rPr>
          <w:rFonts w:ascii="Arial" w:cs="Arial" w:eastAsia="Arial" w:hAnsi="Arial"/>
          <w:sz w:val="18"/>
          <w:szCs w:val="18"/>
          <w:color w:val="auto"/>
        </w:rPr>
      </w:pPr>
    </w:p>
    <w:p>
      <w:pPr>
        <w:ind w:left="-60" w:right="80" w:firstLine="921"/>
        <w:spacing w:after="0" w:line="291" w:lineRule="auto"/>
        <w:tabs>
          <w:tab w:leader="none" w:pos="109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Any stockholder may waive notice of any meeting by a signed writing, either before or after the meeting. Such waiver of notice shall be deemed the equivalent of the giving of such notice. Attendance of a person at a meeting shall also constitute waiver of notice of such meeting, except when the person objects at the beginning of the meeting to the transaction of any business because the meeting is not lawfully called or convened and except that attendance at a meeting is not a waiver of any right to object to the consideration of matters not properly included in the notice itself if such objection is expressly made at the time such matters are presented at the meeting. Neither the business to be transacted at nor the purpose of any regular or special meeting needs to be specified in any written waiver or notice or consent except as may be provided otherwise by these Bylaws.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Meeting Without Notice</w:t>
      </w:r>
      <w:r>
        <w:rPr>
          <w:rFonts w:ascii="Arial" w:cs="Arial" w:eastAsia="Arial" w:hAnsi="Arial"/>
          <w:sz w:val="18"/>
          <w:szCs w:val="18"/>
          <w:color w:val="auto"/>
        </w:rPr>
        <w:t>.</w:t>
      </w:r>
    </w:p>
    <w:p>
      <w:pPr>
        <w:spacing w:after="0" w:line="77" w:lineRule="exact"/>
        <w:rPr>
          <w:sz w:val="20"/>
          <w:szCs w:val="20"/>
          <w:color w:val="auto"/>
        </w:rPr>
      </w:pPr>
    </w:p>
    <w:p>
      <w:pPr>
        <w:jc w:val="both"/>
        <w:ind w:left="-60" w:right="20" w:firstLine="921"/>
        <w:spacing w:after="0" w:line="259" w:lineRule="auto"/>
        <w:tabs>
          <w:tab w:leader="none" w:pos="109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Whenever all persons entitled to vote at any meeting consent, either by: (i) a writing on the records of the meeting or filed with the secretary, (ii) presence at such meeting and oral consent entered on the minutes, or (iii) taking part in the deliberations at such meeting without objection, such meeting shall be as valid as if a meeting regularly called and noticed.</w:t>
      </w:r>
    </w:p>
    <w:p>
      <w:pPr>
        <w:spacing w:after="0" w:line="126" w:lineRule="exact"/>
        <w:rPr>
          <w:rFonts w:ascii="Arial" w:cs="Arial" w:eastAsia="Arial" w:hAnsi="Arial"/>
          <w:sz w:val="18"/>
          <w:szCs w:val="18"/>
          <w:color w:val="auto"/>
        </w:rPr>
      </w:pPr>
    </w:p>
    <w:p>
      <w:pPr>
        <w:ind w:left="-60" w:right="20" w:firstLine="921"/>
        <w:spacing w:after="0" w:line="268" w:lineRule="auto"/>
        <w:tabs>
          <w:tab w:leader="none" w:pos="110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At such meeting any business may be transacted which is not excepted from the written consent or to the consideration of which no objection for want of notice is made at the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300" w:top="280" w:right="279" w:bottom="1440" w:gutter="0" w:footer="0" w:header="0"/>
        </w:sectPr>
      </w:pPr>
    </w:p>
    <w:bookmarkStart w:id="287" w:name="page288"/>
    <w:bookmarkEnd w:id="287"/>
    <w:p>
      <w:pPr>
        <w:jc w:val="both"/>
        <w:ind w:left="-20" w:right="20" w:firstLine="921"/>
        <w:spacing w:after="0" w:line="259" w:lineRule="auto"/>
        <w:tabs>
          <w:tab w:leader="none" w:pos="1132" w:val="left"/>
        </w:tabs>
        <w:numPr>
          <w:ilvl w:val="0"/>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meeting be irregular for want of notice or of such consent, provided a quorum was present at such meeting, the proceedings of the meeting may be ratified and approved and rendered likewise valid and the irregularity or defect therein waived by a writing signed by all parties having the right to vote at such meeting.</w:t>
      </w:r>
    </w:p>
    <w:p>
      <w:pPr>
        <w:spacing w:after="0" w:line="126" w:lineRule="exact"/>
        <w:rPr>
          <w:rFonts w:ascii="Arial" w:cs="Arial" w:eastAsia="Arial" w:hAnsi="Arial"/>
          <w:sz w:val="18"/>
          <w:szCs w:val="18"/>
          <w:color w:val="auto"/>
        </w:rPr>
      </w:pPr>
    </w:p>
    <w:p>
      <w:pPr>
        <w:ind w:left="1140" w:hanging="239"/>
        <w:spacing w:after="0"/>
        <w:tabs>
          <w:tab w:leader="none" w:pos="11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Such consent or approval may be by proxy or power of attorney, but all such proxies and powers of attorney must be in writing.</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Determination of Stockholders of Record</w:t>
      </w:r>
      <w:r>
        <w:rPr>
          <w:rFonts w:ascii="Arial" w:cs="Arial" w:eastAsia="Arial" w:hAnsi="Arial"/>
          <w:sz w:val="18"/>
          <w:szCs w:val="18"/>
          <w:color w:val="auto"/>
        </w:rPr>
        <w:t>.</w:t>
      </w:r>
    </w:p>
    <w:p>
      <w:pPr>
        <w:spacing w:after="0" w:line="77" w:lineRule="exact"/>
        <w:rPr>
          <w:sz w:val="20"/>
          <w:szCs w:val="20"/>
          <w:color w:val="auto"/>
        </w:rPr>
      </w:pPr>
    </w:p>
    <w:p>
      <w:pPr>
        <w:ind w:left="-20" w:right="60" w:firstLine="921"/>
        <w:spacing w:after="0" w:line="255" w:lineRule="auto"/>
        <w:tabs>
          <w:tab w:leader="none" w:pos="113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For the purpose of determining the stockholders entitled to notice of and to vote at any meeting of stockholders or any adjournment thereof, or to express consent to corporate action in writing without a meeting, or entitled to receive payment of any distribution or the allotment of any rights, or entitled to exercise any rights in respect of any change, conversion, or exchange of stock or for the purpose of any other lawful action, the directors may fix, in advance, a record date, which shall not be more than sixty (60) days nor less than ten (10) days before the date of such meeting, nor more than sixty (60) days prior to any other action.</w:t>
      </w:r>
    </w:p>
    <w:p>
      <w:pPr>
        <w:spacing w:after="0" w:line="129" w:lineRule="exact"/>
        <w:rPr>
          <w:rFonts w:ascii="Arial" w:cs="Arial" w:eastAsia="Arial" w:hAnsi="Arial"/>
          <w:sz w:val="18"/>
          <w:szCs w:val="18"/>
          <w:color w:val="auto"/>
        </w:rPr>
      </w:pPr>
    </w:p>
    <w:p>
      <w:pPr>
        <w:ind w:left="-20" w:right="20" w:firstLine="921"/>
        <w:spacing w:after="0" w:line="291" w:lineRule="auto"/>
        <w:tabs>
          <w:tab w:leader="none" w:pos="1142"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If no record date is fixed, the record date for determining stockholders: (i) entitled to notice of and to vote at a meeting of stockholders shall be at the close of business on the day next preceding the day on which notice is given, or, if notice is waived, at the close of business on the day next preceding the day on which the meeting is held; (ii) entitled to express consent to corporate action in writing without a meeting shall be the day on which the first written consent is expressed; and (iii) for any other purpose shall be at the close of business on the day on which the Board of Directors adopts the resolution relating thereto. A determination of stockholders of record entitled to notice of or to vote at any meeting of stockholders shall apply to any adjournment of the meeting; provided, however, that the Board of Directors may fix a new record date for the adjourned meeting.</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Quorum; Adjourned Meetings</w:t>
      </w:r>
      <w:r>
        <w:rPr>
          <w:rFonts w:ascii="Arial" w:cs="Arial" w:eastAsia="Arial" w:hAnsi="Arial"/>
          <w:sz w:val="18"/>
          <w:szCs w:val="18"/>
          <w:color w:val="auto"/>
        </w:rPr>
        <w:t>.</w:t>
      </w:r>
    </w:p>
    <w:p>
      <w:pPr>
        <w:spacing w:after="0" w:line="77" w:lineRule="exact"/>
        <w:rPr>
          <w:sz w:val="20"/>
          <w:szCs w:val="20"/>
          <w:color w:val="auto"/>
        </w:rPr>
      </w:pPr>
    </w:p>
    <w:p>
      <w:pPr>
        <w:ind w:left="-20" w:right="20" w:firstLine="921"/>
        <w:spacing w:after="0" w:line="256" w:lineRule="auto"/>
        <w:tabs>
          <w:tab w:leader="none" w:pos="113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Unless the Articles of Incorporation provide for a different proportion, stockholders holding at least a majority of the voting power of the corporation’s capital stock, represented in person or by proxy, are necessary to constitute a quorum for the transaction of business at any meeting. If, on any issue, voting by classes is required by the laws of the State of Nevada, the Articles of Incorporation or these Bylaws, at least a majority of the voting power within each such class is necessary to constitute a quorum of each such class.</w:t>
      </w:r>
    </w:p>
    <w:p>
      <w:pPr>
        <w:spacing w:after="0" w:line="129" w:lineRule="exact"/>
        <w:rPr>
          <w:rFonts w:ascii="Arial" w:cs="Arial" w:eastAsia="Arial" w:hAnsi="Arial"/>
          <w:sz w:val="18"/>
          <w:szCs w:val="18"/>
          <w:color w:val="auto"/>
        </w:rPr>
      </w:pPr>
    </w:p>
    <w:p>
      <w:pPr>
        <w:ind w:left="-20" w:firstLine="921"/>
        <w:spacing w:after="0" w:line="318" w:lineRule="auto"/>
        <w:tabs>
          <w:tab w:leader="none" w:pos="1142" w:val="left"/>
        </w:tabs>
        <w:numPr>
          <w:ilvl w:val="0"/>
          <w:numId w:val="261"/>
        </w:numPr>
        <w:rPr>
          <w:rFonts w:ascii="Arial" w:cs="Arial" w:eastAsia="Arial" w:hAnsi="Arial"/>
          <w:sz w:val="15"/>
          <w:szCs w:val="15"/>
          <w:color w:val="auto"/>
        </w:rPr>
      </w:pPr>
      <w:r>
        <w:rPr>
          <w:rFonts w:ascii="Arial" w:cs="Arial" w:eastAsia="Arial" w:hAnsi="Arial"/>
          <w:sz w:val="15"/>
          <w:szCs w:val="15"/>
          <w:color w:val="auto"/>
        </w:rPr>
        <w:t>If a quorum is not represented, a majority of the voting power so represented may adjourn the meeting from time to time until a quorum shall be represented. At any such adjourned meeting at which a quorum shall be represented, any business may be transacted which might have been transacted as originally called. When a stockholders’ meeting is adjourned to another time or place hereunder, notice need not be given of the adjourned meeting if the time and place thereof are announced at the meeting at which the adjournment is taken. The stockholders present at a duly convened meeting at which a quorum is present may continue to transact business until adjournment, notwithstanding the withdrawal of enough stockholders to leave less than a quorum of the voting power.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288" w:name="page289"/>
    <w:bookmarkEnd w:id="28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1.08 </w:t>
      </w:r>
      <w:r>
        <w:rPr>
          <w:rFonts w:ascii="Arial" w:cs="Arial" w:eastAsia="Arial" w:hAnsi="Arial"/>
          <w:sz w:val="18"/>
          <w:szCs w:val="18"/>
          <w:u w:val="single" w:color="auto"/>
          <w:color w:val="auto"/>
        </w:rPr>
        <w:t>Voting; Manner of Acting</w:t>
      </w:r>
      <w:r>
        <w:rPr>
          <w:rFonts w:ascii="Arial" w:cs="Arial" w:eastAsia="Arial" w:hAnsi="Arial"/>
          <w:sz w:val="18"/>
          <w:szCs w:val="18"/>
          <w:color w:val="auto"/>
        </w:rPr>
        <w:t>.</w:t>
      </w:r>
    </w:p>
    <w:p>
      <w:pPr>
        <w:spacing w:after="0" w:line="77" w:lineRule="exact"/>
        <w:rPr>
          <w:sz w:val="20"/>
          <w:szCs w:val="20"/>
          <w:color w:val="auto"/>
        </w:rPr>
      </w:pPr>
    </w:p>
    <w:p>
      <w:pPr>
        <w:ind w:left="-20" w:right="20" w:firstLine="921"/>
        <w:spacing w:after="0" w:line="256" w:lineRule="auto"/>
        <w:tabs>
          <w:tab w:leader="none" w:pos="113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Unless otherwise provided in the Articles of Incorporation, or in the resolution providing for the issuance of the preferred stock adopted by the Board of Directors pursuant to authority expressly vested in it by the provisions of the Articles of Incorporation, each stockholder of record, or such stockholder’s duly authorized proxy or attorney-in-fact, shall be entitled to one (1) vote for each share of voting stock standing registered in such stockholder’s name on the record date.</w:t>
      </w:r>
    </w:p>
    <w:p>
      <w:pPr>
        <w:spacing w:after="0" w:line="129" w:lineRule="exact"/>
        <w:rPr>
          <w:rFonts w:ascii="Arial" w:cs="Arial" w:eastAsia="Arial" w:hAnsi="Arial"/>
          <w:sz w:val="18"/>
          <w:szCs w:val="18"/>
          <w:color w:val="auto"/>
        </w:rPr>
      </w:pPr>
    </w:p>
    <w:p>
      <w:pPr>
        <w:ind w:left="-20" w:firstLine="921"/>
        <w:spacing w:after="0" w:line="290" w:lineRule="auto"/>
        <w:tabs>
          <w:tab w:leader="none" w:pos="114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Except as otherwise provided herein, all votes with respect to shares standing in the name of an individual on the record date (including pledged shares) shall be cast only by that individual or such individual’s duly authorized proxy, attorney-in-fact, or voting trustee(s) pursuant to a voting trust. With respect to shares held by a representative of the estate of a deceased stockholder, guardian, conservator, custodian or trustee, votes may be cast by such holder upon proof of such representative capacity, even though the shares do not stand in the name of such holder. In the case of shares under the control of a receiver, the receiver may cast votes carried by such shares even though the shares do not stand in the name of the receiver; provided, that the order of a court of competent jurisdiction which appoints the receiver contains the authority to cast votes carried by such shares. If shares stand in the name of a minor, votes may be cast only by the duly appointed guardian of the estate of such minor if such guardian has provided the corporation with written proof of such appointment.</w:t>
      </w:r>
    </w:p>
    <w:p>
      <w:pPr>
        <w:spacing w:after="0" w:line="104" w:lineRule="exact"/>
        <w:rPr>
          <w:rFonts w:ascii="Arial" w:cs="Arial" w:eastAsia="Arial" w:hAnsi="Arial"/>
          <w:sz w:val="16"/>
          <w:szCs w:val="16"/>
          <w:color w:val="auto"/>
        </w:rPr>
      </w:pPr>
    </w:p>
    <w:p>
      <w:pPr>
        <w:ind w:left="-20" w:right="60" w:firstLine="921"/>
        <w:spacing w:after="0" w:line="294" w:lineRule="auto"/>
        <w:tabs>
          <w:tab w:leader="none" w:pos="113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With respect to shares standing in the name of another corporation, partnership, limited liability company or other legal entity on the record date, votes may be cast: (i) in the case of a corporation, by such individual as the bylaws of such other corporation prescribe, by such individual as may be appointed by resolution of the board of directors of such other corporation or by such individual (including the officer making the authorization) authorized in writing to do so by the chairman of the board, if any, president or any vice president of such corporation and (ii) in the case of a partnership, limited liability company or other legal entity, by an individual representing such stockholder upon presentation to the corporation of satisfactory evidence of his or her authority to do so.</w:t>
      </w:r>
    </w:p>
    <w:p>
      <w:pPr>
        <w:spacing w:after="0" w:line="102" w:lineRule="exact"/>
        <w:rPr>
          <w:rFonts w:ascii="Arial" w:cs="Arial" w:eastAsia="Arial" w:hAnsi="Arial"/>
          <w:sz w:val="16"/>
          <w:szCs w:val="16"/>
          <w:color w:val="auto"/>
        </w:rPr>
      </w:pPr>
    </w:p>
    <w:p>
      <w:pPr>
        <w:ind w:left="-20" w:firstLine="921"/>
        <w:spacing w:after="0" w:line="256" w:lineRule="auto"/>
        <w:tabs>
          <w:tab w:leader="none" w:pos="114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Notwithstanding anything to the contrary herein contained, the Corporation shall not vote, directly or indirectly, shares of its own stock owned by it; and such shares shall not be counted in determining the total number of outstanding shares. If shares in the Corporation are held by the Corporation in a fiduciary capacity, no votes shall be cast with respect thereto on any matter except to the extent that the beneficial owner thereof possesses and exercises a right to vote and gives the Corporation binding instructions on how to vote.</w:t>
      </w:r>
    </w:p>
    <w:p>
      <w:pPr>
        <w:spacing w:after="0" w:line="129" w:lineRule="exact"/>
        <w:rPr>
          <w:rFonts w:ascii="Arial" w:cs="Arial" w:eastAsia="Arial" w:hAnsi="Arial"/>
          <w:sz w:val="18"/>
          <w:szCs w:val="18"/>
          <w:color w:val="auto"/>
        </w:rPr>
      </w:pPr>
    </w:p>
    <w:p>
      <w:pPr>
        <w:ind w:left="-20" w:right="20" w:firstLine="921"/>
        <w:spacing w:after="0" w:line="306" w:lineRule="auto"/>
        <w:tabs>
          <w:tab w:leader="none" w:pos="113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Any holder of shares entitled to vote on any matter may cast a portion of the votes in favor of such matter and refrain from casting the remaining votes or cast the same against the proposal, except in the case of elections of directors. If such holder entitled to vote votes any of its shares affirmatively and fails to specify the number of affirmative votes, it will be conclusively presumed that the holder is casting affirmative votes with respect to all shares held.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289" w:name="page290"/>
    <w:bookmarkEnd w:id="289"/>
    <w:p>
      <w:pPr>
        <w:ind w:right="160" w:firstLine="921"/>
        <w:spacing w:after="0" w:line="256" w:lineRule="auto"/>
        <w:tabs>
          <w:tab w:leader="none" w:pos="1132"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shares standing in the name of two or more persons, whether fiduciaries, members of a partnership, joint tenants, tenants in common, husband and wife as community property, tenants by the entirety, voting trustees, persons entitled to vote under a stockholder voting agreement or otherwise and shares held by two or more persons (including proxy holders) having the same fiduciary relationship in respect to the same shares, votes may be cast in the following manner:</w:t>
      </w:r>
    </w:p>
    <w:p>
      <w:pPr>
        <w:spacing w:after="0" w:line="48" w:lineRule="exact"/>
        <w:rPr>
          <w:rFonts w:ascii="Arial" w:cs="Arial" w:eastAsia="Arial" w:hAnsi="Arial"/>
          <w:sz w:val="18"/>
          <w:szCs w:val="18"/>
          <w:color w:val="auto"/>
        </w:rPr>
      </w:pPr>
    </w:p>
    <w:p>
      <w:pPr>
        <w:ind w:left="1700" w:hanging="208"/>
        <w:spacing w:after="0"/>
        <w:tabs>
          <w:tab w:leader="none" w:pos="17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If only one person votes, the vote of such person binds all.</w:t>
      </w:r>
    </w:p>
    <w:p>
      <w:pPr>
        <w:spacing w:after="0" w:line="157" w:lineRule="exact"/>
        <w:rPr>
          <w:rFonts w:ascii="Arial" w:cs="Arial" w:eastAsia="Arial" w:hAnsi="Arial"/>
          <w:sz w:val="18"/>
          <w:szCs w:val="18"/>
          <w:color w:val="auto"/>
        </w:rPr>
      </w:pPr>
    </w:p>
    <w:p>
      <w:pPr>
        <w:ind w:left="1760" w:hanging="268"/>
        <w:spacing w:after="0"/>
        <w:tabs>
          <w:tab w:leader="none" w:pos="176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If more than one person casts votes, the act of the majority so voting binds all.</w:t>
      </w:r>
    </w:p>
    <w:p>
      <w:pPr>
        <w:spacing w:after="0" w:line="157" w:lineRule="exact"/>
        <w:rPr>
          <w:rFonts w:ascii="Arial" w:cs="Arial" w:eastAsia="Arial" w:hAnsi="Arial"/>
          <w:sz w:val="18"/>
          <w:szCs w:val="18"/>
          <w:color w:val="auto"/>
        </w:rPr>
      </w:pPr>
    </w:p>
    <w:p>
      <w:pPr>
        <w:ind w:left="1800" w:hanging="308"/>
        <w:spacing w:after="0"/>
        <w:tabs>
          <w:tab w:leader="none" w:pos="1800" w:val="left"/>
        </w:tabs>
        <w:numPr>
          <w:ilvl w:val="1"/>
          <w:numId w:val="263"/>
        </w:numPr>
        <w:rPr>
          <w:rFonts w:ascii="Arial" w:cs="Arial" w:eastAsia="Arial" w:hAnsi="Arial"/>
          <w:sz w:val="15"/>
          <w:szCs w:val="15"/>
          <w:color w:val="auto"/>
        </w:rPr>
      </w:pPr>
      <w:r>
        <w:rPr>
          <w:rFonts w:ascii="Arial" w:cs="Arial" w:eastAsia="Arial" w:hAnsi="Arial"/>
          <w:sz w:val="15"/>
          <w:szCs w:val="15"/>
          <w:color w:val="auto"/>
        </w:rPr>
        <w:t>If more than one person casts votes, but the vote is evenly split on a particular matter, the votes shall be deemed cast proportionately, as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split.</w:t>
      </w:r>
    </w:p>
    <w:p>
      <w:pPr>
        <w:spacing w:after="0" w:line="151" w:lineRule="exact"/>
        <w:rPr>
          <w:rFonts w:ascii="Arial" w:cs="Arial" w:eastAsia="Arial" w:hAnsi="Arial"/>
          <w:sz w:val="15"/>
          <w:szCs w:val="15"/>
          <w:color w:val="auto"/>
        </w:rPr>
      </w:pPr>
    </w:p>
    <w:p>
      <w:pPr>
        <w:ind w:right="20" w:firstLine="921"/>
        <w:spacing w:after="0" w:line="294" w:lineRule="auto"/>
        <w:tabs>
          <w:tab w:leader="none" w:pos="116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If a quorum is present, unless the Articles of Incorporation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 unless voting by classes is required for any action of the stockholders by the laws of the State of Nevada, the Articles of Incorporation or these Bylaws, in which case the number of votes cast in favor of the action by the voting power of each such class must exceed the number of votes cast in opposition to the action by the voting power of each such class.</w:t>
      </w:r>
    </w:p>
    <w:p>
      <w:pPr>
        <w:spacing w:after="0" w:line="102" w:lineRule="exact"/>
        <w:rPr>
          <w:rFonts w:ascii="Arial" w:cs="Arial" w:eastAsia="Arial" w:hAnsi="Arial"/>
          <w:sz w:val="16"/>
          <w:szCs w:val="16"/>
          <w:color w:val="auto"/>
        </w:rPr>
      </w:pPr>
    </w:p>
    <w:p>
      <w:pPr>
        <w:ind w:right="60" w:firstLine="921"/>
        <w:spacing w:after="0" w:line="268" w:lineRule="auto"/>
        <w:tabs>
          <w:tab w:leader="none" w:pos="116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If a quorum is present, unless elected by written consent pursuant to these Bylaws and Section 78.320 of the Nevada Revised Statutes, directors shall be elected by a plurality of the votes cast.</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Proxies</w:t>
      </w:r>
      <w:r>
        <w:rPr>
          <w:rFonts w:ascii="Arial" w:cs="Arial" w:eastAsia="Arial" w:hAnsi="Arial"/>
          <w:sz w:val="18"/>
          <w:szCs w:val="18"/>
          <w:color w:val="auto"/>
        </w:rPr>
        <w:t>. At any meeting of stockholders, any holder of shares entitled to vote may designate, in a manner permitted by the laws of the State of Nevada, another person or persons to act as a proxy or proxies. Every proxy shall continue in full force and effect until its expiration or revocation in a manner permitted by the laws of the State of Nevada.</w:t>
      </w:r>
    </w:p>
    <w:p>
      <w:pPr>
        <w:spacing w:after="0" w:line="12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Telephonic Meetings</w:t>
      </w:r>
      <w:r>
        <w:rPr>
          <w:rFonts w:ascii="Arial" w:cs="Arial" w:eastAsia="Arial" w:hAnsi="Arial"/>
          <w:sz w:val="18"/>
          <w:szCs w:val="18"/>
          <w:color w:val="auto"/>
        </w:rPr>
        <w:t>. Stockholders may participate in a meeting of the stockholders by means of a telephone conference or similar method of communication by which all individuals participating in the meeting can hear each other. Participation in a meeting pursuant to this Section 1.10 constitutes presence in person at the meeting.</w:t>
      </w:r>
    </w:p>
    <w:p>
      <w:pPr>
        <w:spacing w:after="0" w:line="12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Action Without Meeting</w:t>
      </w:r>
      <w:r>
        <w:rPr>
          <w:rFonts w:ascii="Arial" w:cs="Arial" w:eastAsia="Arial" w:hAnsi="Arial"/>
          <w:sz w:val="16"/>
          <w:szCs w:val="16"/>
          <w:color w:val="auto"/>
        </w:rPr>
        <w:t>. Any action required or permitted to be taken at a meeting of the stockholders may be taken without a meeting if a written consent thereto is signed by the holders of the voting power of the corporation that would be required at a meeting to constitute the act of the stockholders. Whenever action is taken by written consent, a meeting of stockholders need not be called or notice given. The written consent may be signed in counterparts, including, without limitation, facsimile counterparts, and shall be filed with the minutes of the proceedings of the stockholders.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80" w:right="339" w:bottom="1440" w:gutter="0" w:footer="0" w:header="0"/>
        </w:sectPr>
      </w:pPr>
    </w:p>
    <w:bookmarkStart w:id="290" w:name="page291"/>
    <w:bookmarkEnd w:id="290"/>
    <w:p>
      <w:pPr>
        <w:ind w:right="4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1.12 </w:t>
      </w:r>
      <w:r>
        <w:rPr>
          <w:rFonts w:ascii="Arial" w:cs="Arial" w:eastAsia="Arial" w:hAnsi="Arial"/>
          <w:sz w:val="16"/>
          <w:szCs w:val="16"/>
          <w:u w:val="single" w:color="auto"/>
          <w:color w:val="auto"/>
        </w:rPr>
        <w:t>Organization; Order of Business</w:t>
      </w:r>
      <w:r>
        <w:rPr>
          <w:rFonts w:ascii="Arial" w:cs="Arial" w:eastAsia="Arial" w:hAnsi="Arial"/>
          <w:sz w:val="16"/>
          <w:szCs w:val="16"/>
          <w:color w:val="auto"/>
        </w:rPr>
        <w:t>. Meetings of stockholders shall be presided over by the chairman of the board, or in the absence of the chairman by the president, or in the absence of the foregoing persons by a chairman designated by the Board of Directors, or in the absence of such designation by the Board of Directors by a chairman chosen at the meeting by the stockholders entitled to cast a majority of the votes which all stockholders present in person or by proxy are entitled to cast.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 on the time allotted to questions or comments on the affairs of the corporation, restrictions on entry to such meeting after the time prescribed for the commencement thereof and the opening and closing of the voting polls.</w:t>
      </w:r>
    </w:p>
    <w:p>
      <w:pPr>
        <w:spacing w:after="0" w:line="10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DIRECTORS</w:t>
      </w:r>
    </w:p>
    <w:p>
      <w:pPr>
        <w:spacing w:after="0" w:line="15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Unless a larger number is required by the laws of the State of Nevada or the Articles of Incorporation or until changed in the manner provided herein, the Board of Directors of the corporation shall consist of at least one (1) individual and not more than ten (10) individuals. Except as provided in Section 2.06 below, the directors shall be elected at the annual meeting of the stockholders of the corporation and shall hold office until their successors are elected and qualify or until their earlier resignation or removal. A director need not be a stockholder of the corporation.</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Change In Number</w:t>
      </w:r>
      <w:r>
        <w:rPr>
          <w:rFonts w:ascii="Arial" w:cs="Arial" w:eastAsia="Arial" w:hAnsi="Arial"/>
          <w:sz w:val="18"/>
          <w:szCs w:val="18"/>
          <w:color w:val="auto"/>
        </w:rPr>
        <w:t>. Subject to any limitations in the laws of the State of Nevada, the Articles of Incorporation or these Bylaws, the number of directors within the fixed minimum and maximum set forth in Section 2.01 may be changed from time to time by resolution adopted by the Board of Directors or the stockholders without amendment to these Bylaws or the Articles of Incorporation.</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Reduction In Number</w:t>
      </w:r>
      <w:r>
        <w:rPr>
          <w:rFonts w:ascii="Arial" w:cs="Arial" w:eastAsia="Arial" w:hAnsi="Arial"/>
          <w:sz w:val="18"/>
          <w:szCs w:val="18"/>
          <w:color w:val="auto"/>
        </w:rPr>
        <w:t>. No reduction of the number of directors shall have the effect of removing any director prior to the expiration of his or her term of office.</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Resignation</w:t>
      </w:r>
      <w:r>
        <w:rPr>
          <w:rFonts w:ascii="Arial" w:cs="Arial" w:eastAsia="Arial" w:hAnsi="Arial"/>
          <w:sz w:val="18"/>
          <w:szCs w:val="18"/>
          <w:color w:val="auto"/>
        </w:rPr>
        <w:t>. Any director may resign effective upon giving written notice to the chairman of the board, if any, the president or the secretary, or in the absence of all of them, any other officer, unless the notice specifies a later time for effectiveness of such resignation. A majority of the remaining directors, though less than a quorum, may appoint a successor to take office when the resignation becomes effective, each director so appointed to hold office during the remainder of the term of office of the resigning director.</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291" w:name="page292"/>
    <w:bookmarkEnd w:id="29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2.05 </w:t>
      </w:r>
      <w:r>
        <w:rPr>
          <w:rFonts w:ascii="Arial" w:cs="Arial" w:eastAsia="Arial" w:hAnsi="Arial"/>
          <w:sz w:val="18"/>
          <w:szCs w:val="18"/>
          <w:u w:val="single" w:color="auto"/>
          <w:color w:val="auto"/>
        </w:rPr>
        <w:t>Removal</w:t>
      </w:r>
      <w:r>
        <w:rPr>
          <w:rFonts w:ascii="Arial" w:cs="Arial" w:eastAsia="Arial" w:hAnsi="Arial"/>
          <w:sz w:val="18"/>
          <w:szCs w:val="18"/>
          <w:color w:val="auto"/>
        </w:rPr>
        <w:t>.</w:t>
      </w:r>
    </w:p>
    <w:p>
      <w:pPr>
        <w:spacing w:after="0" w:line="77" w:lineRule="exact"/>
        <w:rPr>
          <w:sz w:val="20"/>
          <w:szCs w:val="20"/>
          <w:color w:val="auto"/>
        </w:rPr>
      </w:pPr>
    </w:p>
    <w:p>
      <w:pPr>
        <w:ind w:right="20" w:firstLine="921"/>
        <w:spacing w:after="0" w:line="268" w:lineRule="auto"/>
        <w:tabs>
          <w:tab w:leader="none" w:pos="115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Board of Directors of the corporation, by majority vote, may declare vacant the office of a director who has been declared incompetent by an order of a court of competent jurisdiction or convicted of a felony.</w:t>
      </w:r>
    </w:p>
    <w:p>
      <w:pPr>
        <w:spacing w:after="0" w:line="118" w:lineRule="exact"/>
        <w:rPr>
          <w:rFonts w:ascii="Arial" w:cs="Arial" w:eastAsia="Arial" w:hAnsi="Arial"/>
          <w:sz w:val="18"/>
          <w:szCs w:val="18"/>
          <w:color w:val="auto"/>
        </w:rPr>
      </w:pPr>
    </w:p>
    <w:p>
      <w:pPr>
        <w:ind w:firstLine="921"/>
        <w:spacing w:after="0" w:line="268" w:lineRule="auto"/>
        <w:tabs>
          <w:tab w:leader="none" w:pos="116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director may be removed from office by the vote or written consent of stockholders representing not less than two-thirds of the voting power of the issued and outstanding stock entitled to vote.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Vacancies</w:t>
      </w:r>
      <w:r>
        <w:rPr>
          <w:rFonts w:ascii="Arial" w:cs="Arial" w:eastAsia="Arial" w:hAnsi="Arial"/>
          <w:sz w:val="18"/>
          <w:szCs w:val="18"/>
          <w:color w:val="auto"/>
        </w:rPr>
        <w:t>.</w:t>
      </w:r>
    </w:p>
    <w:p>
      <w:pPr>
        <w:spacing w:after="0" w:line="77" w:lineRule="exact"/>
        <w:rPr>
          <w:sz w:val="20"/>
          <w:szCs w:val="20"/>
          <w:color w:val="auto"/>
        </w:rPr>
      </w:pPr>
    </w:p>
    <w:p>
      <w:pPr>
        <w:ind w:right="80" w:firstLine="921"/>
        <w:spacing w:after="0" w:line="291" w:lineRule="auto"/>
        <w:tabs>
          <w:tab w:leader="none" w:pos="115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All vacancies, including those caused by an increase in the number of directors, may be filled by a majority of the remaining directors, though less than a quorum, or by the stockholders entitled to vote at any annual meeting or special meeting held in accordance with Article I, unless it is otherwise provided in the Articles of Incorporation unless, in the case of removal of a director, the stockholders by a majority of voting power shall have appointed a successor to the removed director. Subject to the provisions of Subsection (b) below, (i) in the case of the replacement of a director, the appointed director shall hold office during the remainder of the term of office of the replaced director, and (ii) in the case of an increase in the number of directors, the appointed director shall hold office until the next meeting of stockholders at which directors are elected.</w:t>
      </w:r>
    </w:p>
    <w:p>
      <w:pPr>
        <w:spacing w:after="0" w:line="106" w:lineRule="exact"/>
        <w:rPr>
          <w:rFonts w:ascii="Arial" w:cs="Arial" w:eastAsia="Arial" w:hAnsi="Arial"/>
          <w:sz w:val="16"/>
          <w:szCs w:val="16"/>
          <w:color w:val="auto"/>
        </w:rPr>
      </w:pPr>
    </w:p>
    <w:p>
      <w:pPr>
        <w:ind w:firstLine="921"/>
        <w:spacing w:after="0" w:line="306" w:lineRule="auto"/>
        <w:tabs>
          <w:tab w:leader="none" w:pos="116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If, after the filling of any vacancy by the directors, the directors then in office who have been elected by the stockholders shall constitute less than a majority of the directors then in office, any holder or holders of an aggregate of five percent (5%) or more of the total voting power entitled to vote may call a special meeting of the stockholders to elect the entire Board of Directors. The term of office of any director shall terminate upon such election of a successor.</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2.07 </w:t>
      </w:r>
      <w:r>
        <w:rPr>
          <w:rFonts w:ascii="Arial" w:cs="Arial" w:eastAsia="Arial" w:hAnsi="Arial"/>
          <w:sz w:val="16"/>
          <w:szCs w:val="16"/>
          <w:u w:val="single" w:color="auto"/>
          <w:color w:val="auto"/>
        </w:rPr>
        <w:t>Annual and Regular Meetings</w:t>
      </w:r>
      <w:r>
        <w:rPr>
          <w:rFonts w:ascii="Arial" w:cs="Arial" w:eastAsia="Arial" w:hAnsi="Arial"/>
          <w:sz w:val="16"/>
          <w:szCs w:val="16"/>
          <w:color w:val="auto"/>
        </w:rPr>
        <w:t>. Immediately following the adjournment of, and at the same place as, the annual or any special meeting of the stockholders at which directors are elected other than pursuant to Section 2.06 of this Article, the Board of Directors, including directors newly elected, shall hold its annual meeting without call or notice, other than this provision, to elect officers and to transact such further business as may be necessary or appropriate. The Board of Directors may provide by resolution the place, date, and hour for holding regular meetings between annual meetings.</w:t>
      </w:r>
    </w:p>
    <w:p>
      <w:pPr>
        <w:spacing w:after="0" w:line="99"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by the chairman of the board, or if there be no chairman of the board, by the president or secretary, and shall be called by the chairman of the board, if any, the president or the secretary upon the request of any three (3) directors. If the chairman of the board or, if there be no chairman, both the president and secretary, refuse or neglect to call such special meeting, a special meeting may be called by notice signed by any two (2) directors.</w:t>
      </w:r>
    </w:p>
    <w:p>
      <w:pPr>
        <w:spacing w:after="0" w:line="13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u w:val="single" w:color="auto"/>
          <w:color w:val="auto"/>
        </w:rPr>
        <w:t>Place of Meetings</w:t>
      </w:r>
      <w:r>
        <w:rPr>
          <w:rFonts w:ascii="Arial" w:cs="Arial" w:eastAsia="Arial" w:hAnsi="Arial"/>
          <w:sz w:val="18"/>
          <w:szCs w:val="18"/>
          <w:color w:val="auto"/>
        </w:rPr>
        <w:t>. Any regular or special meeting of the directors of the corporation may be held at such place as the Board of Directors, or in the absence of such designation, as the notice calling such meeting, may designate. A waiver of notice signed by the directors may designate any place for the holding of such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92" w:name="page293"/>
    <w:bookmarkEnd w:id="292"/>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2.10 </w:t>
      </w:r>
      <w:r>
        <w:rPr>
          <w:rFonts w:ascii="Arial" w:cs="Arial" w:eastAsia="Arial" w:hAnsi="Arial"/>
          <w:sz w:val="16"/>
          <w:szCs w:val="16"/>
          <w:u w:val="single" w:color="auto"/>
          <w:color w:val="auto"/>
        </w:rPr>
        <w:t>Notice of Meetings</w:t>
      </w:r>
      <w:r>
        <w:rPr>
          <w:rFonts w:ascii="Arial" w:cs="Arial" w:eastAsia="Arial" w:hAnsi="Arial"/>
          <w:sz w:val="16"/>
          <w:szCs w:val="16"/>
          <w:color w:val="auto"/>
        </w:rPr>
        <w:t>. Except as otherwise provided in Section 2.07, there shall be delivered to all directors, at least twenty-four (24) hours before the time of such meeting, a copy of a written notice of any meeting (i) by delivery of such notice personally; (ii) by mailing such notice postage prepaid; (iii) by facsimile; (iv) by electronic mail; (v) by overnight courier; or (vi) by telegram. Such notice shall be addressed in the manner provided for notice to stockholders in Section 1.04(c). If mailed inside the United States, the notice shall be deemed delivered two (2) business days following the date the same is deposited in the United States mail, postage prepaid. If mailed outside the United States, the notice shall be deemed delivered four (4) business days following the date the same is deposited in the United States mail, postage prepaid. If sent via facsimile, the notice shall be deemed delivered upon sender’s receipt of confirmation of the successful transmission. If the address of any director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 objecting to the transaction of business thereat because the meeting was not properly called or convened shall not constitute presence or a waiver of notice for purposes hereof.</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Quorum; Adjourned Meetings</w:t>
      </w:r>
      <w:r>
        <w:rPr>
          <w:rFonts w:ascii="Arial" w:cs="Arial" w:eastAsia="Arial" w:hAnsi="Arial"/>
          <w:sz w:val="18"/>
          <w:szCs w:val="18"/>
          <w:color w:val="auto"/>
        </w:rPr>
        <w:t>.</w:t>
      </w:r>
    </w:p>
    <w:p>
      <w:pPr>
        <w:spacing w:after="0" w:line="77" w:lineRule="exact"/>
        <w:rPr>
          <w:sz w:val="20"/>
          <w:szCs w:val="20"/>
          <w:color w:val="auto"/>
        </w:rPr>
      </w:pPr>
    </w:p>
    <w:p>
      <w:pPr>
        <w:ind w:left="1160" w:hanging="239"/>
        <w:spacing w:after="0"/>
        <w:tabs>
          <w:tab w:leader="none" w:pos="116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 majority of the directors in office, at a meeting duly assembled, is necessary to constitute a quorum for the transaction of business.</w:t>
      </w:r>
    </w:p>
    <w:p>
      <w:pPr>
        <w:spacing w:after="0" w:line="180" w:lineRule="exact"/>
        <w:rPr>
          <w:rFonts w:ascii="Arial" w:cs="Arial" w:eastAsia="Arial" w:hAnsi="Arial"/>
          <w:sz w:val="16"/>
          <w:szCs w:val="16"/>
          <w:color w:val="auto"/>
        </w:rPr>
      </w:pPr>
    </w:p>
    <w:p>
      <w:pPr>
        <w:ind w:right="300" w:firstLine="921"/>
        <w:spacing w:after="0" w:line="259" w:lineRule="auto"/>
        <w:tabs>
          <w:tab w:leader="none" w:pos="116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At any meeting of the Board of Directors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spacing w:after="0" w:line="12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Manner of Acting</w:t>
      </w:r>
      <w:r>
        <w:rPr>
          <w:rFonts w:ascii="Arial" w:cs="Arial" w:eastAsia="Arial" w:hAnsi="Arial"/>
          <w:sz w:val="18"/>
          <w:szCs w:val="18"/>
          <w:color w:val="auto"/>
        </w:rPr>
        <w:t>. The affirmative vote of a majority of the directors present at a meeting at which a quorum is present is the act of the Board of Directors.</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Telephonic Meetings</w:t>
      </w:r>
      <w:r>
        <w:rPr>
          <w:rFonts w:ascii="Arial" w:cs="Arial" w:eastAsia="Arial" w:hAnsi="Arial"/>
          <w:sz w:val="16"/>
          <w:szCs w:val="16"/>
          <w:color w:val="auto"/>
        </w:rPr>
        <w:t>. Members of the Board of Directors or of any committee designated by the Board of Directors may participate in a meeting of the Board of Directors or such committee by means of a telephone conference or similar method of communication by which all persons participating in such meeting can hear each other. Participation in a meeting pursuant to this Section 2.13 constitutes presence in person at the meeting.</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Any action required or permitted to be taken at a meeting of the Board of Directors or of a committee thereof may be taken without a meeting if, before or after the action, a written consent thereto is signed by all of the members of the Board of Directors or the committee. The written consent may be signed in counterparts, including, without limitation, facsimile counterparts, and shall be filed with the minutes of the proceedings of the Board of Directors or committee.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93" w:name="page294"/>
    <w:bookmarkEnd w:id="29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2.15 </w:t>
      </w:r>
      <w:r>
        <w:rPr>
          <w:rFonts w:ascii="Arial" w:cs="Arial" w:eastAsia="Arial" w:hAnsi="Arial"/>
          <w:sz w:val="18"/>
          <w:szCs w:val="18"/>
          <w:u w:val="single" w:color="auto"/>
          <w:color w:val="auto"/>
        </w:rPr>
        <w:t>Powers and Duties</w:t>
      </w:r>
      <w:r>
        <w:rPr>
          <w:rFonts w:ascii="Arial" w:cs="Arial" w:eastAsia="Arial" w:hAnsi="Arial"/>
          <w:sz w:val="18"/>
          <w:szCs w:val="18"/>
          <w:color w:val="auto"/>
        </w:rPr>
        <w:t>.</w:t>
      </w:r>
    </w:p>
    <w:p>
      <w:pPr>
        <w:spacing w:after="0" w:line="77" w:lineRule="exact"/>
        <w:rPr>
          <w:sz w:val="20"/>
          <w:szCs w:val="20"/>
          <w:color w:val="auto"/>
        </w:rPr>
      </w:pPr>
    </w:p>
    <w:p>
      <w:pPr>
        <w:jc w:val="both"/>
        <w:ind w:right="80" w:firstLine="921"/>
        <w:spacing w:after="0" w:line="256" w:lineRule="auto"/>
        <w:tabs>
          <w:tab w:leader="none" w:pos="115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Except as otherwise restricted in the laws of the State of Nevada or the Articles of Incorporation, the Board of Directors has full control over the business and affairs of the corporation. The Board of Directors may delegate any of its authority to manage, control or conduct the business of the corporation to any standing or special committee or to any officer or agent and to appoint any persons to be agents of the corporation with such powers, including the power to subdelegate, and upon such terms as may be deemed fit.</w:t>
      </w:r>
    </w:p>
    <w:p>
      <w:pPr>
        <w:spacing w:after="0" w:line="129" w:lineRule="exact"/>
        <w:rPr>
          <w:rFonts w:ascii="Arial" w:cs="Arial" w:eastAsia="Arial" w:hAnsi="Arial"/>
          <w:sz w:val="18"/>
          <w:szCs w:val="18"/>
          <w:color w:val="auto"/>
        </w:rPr>
      </w:pPr>
    </w:p>
    <w:p>
      <w:pPr>
        <w:ind w:right="280" w:firstLine="921"/>
        <w:spacing w:after="0" w:line="332" w:lineRule="auto"/>
        <w:tabs>
          <w:tab w:leader="none" w:pos="116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Board of Directors may present to the stockholders at annual meetings of the stockholders, and, when called for by a majority vote of the stockholders at an annual meeting or a special meeting of the stockholders, shall so present, a full and clear report of the condition of the corporation.</w:t>
      </w:r>
    </w:p>
    <w:p>
      <w:pPr>
        <w:spacing w:after="0" w:line="71" w:lineRule="exact"/>
        <w:rPr>
          <w:rFonts w:ascii="Arial" w:cs="Arial" w:eastAsia="Arial" w:hAnsi="Arial"/>
          <w:sz w:val="16"/>
          <w:szCs w:val="16"/>
          <w:color w:val="auto"/>
        </w:rPr>
      </w:pPr>
    </w:p>
    <w:p>
      <w:pPr>
        <w:ind w:firstLine="921"/>
        <w:spacing w:after="0" w:line="306" w:lineRule="auto"/>
        <w:tabs>
          <w:tab w:leader="none" w:pos="115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Board of Directors, in its discretion, or the officer of the Corporation presiding at a meeting of stockholders, in his discretion, may (i) require that any votes cast at such meeting shall be cast by written ballot, and/or (ii) submit any contract or act for approval or ratification at any annual meeting of the stockholders or any special meeting properly called and noticed for the purpose of considering any such contract or act, provided a quorum is present.</w:t>
      </w:r>
    </w:p>
    <w:p>
      <w:pPr>
        <w:spacing w:after="0" w:line="93" w:lineRule="exact"/>
        <w:rPr>
          <w:rFonts w:ascii="Arial" w:cs="Arial" w:eastAsia="Arial" w:hAnsi="Arial"/>
          <w:sz w:val="16"/>
          <w:szCs w:val="16"/>
          <w:color w:val="auto"/>
        </w:rPr>
      </w:pPr>
    </w:p>
    <w:p>
      <w:pPr>
        <w:ind w:right="40" w:firstLine="921"/>
        <w:spacing w:after="0" w:line="288" w:lineRule="auto"/>
        <w:tabs>
          <w:tab w:leader="none" w:pos="116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Board of Directors may, by resolution passed by a majority of the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Subject to applicable law and to the extent provided in the resolution of the Board of Directors, any such committee shall have and may exercise all the powers of the Board of Directors in the management of the business and affairs of the Corporation. Such committee or committees shall have such name or names as may be determined from time to time by resolution adopted by the Board of Directors. The committees shall keep regular minutes of their proceedings and report the same to the Board of Directors when required.</w:t>
      </w:r>
    </w:p>
    <w:p>
      <w:pPr>
        <w:spacing w:after="0" w:line="10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 xml:space="preserve">2.16 </w:t>
      </w:r>
      <w:r>
        <w:rPr>
          <w:rFonts w:ascii="Arial" w:cs="Arial" w:eastAsia="Arial" w:hAnsi="Arial"/>
          <w:sz w:val="15"/>
          <w:szCs w:val="15"/>
          <w:u w:val="single" w:color="auto"/>
          <w:color w:val="auto"/>
        </w:rPr>
        <w:t>Compensation</w:t>
      </w:r>
      <w:r>
        <w:rPr>
          <w:rFonts w:ascii="Arial" w:cs="Arial" w:eastAsia="Arial" w:hAnsi="Arial"/>
          <w:sz w:val="15"/>
          <w:szCs w:val="15"/>
          <w:color w:val="auto"/>
        </w:rPr>
        <w:t>. The directors and members of committees shall be allowed and paid all necessary expenses incurred in attending any meetings of the Board of Directors or committee and may be paid a fixed fee for attendance at any meeting of the Board of Directors or committee. Subject to any limitations contained in the laws of the State of Nevada, the Articles of Incorporation or any contract or agreement to which the corporation is a party, directors may receive compensation for their services as directors as determined by the Board of Directors, but only during such times as the corporation may legally declare and pay distributions on its stock, unless the payment of such compensation is first approved by the stockholders entitled to vote for the election of directors.</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294" w:name="page295"/>
    <w:bookmarkEnd w:id="294"/>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2.17 </w:t>
      </w:r>
      <w:r>
        <w:rPr>
          <w:rFonts w:ascii="Arial" w:cs="Arial" w:eastAsia="Arial" w:hAnsi="Arial"/>
          <w:sz w:val="16"/>
          <w:szCs w:val="16"/>
          <w:u w:val="single" w:color="auto"/>
          <w:color w:val="auto"/>
        </w:rPr>
        <w:t>Organization; Order of Business</w:t>
      </w:r>
      <w:r>
        <w:rPr>
          <w:rFonts w:ascii="Arial" w:cs="Arial" w:eastAsia="Arial" w:hAnsi="Arial"/>
          <w:sz w:val="16"/>
          <w:szCs w:val="16"/>
          <w:color w:val="auto"/>
        </w:rPr>
        <w:t>. Meetings of the Board of Directors shall be presided over by the chairman of the board, or in the absence of the chairman of the board by the president, or in his or her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1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Election</w:t>
      </w:r>
      <w:r>
        <w:rPr>
          <w:rFonts w:ascii="Arial" w:cs="Arial" w:eastAsia="Arial" w:hAnsi="Arial"/>
          <w:sz w:val="18"/>
          <w:szCs w:val="18"/>
          <w:color w:val="auto"/>
        </w:rPr>
        <w:t>. The Board of Directors, at its annual meeting, shall appoint a president, a secretary and a treasurer to hold office for a term of one (1) year or until their successors are duly appointed and qualified. The Board of Directors may, from time to time, by resolution, appoint any other officers or assistant officers of the corporation, including, without limitation, a chairman of the board, a chief executive officer, a chief financial officer, a chief operating officer, a controller, one or more vice presidents, one or more assistant secretaries, and one or more assistant treasurers, and may prescribe their duties and fix their compensation. Any individual may hold two or more offices. The Board of Directors may also, from time to time, by resolution, appoint agents of the corporation, prescribe their duties and fix their compensation.</w:t>
      </w:r>
    </w:p>
    <w:p>
      <w:pPr>
        <w:spacing w:after="0" w:line="13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Removal; Resignation</w:t>
      </w:r>
      <w:r>
        <w:rPr>
          <w:rFonts w:ascii="Arial" w:cs="Arial" w:eastAsia="Arial" w:hAnsi="Arial"/>
          <w:sz w:val="18"/>
          <w:szCs w:val="18"/>
          <w:color w:val="auto"/>
        </w:rPr>
        <w:t>. Any officer or agent elected or appointed by the Board of Directors may be removed by it with or without cause. Any officer may resign at any time upon written notice to the corporation. Any such removal or resignation shall be subject to the rights, if any, of the respective parties under any contract between the corporation and such officer or agent.</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because of death, resignation, removal or otherwise may be filled by the Board of Directors for the unexpired portion of the term of such office.</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3.04 </w:t>
      </w:r>
      <w:r>
        <w:rPr>
          <w:rFonts w:ascii="Arial" w:cs="Arial" w:eastAsia="Arial" w:hAnsi="Arial"/>
          <w:sz w:val="16"/>
          <w:szCs w:val="16"/>
          <w:u w:val="single" w:color="auto"/>
          <w:color w:val="auto"/>
        </w:rPr>
        <w:t>President; Chief Executive Officer</w:t>
      </w:r>
      <w:r>
        <w:rPr>
          <w:rFonts w:ascii="Arial" w:cs="Arial" w:eastAsia="Arial" w:hAnsi="Arial"/>
          <w:sz w:val="16"/>
          <w:szCs w:val="16"/>
          <w:color w:val="auto"/>
        </w:rPr>
        <w:t>. The president shall have active executive management of the operations of the corporation, subject to the supervision and control of the Board of Directors. The president shall direct the corporate affairs of the corporation, with full power and authority on behalf of the corporation to execute proxies and to execute powers of attorney appointing other entities the agent of the corporation. If a chief executive officer of the corporation has not been appointed, the president may be deemed the chief executive officer of the corporation.</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elect one or more vice presidents who shall be vested with all the powers and perform all the duties of the president whenever the president is absent, disabled or otherwise unable to act and such other duties as shall be provided in these Bylaws or prescribed by the Board of Directors or the president.</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perform all duties incident to the office of secretary, including attending meetings of the stockholders and Board of Directors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95" w:name="page296"/>
    <w:bookmarkEnd w:id="295"/>
    <w:p>
      <w:pPr>
        <w:ind w:right="10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keeping, or causing to be kept, the minutes of proceedings thereof in books provided for that purpose. The secretary shall attend to the giving and service of all notices of the corporation, shall have the custody or designate control of the corporate seal, shall affix the corporate seal to all certificates of stock duly issued by the corporation, shall have charge or designate control of stock certificate books, transfer books and stock ledgers and such other books and papers as the Board of Directors or appropriate committee may direct, and shall perform such other duties as these Bylaws may provide or the Board of Directors may prescribe.</w:t>
      </w:r>
    </w:p>
    <w:p>
      <w:pPr>
        <w:spacing w:after="0" w:line="8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The Board of Directors may appoint one or more assistant secretaries who shall have such powers and perform such duties as may be provided in these Bylaws or prescribed by the Board of Directors or the secretary.</w:t>
      </w:r>
    </w:p>
    <w:p>
      <w:pPr>
        <w:spacing w:after="0" w:line="118"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 xml:space="preserve">3.08 </w:t>
      </w:r>
      <w:r>
        <w:rPr>
          <w:rFonts w:ascii="Arial" w:cs="Arial" w:eastAsia="Arial" w:hAnsi="Arial"/>
          <w:sz w:val="15"/>
          <w:szCs w:val="15"/>
          <w:u w:val="single" w:color="auto"/>
          <w:color w:val="auto"/>
        </w:rPr>
        <w:t>Treasurer</w:t>
      </w:r>
      <w:r>
        <w:rPr>
          <w:rFonts w:ascii="Arial" w:cs="Arial" w:eastAsia="Arial" w:hAnsi="Arial"/>
          <w:sz w:val="15"/>
          <w:szCs w:val="15"/>
          <w:color w:val="auto"/>
        </w:rPr>
        <w:t>. The treasurer shall keep correct and complete records of account, showing accurately at all times the financial condition of the corporation and accounts of all monies received and paid on account of the corporation, and shall perform all acts incident to the position of treasurer, subject to the control of the Board of Directors. Whenever required by the Board of Directors, the treasurer shall render a statement of any or all accounts. The treasurer shall have custody of all the funds and securities of the corporation. When necessary or proper, the treasurer shall endorse on behalf of the corporation for collection checks, notes, and other obligations, and shall deposit all monies to the credit of the corporation in such bank or banks or other depository as the Board of Directors may designate, and shall sign all receipts and vouchers for payments made by the corporation. The treasurer shall have care and custody of the stocks, bonds, certificates, vouchers, evidence of debts, securities, and such other property belonging to the corporation. The treasurer shall, if required by the Board of Directors, give bond to the corporation in such sum and with such security as shall be approved by the Board of Directors for the faithful performance of all the duties of treasurer and for restoration to the corporation, in the event of the treasurer’s death, resignation, retirement or removal from office, of all books, records, papers, vouchers, money and other property in the treasurer’s custody or control and belonging to the corporation. The expense of such bond shall be borne by the corporation. If a chief financial officer of the corporation has not been appointed, the treasurer may be deemed the chief financial officer of the corporation.</w:t>
      </w:r>
    </w:p>
    <w:p>
      <w:pPr>
        <w:spacing w:after="0" w:line="9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3.09 </w:t>
      </w:r>
      <w:r>
        <w:rPr>
          <w:rFonts w:ascii="Arial" w:cs="Arial" w:eastAsia="Arial" w:hAnsi="Arial"/>
          <w:sz w:val="16"/>
          <w:szCs w:val="16"/>
          <w:u w:val="single" w:color="auto"/>
          <w:color w:val="auto"/>
        </w:rPr>
        <w:t>Assistant Treasurers</w:t>
      </w:r>
      <w:r>
        <w:rPr>
          <w:rFonts w:ascii="Arial" w:cs="Arial" w:eastAsia="Arial" w:hAnsi="Arial"/>
          <w:sz w:val="16"/>
          <w:szCs w:val="16"/>
          <w:color w:val="auto"/>
        </w:rPr>
        <w:t>. The Board of Directors may appoint one or more assistant treasurers who shall have such powers and perform such duties as may be prescribed by the Board of Directors or the treasurer. The Board of Directors may require an assistant treasurer to give a bond to the corporation in such sum and with such security as it may approve, for the faithful performance of the duties of assistant treasurer, and for restoration to the corporation, in the event of the assistant treasurer’s death, resignation, retirement or removal from office, of all books, records, papers, vouchers, money and other property in the assistant treasurer’s custody or control and belonging to the corporation. The expense of such bond shall be borne by the corporation.</w:t>
      </w:r>
    </w:p>
    <w:p>
      <w:pPr>
        <w:spacing w:after="0" w:line="102"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may be chosen by and from the members of the Board of Directors and shall preside at the meetings of the Board of Directors and stockholders and perform such other duties as the Board of Directors may prescribe. If no chairman of the board is appointed or if the chairman is absent from a Board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96" w:name="page297"/>
    <w:bookmarkEnd w:id="296"/>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 then the Board of Directors may appoint a chairman from the members of the Board for the sole purpose of presiding at any such meeting. If no chairman of the board is appointed or if the chairman is absent from any stockholder meeting, then the president shall preside at such stockholder meeting. If the president is absent from any stockholder meeting, then the stockholders may appoint a substitute chairman solely for the purpose of presiding over such stockholder meeting.</w:t>
      </w:r>
    </w:p>
    <w:p>
      <w:pPr>
        <w:spacing w:after="0" w:line="13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Execution of Negotiable Instruments, Deeds and Contracts</w:t>
      </w:r>
      <w:r>
        <w:rPr>
          <w:rFonts w:ascii="Arial" w:cs="Arial" w:eastAsia="Arial" w:hAnsi="Arial"/>
          <w:sz w:val="16"/>
          <w:szCs w:val="16"/>
          <w:color w:val="auto"/>
        </w:rPr>
        <w:t>. Unless otherwise required by law or otherwise authorized or directed by these Bylaws or by the Board of Directors, any officer of the corporation may sign all checks, drafts, notes, bonds, bills of exchange, and orders for the payment of money of the corporation; all deeds, mortgages and other written contracts, documents, instruments and agreements to which the corporation shall be a party; and all assignments or endorsements of stock certificates, registered bonds or other securities owned by the corporation. The Board of Directors may designate one or more officers, agents of the corporation or other persons who may, in the name of the corporation, and in lieu of or in addition to the officers, sign such instruments, and may authorize the use of the facsimile signatures of any such persons. Any officer of the corporation shall be authorized to execute all resolutions and orders of the Board of Directors, and to attend, act and vote, or designate another officer or an agent of the corporation to attend, act and vote, at any meetings of the owners of any entity in which the corporation may own an interest or to take action by written consent in lieu thereof. Such officer, at any such meetings or by such written action, shall possess and may exercise on behalf of the corporation any and all rights and powers incident to the ownership of such interest.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CAPITAL STOCK</w:t>
      </w:r>
    </w:p>
    <w:p>
      <w:pPr>
        <w:spacing w:after="0" w:line="1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Issuance</w:t>
      </w:r>
      <w:r>
        <w:rPr>
          <w:rFonts w:ascii="Arial" w:cs="Arial" w:eastAsia="Arial" w:hAnsi="Arial"/>
          <w:sz w:val="18"/>
          <w:szCs w:val="18"/>
          <w:color w:val="auto"/>
        </w:rPr>
        <w:t>. Shares of the corporation’s authorized stock shall, subject to any provisions or limitations of the laws of the State of Nevada, the Articles of Incorporation or any contracts or agreements to which the corporation may be a party, be issued in such manner, at such times, upon such conditions and for such consideration as shall be prescribed by the Board of Directors.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u w:val="single" w:color="auto"/>
          <w:color w:val="auto"/>
        </w:rPr>
        <w:t>Certificates</w:t>
      </w:r>
      <w:r>
        <w:rPr>
          <w:rFonts w:ascii="Arial" w:cs="Arial" w:eastAsia="Arial" w:hAnsi="Arial"/>
          <w:sz w:val="16"/>
          <w:szCs w:val="16"/>
          <w:color w:val="auto"/>
        </w:rPr>
        <w:t>. Ownership in the corporation shall be evidenced by certificates for shares of stock in such form as shall be prescribed by the Board of Directors, may be under the seal of the corporation and shall be manually signed by the president or a vice president and/or the secretary or an assistant secretary, and/or by any other officers or agents designated by the Board of Directors for this purpose; provided, however, whenever any certificate is countersigned or otherwise authenticated by a transfer agent or transfer clerk, and by a registrar, then a facsimile of the signatures of said officers or agents of the corporation may be printed or lithographed upon the certificate in lieu of the actual signatures. If the corporation uses facsimile signatures of its officers and agents on its stock certificates, it shall not act as registrar of its own stock, but its transfer agent and registrar may be identical if the institution acting in those dual capacities countersigns any stock certificates in both capacities. Each certificate shall contain the name of the record holder, the number, designation, if any, class or series of shares represented, a statement, summary of or reference to any applicable rights, preferences, privileges or restrictions thereon, and a</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80" w:right="319" w:bottom="1440" w:gutter="0" w:footer="0" w:header="0"/>
        </w:sectPr>
      </w:pPr>
    </w:p>
    <w:bookmarkStart w:id="297" w:name="page298"/>
    <w:bookmarkEnd w:id="297"/>
    <w:p>
      <w:pPr>
        <w:ind w:right="20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if applicable, that the shares are assessable. All certificates shall be consecutively numbered. If provided by the stockholder, the name, address and federal tax identification number of the stockholder, the number of shares, and the date of issue shall be entered in the stock transfer records of the corporation.</w:t>
      </w:r>
    </w:p>
    <w:p>
      <w:pPr>
        <w:spacing w:after="0" w:line="4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4.03 </w:t>
      </w:r>
      <w:r>
        <w:rPr>
          <w:rFonts w:ascii="Arial" w:cs="Arial" w:eastAsia="Arial" w:hAnsi="Arial"/>
          <w:sz w:val="16"/>
          <w:szCs w:val="16"/>
          <w:u w:val="single" w:color="auto"/>
          <w:color w:val="auto"/>
        </w:rPr>
        <w:t>Surrendered; Lost or Destroyed Certificates</w:t>
      </w:r>
      <w:r>
        <w:rPr>
          <w:rFonts w:ascii="Arial" w:cs="Arial" w:eastAsia="Arial" w:hAnsi="Arial"/>
          <w:sz w:val="16"/>
          <w:szCs w:val="16"/>
          <w:color w:val="auto"/>
        </w:rPr>
        <w:t>. All certificates surrendered to the corporation, except those representing shares of treasury stock, shall be canceled and no new certificate shall be issued until the former certificate for a like number of shares shall have been canceled, except that in case of a lost, stolen, destroyed or mutilated certificate, a new one may be issued therefor. However, any stockholder applying for the issuance of a stock certificate in lieu of one alleged to have been lost, stolen, destroyed or mutilated shall, prior to the issuance of a replacement, provide the corporation with his, her or its affidavit of the facts surrounding the loss, theft, destruction or mutilation and, if required by the Board of Directors, an indemnity bond in an amount not less than twice the current market value of the stock, and upon such terms as the treasurer or the Board of Directors shall require which shall indemnify the corporation against any loss, damage, cost or inconvenience arising as a consequence of the issuance of a replacement certificate.</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4.04 </w:t>
      </w:r>
      <w:r>
        <w:rPr>
          <w:rFonts w:ascii="Arial" w:cs="Arial" w:eastAsia="Arial" w:hAnsi="Arial"/>
          <w:sz w:val="16"/>
          <w:szCs w:val="16"/>
          <w:u w:val="single" w:color="auto"/>
          <w:color w:val="auto"/>
        </w:rPr>
        <w:t>Replacement Certificate</w:t>
      </w:r>
      <w:r>
        <w:rPr>
          <w:rFonts w:ascii="Arial" w:cs="Arial" w:eastAsia="Arial" w:hAnsi="Arial"/>
          <w:sz w:val="16"/>
          <w:szCs w:val="16"/>
          <w:color w:val="auto"/>
        </w:rPr>
        <w:t>. When the Articles of Incorporation are amended in any way affecting the statements contained in the certificates for outstanding shares of capital stock of the corporation or it becomes desirable for any reason, in the discretion of the Board of Directors, including, without limitation, the merger of the corporation with another corporation or the reorganization of the corporation, to cancel any outstanding certificate for shares and issue a new certificate therefor conforming to the rights of the holder, the Board of Directors may order any holders of outstanding certificates for shares to surrender and exchange the same for new certificates within a reasonable time to be fixed by the Board of Directors. The order may provide that a holder of any certificate(s) ordered to be surrendered shall not be entitled to vote, receive distributions or exercise any other rights of stockholders of record until the holder has complied with the order, but the order operates to suspend such rights only after notice and until compliance.</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4.05 </w:t>
      </w:r>
      <w:r>
        <w:rPr>
          <w:rFonts w:ascii="Arial" w:cs="Arial" w:eastAsia="Arial" w:hAnsi="Arial"/>
          <w:sz w:val="16"/>
          <w:szCs w:val="16"/>
          <w:u w:val="single" w:color="auto"/>
          <w:color w:val="auto"/>
        </w:rPr>
        <w:t>Transfer of Shares</w:t>
      </w:r>
      <w:r>
        <w:rPr>
          <w:rFonts w:ascii="Arial" w:cs="Arial" w:eastAsia="Arial" w:hAnsi="Arial"/>
          <w:sz w:val="16"/>
          <w:szCs w:val="16"/>
          <w:color w:val="auto"/>
        </w:rPr>
        <w:t>. No transfer of stock shall be valid as against the corporation except on surrender and cancellation of the certificates therefor accompanied by an assignment or transfer by the registered owner made either in person or under assignment. Whenever any transfer shall be expressly made for collateral security and not absolutely, the collateral nature of the transfer shall be reflected in the entry of transfer in the records of the corporation.</w:t>
      </w:r>
    </w:p>
    <w:p>
      <w:pPr>
        <w:spacing w:after="0" w:line="9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4.06 </w:t>
      </w:r>
      <w:r>
        <w:rPr>
          <w:rFonts w:ascii="Arial" w:cs="Arial" w:eastAsia="Arial" w:hAnsi="Arial"/>
          <w:sz w:val="16"/>
          <w:szCs w:val="16"/>
          <w:u w:val="single" w:color="auto"/>
          <w:color w:val="auto"/>
        </w:rPr>
        <w:t>Transfer Agent; Registrars</w:t>
      </w:r>
      <w:r>
        <w:rPr>
          <w:rFonts w:ascii="Arial" w:cs="Arial" w:eastAsia="Arial" w:hAnsi="Arial"/>
          <w:sz w:val="16"/>
          <w:szCs w:val="16"/>
          <w:color w:val="auto"/>
        </w:rPr>
        <w:t>. The Board of Directors may appoint one or more transfer agents, transfer clerk and registrars of transfer and may require all certificates for shares of stock to bear the signature of such transfer agent, transfer clerk and/or registrar of transfer.</w:t>
      </w:r>
    </w:p>
    <w:p>
      <w:pPr>
        <w:spacing w:after="0" w:line="7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4.07 </w:t>
      </w:r>
      <w:r>
        <w:rPr>
          <w:rFonts w:ascii="Arial" w:cs="Arial" w:eastAsia="Arial" w:hAnsi="Arial"/>
          <w:sz w:val="16"/>
          <w:szCs w:val="16"/>
          <w:u w:val="single" w:color="auto"/>
          <w:color w:val="auto"/>
        </w:rPr>
        <w:t>Stock Transfer Records</w:t>
      </w:r>
      <w:r>
        <w:rPr>
          <w:rFonts w:ascii="Arial" w:cs="Arial" w:eastAsia="Arial" w:hAnsi="Arial"/>
          <w:sz w:val="16"/>
          <w:szCs w:val="16"/>
          <w:color w:val="auto"/>
        </w:rPr>
        <w:t>. The stock transfer records shall be closed for a period of at least ten (10) days prior to all meetings of the stockholders and shall be closed for the payment of distributions as provided in Article V hereof and during such periods as, from time to time, may be fixed by the Board of Directors, and, during such periods, no stock shall be transferable for purposes of Article V and no voting rights shall be deemed transferred during such periods. Subject to the foregoing limitations, nothing contained herein shall cause transfers during such periods to be void or voidable.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298" w:name="page299"/>
    <w:bookmarkEnd w:id="298"/>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4.08 </w:t>
      </w:r>
      <w:r>
        <w:rPr>
          <w:rFonts w:ascii="Arial" w:cs="Arial" w:eastAsia="Arial" w:hAnsi="Arial"/>
          <w:sz w:val="18"/>
          <w:szCs w:val="18"/>
          <w:u w:val="single" w:color="auto"/>
          <w:color w:val="auto"/>
        </w:rPr>
        <w:t>Miscellaneous</w:t>
      </w:r>
      <w:r>
        <w:rPr>
          <w:rFonts w:ascii="Arial" w:cs="Arial" w:eastAsia="Arial" w:hAnsi="Arial"/>
          <w:sz w:val="18"/>
          <w:szCs w:val="18"/>
          <w:color w:val="auto"/>
        </w:rPr>
        <w:t>. The Board of Directors shall have the power and authority to make such rules and regulations not inconsistent herewith as it may deem expedient concerning the issue, transfer, and registration of certificates for shares of the corporation’s stock.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Distributions</w:t>
      </w:r>
      <w:r>
        <w:rPr>
          <w:rFonts w:ascii="Arial" w:cs="Arial" w:eastAsia="Arial" w:hAnsi="Arial"/>
          <w:sz w:val="16"/>
          <w:szCs w:val="16"/>
          <w:color w:val="auto"/>
        </w:rPr>
        <w:t>. Distributions may be declared, subject to the provisions of the laws of the State of Nevada and the Articles of Incorporation, by the Board of Directors and may be paid in cash, property, shares of corporate stock, or any other medium. The Board of Directors may fix in advance a record date, as provided in Section 1.06, prior to the distribution for the purpose of determining stockholders entitled to receive any distribution. The Board of Directors may close the stock transfer books for such purpose for a period of not more than ten (10) days prior to the date of such distribution.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RECORDS; REPORTS; SEAL; AND FINANCIAL MATTERS</w:t>
      </w:r>
    </w:p>
    <w:p>
      <w:pPr>
        <w:spacing w:after="0" w:line="1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Records</w:t>
      </w:r>
      <w:r>
        <w:rPr>
          <w:rFonts w:ascii="Arial" w:cs="Arial" w:eastAsia="Arial" w:hAnsi="Arial"/>
          <w:sz w:val="18"/>
          <w:szCs w:val="18"/>
          <w:color w:val="auto"/>
        </w:rPr>
        <w:t>. All original records of the corporation shall be kept by or under the direction of the secretary or at such places as may be prescribed by the Board of Directors.</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6.02 </w:t>
      </w:r>
      <w:r>
        <w:rPr>
          <w:rFonts w:ascii="Arial" w:cs="Arial" w:eastAsia="Arial" w:hAnsi="Arial"/>
          <w:sz w:val="16"/>
          <w:szCs w:val="16"/>
          <w:u w:val="single" w:color="auto"/>
          <w:color w:val="auto"/>
        </w:rPr>
        <w:t>Directors’ and Officers’ Right of Inspection</w:t>
      </w:r>
      <w:r>
        <w:rPr>
          <w:rFonts w:ascii="Arial" w:cs="Arial" w:eastAsia="Arial" w:hAnsi="Arial"/>
          <w:sz w:val="16"/>
          <w:szCs w:val="16"/>
          <w:color w:val="auto"/>
        </w:rPr>
        <w:t>. Every director and officer shall have the absolute right at any reasonable time for a purpose reasonably related to the exercise of such individual’s duties to inspect and copy all of the corporation’s books, records, and documents of every kind and to inspect the physical properties of the corporation and/or its subsidiary corporations. Such inspection may be made in person or by agent or attorney.</w:t>
      </w:r>
    </w:p>
    <w:p>
      <w:pPr>
        <w:spacing w:after="0" w:line="9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of Directors may, by resolution, authorize a seal, and the seal may be used by causing it, or a facsimile, to be impressed or affixed or reproduced or otherwise. Except when otherwise specifically provided herein, any officer of the corporation shall have the authority to affix the seal to any document requiring it.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Fiscal Year-End</w:t>
      </w:r>
      <w:r>
        <w:rPr>
          <w:rFonts w:ascii="Arial" w:cs="Arial" w:eastAsia="Arial" w:hAnsi="Arial"/>
          <w:sz w:val="16"/>
          <w:szCs w:val="16"/>
          <w:color w:val="auto"/>
        </w:rPr>
        <w:t>. The fiscal year-end of the corporation shall be such date as may be fixed from time to time by resolution of the Board of Directors.</w:t>
      </w:r>
    </w:p>
    <w:p>
      <w:pPr>
        <w:spacing w:after="0" w:line="18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6.05 </w:t>
      </w:r>
      <w:r>
        <w:rPr>
          <w:rFonts w:ascii="Arial" w:cs="Arial" w:eastAsia="Arial" w:hAnsi="Arial"/>
          <w:sz w:val="16"/>
          <w:szCs w:val="16"/>
          <w:u w:val="single" w:color="auto"/>
          <w:color w:val="auto"/>
        </w:rPr>
        <w:t>Reserves</w:t>
      </w:r>
      <w:r>
        <w:rPr>
          <w:rFonts w:ascii="Arial" w:cs="Arial" w:eastAsia="Arial" w:hAnsi="Arial"/>
          <w:sz w:val="16"/>
          <w:szCs w:val="16"/>
          <w:color w:val="auto"/>
        </w:rPr>
        <w:t>. The Board of Directors may create, by resolution, such reserves as the directors may, from time to time, in their discretion, deem proper to provide for contingencies, or to equalize distributions or to repair or maintain any property of the corporation, or for such other purpose as the Board of Directors may deem beneficial to the corporation, and the directors may modify or abolish any such reserves in the manner in which they were created.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77" w:lineRule="exact"/>
        <w:rPr>
          <w:sz w:val="20"/>
          <w:szCs w:val="20"/>
          <w:color w:val="auto"/>
        </w:rPr>
      </w:pPr>
    </w:p>
    <w:p>
      <w:pPr>
        <w:ind w:left="1100" w:hanging="239"/>
        <w:spacing w:after="0"/>
        <w:tabs>
          <w:tab w:leader="none" w:pos="110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0" w:firstLine="1492"/>
        <w:spacing w:after="0" w:line="291" w:lineRule="auto"/>
        <w:tabs>
          <w:tab w:leader="none" w:pos="1633" w:val="left"/>
        </w:tabs>
        <w:numPr>
          <w:ilvl w:val="1"/>
          <w:numId w:val="268"/>
        </w:numPr>
        <w:rPr>
          <w:rFonts w:ascii="Arial" w:cs="Arial" w:eastAsia="Arial" w:hAnsi="Arial"/>
          <w:sz w:val="16"/>
          <w:szCs w:val="16"/>
          <w:color w:val="auto"/>
        </w:rPr>
      </w:pPr>
      <w:r>
        <w:rPr>
          <w:rFonts w:ascii="Arial" w:cs="Arial" w:eastAsia="Arial" w:hAnsi="Arial"/>
          <w:sz w:val="16"/>
          <w:szCs w:val="16"/>
          <w:color w:val="auto"/>
        </w:rPr>
        <w:t>For purposes of this Article, (A) “Indemnitee” shall mean each director or officer who was or is a party to, or is threatened to be made a party to, or is otherwise involved in, any Proceeding (as hereinafter defined), by reason of the fact that he or she is or was a director or officer of the Corporation or is or was serving in any capacity at the request of the Corporation as a director, officer, employee, agent, partner, member, managing member, manager or fiduciary of, or in any other capacity for, another corporation or any partnership, joint venture, limited liability company, trust, or other enterprise; and (B) “Proceeding” shall mean any threatened, pending, or completed action, suit or proceeding (including, without limitation, an action, suit or proceeding by or in the right of the Corporation), whether civil, criminal, administrative, or investigative.</w:t>
      </w:r>
    </w:p>
    <w:p>
      <w:pPr>
        <w:spacing w:after="0" w:line="106" w:lineRule="exact"/>
        <w:rPr>
          <w:rFonts w:ascii="Arial" w:cs="Arial" w:eastAsia="Arial" w:hAnsi="Arial"/>
          <w:sz w:val="16"/>
          <w:szCs w:val="16"/>
          <w:color w:val="auto"/>
        </w:rPr>
      </w:pPr>
    </w:p>
    <w:p>
      <w:pPr>
        <w:ind w:left="-60" w:right="20" w:firstLine="1492"/>
        <w:spacing w:after="0" w:line="285" w:lineRule="auto"/>
        <w:tabs>
          <w:tab w:leader="none" w:pos="1682" w:val="left"/>
        </w:tabs>
        <w:numPr>
          <w:ilvl w:val="1"/>
          <w:numId w:val="268"/>
        </w:numPr>
        <w:rPr>
          <w:rFonts w:ascii="Arial" w:cs="Arial" w:eastAsia="Arial" w:hAnsi="Arial"/>
          <w:sz w:val="16"/>
          <w:szCs w:val="16"/>
          <w:color w:val="auto"/>
        </w:rPr>
      </w:pPr>
      <w:r>
        <w:rPr>
          <w:rFonts w:ascii="Arial" w:cs="Arial" w:eastAsia="Arial" w:hAnsi="Arial"/>
          <w:sz w:val="16"/>
          <w:szCs w:val="16"/>
          <w:color w:val="auto"/>
        </w:rPr>
        <w:t xml:space="preserve">Each Indemnitee shall be indemnified and held harmless by the Corporation to the fullest extent permitted by Nevada law,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Indmenitee if a final adjudication establishes that his or her acts or omissions involved intentional misconduct, fraud or a knowing violation of law and was material to the cause of action.</w:t>
      </w:r>
    </w:p>
    <w:p>
      <w:pPr>
        <w:spacing w:after="0" w:line="114" w:lineRule="exact"/>
        <w:rPr>
          <w:rFonts w:ascii="Arial" w:cs="Arial" w:eastAsia="Arial" w:hAnsi="Arial"/>
          <w:sz w:val="16"/>
          <w:szCs w:val="16"/>
          <w:color w:val="auto"/>
        </w:rPr>
      </w:pPr>
    </w:p>
    <w:p>
      <w:pPr>
        <w:ind w:left="-60" w:right="120" w:firstLine="1492"/>
        <w:spacing w:after="0" w:line="268" w:lineRule="auto"/>
        <w:tabs>
          <w:tab w:leader="none" w:pos="1731" w:val="left"/>
        </w:tabs>
        <w:numPr>
          <w:ilvl w:val="1"/>
          <w:numId w:val="268"/>
        </w:numPr>
        <w:rPr>
          <w:rFonts w:ascii="Arial" w:cs="Arial" w:eastAsia="Arial" w:hAnsi="Arial"/>
          <w:sz w:val="18"/>
          <w:szCs w:val="18"/>
          <w:color w:val="auto"/>
        </w:rPr>
      </w:pPr>
      <w:r>
        <w:rPr>
          <w:rFonts w:ascii="Arial" w:cs="Arial" w:eastAsia="Arial" w:hAnsi="Arial"/>
          <w:sz w:val="18"/>
          <w:szCs w:val="18"/>
          <w:color w:val="auto"/>
        </w:rPr>
        <w:t>Indemnification pursuant to this Section shall continue as to an Indemnitee who has ceased to be a director or officer and shall inure to the benefit of his or her heirs, executors and administrators.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300" w:top="274" w:right="299" w:bottom="1440" w:gutter="0" w:footer="0" w:header="0"/>
        </w:sectPr>
      </w:pPr>
    </w:p>
    <w:bookmarkStart w:id="300" w:name="page301"/>
    <w:bookmarkEnd w:id="300"/>
    <w:p>
      <w:pPr>
        <w:ind w:left="-20" w:right="60" w:firstLine="1492"/>
        <w:spacing w:after="0" w:line="288" w:lineRule="auto"/>
        <w:tabs>
          <w:tab w:leader="none" w:pos="1761" w:val="left"/>
        </w:tabs>
        <w:numPr>
          <w:ilvl w:val="1"/>
          <w:numId w:val="2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expenses of directors and officers incurred in defending a Proceeding involving alleged acts or omissions of such director or officer in his or her capacity as a director or officer of the Corporation or while serving in any capacity at the request of the Corporation as a director, officer, employee, agent, partner, member, managing member, manager or fiduciary of, or in any other capacity for, another corporation or any partnership, joint venture, trust, or other enterprise, must be paid by the Corporation or through insurance purchased and maintained by the Corporation or through other financial arrangements made by the Corporation, as they are incurred and in advance of the final disposition of the Proceeding, upon receipt of an undertaking by or on behalf of the director or officer to repay the amount if it is ultimately determined by a court of competent jurisdiction that he or she is not entitled to be indemnified by the Corporation. To the extent that a director or officer of the Corporation is successful on the merits or otherwise in defense of any Proceeding, or in the defense of any claim, issue or matter therein, the Corporation shall indemnify him or her against expenses, including attorneys’ fees, actually and reasonably incurred in by him or her in connection with the defense.</w:t>
      </w:r>
    </w:p>
    <w:p>
      <w:pPr>
        <w:spacing w:after="0" w:line="106" w:lineRule="exact"/>
        <w:rPr>
          <w:rFonts w:ascii="Arial" w:cs="Arial" w:eastAsia="Arial" w:hAnsi="Arial"/>
          <w:sz w:val="16"/>
          <w:szCs w:val="16"/>
          <w:color w:val="auto"/>
        </w:rPr>
      </w:pPr>
    </w:p>
    <w:p>
      <w:pPr>
        <w:ind w:left="-20" w:right="260" w:firstLine="921"/>
        <w:spacing w:after="0" w:line="268" w:lineRule="auto"/>
        <w:tabs>
          <w:tab w:leader="none" w:pos="1141"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Indemnification of Employees and Other Persons</w:t>
      </w:r>
      <w:r>
        <w:rPr>
          <w:rFonts w:ascii="Arial" w:cs="Arial" w:eastAsia="Arial" w:hAnsi="Arial"/>
          <w:sz w:val="18"/>
          <w:szCs w:val="18"/>
          <w:color w:val="auto"/>
        </w:rPr>
        <w:t>. The Corporation may, by action of its Board of Directors and to the extent provided in such action, indemnify employees and other persons as though they were Indemnitees.</w:t>
      </w:r>
    </w:p>
    <w:p>
      <w:pPr>
        <w:spacing w:after="0" w:line="118" w:lineRule="exact"/>
        <w:rPr>
          <w:rFonts w:ascii="Arial" w:cs="Arial" w:eastAsia="Arial" w:hAnsi="Arial"/>
          <w:sz w:val="18"/>
          <w:szCs w:val="18"/>
          <w:color w:val="auto"/>
        </w:rPr>
      </w:pPr>
    </w:p>
    <w:p>
      <w:pPr>
        <w:ind w:left="-20" w:right="60" w:firstLine="921"/>
        <w:spacing w:after="0" w:line="370" w:lineRule="auto"/>
        <w:tabs>
          <w:tab w:leader="none" w:pos="1132" w:val="left"/>
        </w:tabs>
        <w:numPr>
          <w:ilvl w:val="0"/>
          <w:numId w:val="270"/>
        </w:numPr>
        <w:rPr>
          <w:rFonts w:ascii="Arial" w:cs="Arial" w:eastAsia="Arial" w:hAnsi="Arial"/>
          <w:sz w:val="15"/>
          <w:szCs w:val="15"/>
          <w:color w:val="auto"/>
        </w:rPr>
      </w:pPr>
      <w:r>
        <w:rPr>
          <w:rFonts w:ascii="Arial" w:cs="Arial" w:eastAsia="Arial" w:hAnsi="Arial"/>
          <w:sz w:val="15"/>
          <w:szCs w:val="15"/>
          <w:u w:val="single" w:color="auto"/>
          <w:color w:val="auto"/>
        </w:rPr>
        <w:t>Non-Exclusivity of Rights</w:t>
      </w:r>
      <w:r>
        <w:rPr>
          <w:rFonts w:ascii="Arial" w:cs="Arial" w:eastAsia="Arial" w:hAnsi="Arial"/>
          <w:sz w:val="15"/>
          <w:szCs w:val="15"/>
          <w:color w:val="auto"/>
        </w:rPr>
        <w:t>. The rights to indemnification provided in this Article shall not be exclusive of any other rights that any person may have or hereafter acquire under any statute, provision of the Articles of Incorporation or these Bylaws, agreement, vote of stockholders or directors, or otherwise.</w:t>
      </w:r>
    </w:p>
    <w:p>
      <w:pPr>
        <w:spacing w:after="0" w:line="48" w:lineRule="exact"/>
        <w:rPr>
          <w:rFonts w:ascii="Arial" w:cs="Arial" w:eastAsia="Arial" w:hAnsi="Arial"/>
          <w:sz w:val="15"/>
          <w:szCs w:val="15"/>
          <w:color w:val="auto"/>
        </w:rPr>
      </w:pPr>
    </w:p>
    <w:p>
      <w:pPr>
        <w:ind w:left="-20" w:firstLine="921"/>
        <w:spacing w:after="0" w:line="291" w:lineRule="auto"/>
        <w:tabs>
          <w:tab w:leader="none" w:pos="1141"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Corporation may purchase and maintain insurance or make other financial arrangements on behalf of any person who is or was a director, officer, employee, or agent of the Corporation or member or managing member of a predecessor limited liability company or affiliate of such limited liability company, or is or was serving at the request of the Corporation as a director, officer, employee, member, managing member or agent of another Corporation, partnership, limited liability company, joint venture, trust, or other enterprise for any liability asserted against him or her and liability and expenses incurred by him or her in his or her capacity as a director, officer, employee or agent, or arising out of his or her status as such, whether or not the Corporation has the authority to indemnify him or her against such liability and expenses.</w:t>
      </w:r>
    </w:p>
    <w:p>
      <w:pPr>
        <w:spacing w:after="0" w:line="106" w:lineRule="exact"/>
        <w:rPr>
          <w:rFonts w:ascii="Arial" w:cs="Arial" w:eastAsia="Arial" w:hAnsi="Arial"/>
          <w:sz w:val="16"/>
          <w:szCs w:val="16"/>
          <w:color w:val="auto"/>
        </w:rPr>
      </w:pPr>
    </w:p>
    <w:p>
      <w:pPr>
        <w:ind w:left="-20" w:firstLine="921"/>
        <w:spacing w:after="0" w:line="294" w:lineRule="auto"/>
        <w:tabs>
          <w:tab w:leader="none" w:pos="1132"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Other Financial Arrangements</w:t>
      </w:r>
      <w:r>
        <w:rPr>
          <w:rFonts w:ascii="Arial" w:cs="Arial" w:eastAsia="Arial" w:hAnsi="Arial"/>
          <w:sz w:val="16"/>
          <w:szCs w:val="16"/>
          <w:color w:val="auto"/>
        </w:rPr>
        <w:t>. The other financial arrangements which may be made by the Corporation may include the following (i) the creation of a trust fund; (ii) the establishment of a program of self-insurance; (iii) the securing of its obligation of indemnification by granting a security interest or other lien on any assets of the Corporation;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102" w:lineRule="exact"/>
        <w:rPr>
          <w:rFonts w:ascii="Arial" w:cs="Arial" w:eastAsia="Arial" w:hAnsi="Arial"/>
          <w:sz w:val="16"/>
          <w:szCs w:val="16"/>
          <w:color w:val="auto"/>
        </w:rPr>
      </w:pPr>
    </w:p>
    <w:p>
      <w:pPr>
        <w:ind w:left="-20" w:right="580" w:firstLine="921"/>
        <w:spacing w:after="0" w:line="268" w:lineRule="auto"/>
        <w:tabs>
          <w:tab w:leader="none" w:pos="1112"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Other Matters Relating to Insurance or Financial Arrangements</w:t>
      </w:r>
      <w:r>
        <w:rPr>
          <w:rFonts w:ascii="Arial" w:cs="Arial" w:eastAsia="Arial" w:hAnsi="Arial"/>
          <w:sz w:val="18"/>
          <w:szCs w:val="18"/>
          <w:color w:val="auto"/>
        </w:rPr>
        <w:t>. Any insurance or other financial arrangement made on behalf of a person pursuant to this Section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80" w:right="259" w:bottom="1440" w:gutter="0" w:footer="0" w:header="0"/>
        </w:sectPr>
      </w:pPr>
    </w:p>
    <w:bookmarkStart w:id="301" w:name="page302"/>
    <w:bookmarkEnd w:id="301"/>
    <w:p>
      <w:pPr>
        <w:ind w:right="10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Section and the choice of the person to provide the insurance or other financial arrangement is conclusive; and</w:t>
      </w:r>
    </w:p>
    <w:p>
      <w:pPr>
        <w:spacing w:after="0" w:line="1" w:lineRule="exact"/>
        <w:rPr>
          <w:sz w:val="20"/>
          <w:szCs w:val="20"/>
          <w:color w:val="auto"/>
        </w:rPr>
      </w:pPr>
    </w:p>
    <w:p>
      <w:pPr>
        <w:ind w:right="60" w:firstLine="8"/>
        <w:spacing w:after="0" w:line="323" w:lineRule="auto"/>
        <w:tabs>
          <w:tab w:leader="none" w:pos="258"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7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7.02 </w:t>
      </w:r>
      <w:r>
        <w:rPr>
          <w:rFonts w:ascii="Arial" w:cs="Arial" w:eastAsia="Arial" w:hAnsi="Arial"/>
          <w:sz w:val="16"/>
          <w:szCs w:val="16"/>
          <w:u w:val="single" w:color="auto"/>
          <w:color w:val="auto"/>
        </w:rPr>
        <w:t>Amendment</w:t>
      </w:r>
      <w:r>
        <w:rPr>
          <w:rFonts w:ascii="Arial" w:cs="Arial" w:eastAsia="Arial" w:hAnsi="Arial"/>
          <w:sz w:val="16"/>
          <w:szCs w:val="16"/>
          <w:color w:val="auto"/>
        </w:rPr>
        <w:t>. The provisions of this Article VII relating to indemnification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Article VIII below), no repeal or amendment of these Bylaws shall affect any or all of this Article VII so as to limit or reduce the indemnification in any manner unless adopted by (a) the unanimous vote of the directors of the Corporation then serving, or (b) by the stockholders as set forth in Article VIII hereof; provided that no such amendment shall have a retroactive effect inconsistent with the preceding sentence.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OR REPEAL</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Except as otherwise restricted in the Articles of Incorporation or these Bylaws:</w:t>
      </w:r>
    </w:p>
    <w:p>
      <w:pPr>
        <w:spacing w:after="0" w:line="77" w:lineRule="exact"/>
        <w:rPr>
          <w:sz w:val="20"/>
          <w:szCs w:val="20"/>
          <w:color w:val="auto"/>
        </w:rPr>
      </w:pPr>
    </w:p>
    <w:p>
      <w:pPr>
        <w:ind w:firstLine="921"/>
        <w:spacing w:after="0" w:line="259" w:lineRule="auto"/>
        <w:tabs>
          <w:tab w:leader="none" w:pos="115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provision of these Bylaws may be altered, amended or repealed by the Board of Directors at the annual meeting of the Board of Directors without prior notice, or at any special meeting of the Board of Directors if notice of such alteration, amendment or repeal is contained in the notice of such special meeting.</w:t>
      </w:r>
    </w:p>
    <w:p>
      <w:pPr>
        <w:spacing w:after="0" w:line="126" w:lineRule="exact"/>
        <w:rPr>
          <w:rFonts w:ascii="Arial" w:cs="Arial" w:eastAsia="Arial" w:hAnsi="Arial"/>
          <w:sz w:val="18"/>
          <w:szCs w:val="18"/>
          <w:color w:val="auto"/>
        </w:rPr>
      </w:pPr>
    </w:p>
    <w:p>
      <w:pPr>
        <w:ind w:right="40" w:firstLine="921"/>
        <w:spacing w:after="0" w:line="306" w:lineRule="auto"/>
        <w:tabs>
          <w:tab w:leader="none" w:pos="1162"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These Bylaws may also be altered, amended, or repealed at a duly convened meeting of the stockholders by the affirmative vote of the holders of a majority of the voting power of the corporation entitled to vote. The stockholders may provide by resolution that any Bylaw provision altered, amended or repealed by them, or any Bylaw provision adopted by them, may not be altered, amended or repealed by the Board of Directors.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NEVADA LAW</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Changes in Nevada Law</w:t>
      </w:r>
      <w:r>
        <w:rPr>
          <w:rFonts w:ascii="Arial" w:cs="Arial" w:eastAsia="Arial" w:hAnsi="Arial"/>
          <w:sz w:val="18"/>
          <w:szCs w:val="18"/>
          <w:color w:val="auto"/>
        </w:rPr>
        <w:t>. References in these Bylaws to Nevada law or the Nevada Revised Statutes or to any provision thereof shall be to such law as it existed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302" w:name="page303"/>
    <w:bookmarkEnd w:id="30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these Bylaws were adopted or as such law thereafter may be changed; provided that (a) in the case of any change which expands the liability of directors or officers or limits the indemnification rights or the rights to advancement of expenses which the corporation may provide in Article VII hereof, the rights to limited liability, to indemnification and to the advancement of expenses provided in the corporation’s Articles of Incorporation and/or these Bylaws shall continue as theretofore to the extent permitted by law; and (b) if such change permits the corporation, without the requirement of any further action by stockholders or directors, to limit further the liability of directors or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SEPARATENESS COVENANTS AND CORPORATION RESTRICTIONS</w:t>
      </w:r>
    </w:p>
    <w:p>
      <w:pPr>
        <w:spacing w:after="0" w:line="15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Conduct</w:t>
      </w:r>
      <w:r>
        <w:rPr>
          <w:rFonts w:ascii="Arial" w:cs="Arial" w:eastAsia="Arial" w:hAnsi="Arial"/>
          <w:sz w:val="15"/>
          <w:szCs w:val="15"/>
          <w:color w:val="auto"/>
        </w:rPr>
        <w:t>. The corporation shall (a) conduct business in its own name and hold itself out as a separate entity, (b) correct any known misunderstanding regarding its separate identity, (c) maintain a separate office location or, if the corporation shares office space with others, pay its fair allocable share of overhead costs, (d) have separate stationery and checks in its own name (as well as separate invoices in its own name to the extent that the corporation uses invoices in the conduct of its business), and (e) observe all organizational formalities. The corporation shall not use the name of Wynn Resorts, Limited (“WRL”) or any other Person (as hereinafter defined), or permit WRL or any other Person to use the name of the corporation; or engage in any other action that would reasonably be expected to call into question the separate identity of (i) the corporation or any of the other Restricted Entities (as hereinafter defined) from</w:t>
      </w:r>
    </w:p>
    <w:p>
      <w:pPr>
        <w:spacing w:after="0" w:line="1" w:lineRule="exact"/>
        <w:rPr>
          <w:sz w:val="20"/>
          <w:szCs w:val="20"/>
          <w:color w:val="auto"/>
        </w:rPr>
      </w:pPr>
    </w:p>
    <w:p>
      <w:pPr>
        <w:ind w:right="20" w:firstLine="8"/>
        <w:spacing w:after="0" w:line="285" w:lineRule="auto"/>
        <w:tabs>
          <w:tab w:leader="none" w:pos="258"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any of the Wynn NR Entities (as hereinafter defined), or to create or increase any risk that the assets of the corporation will be consolidated with those of the Wynn NR Entities or any other Person (other than a Restricted Entity) under applicable federal or state bankruptcy or insolvency law. The corporation shall maintain adequate capital in light of its contemplated business purpose, transactions and liabilities; provided, however, that the foregoing shall not be construed as imposing an obligation on any member to contribute additional capital to the Company in order to satisfy the liabilities of the Company (it being understood, however, that a member separately may incur contractual liabilities with respect to certain liabilities of the Company, including pursuant to the Indenture Documents and the Bank Documents). For these purposes, (A) the term “Wynn NR Entities” shall mean WRL and any of its Affiliates (defined below) (excluding, however, the Restricted Entities); (B) the term “Restricted Entities” shall mean this corporation; Valvino Lamore, LLC, a Nevada limited liability company; Palo, LLC, a Delaware limited liability company; Wynn Resorts Holdings, LLC, a Nevada limited liability company; Desert Inn Water Company, LLC, a Nevada limited liability company; Wynn Design &amp; Development, LLC, a Nevada limited liability company; World Travel, LLC, a Nevada limited liability company; Las Vegas Jet, LLC, a Nevada limited liability company; and Wynn Las Vegas, LLC, a Nevada limited liability company; (C) the term “Person” shall mean a natural person, any form of business or social organization and any other non-governmental legal entity including, but not limited to, a corporation, partnership, association, trust, unincorporated organization, estate or limited liability company; (D) the term “Indenture Documents” shall mean that certain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303" w:name="page304"/>
    <w:bookmarkEnd w:id="303"/>
    <w:p>
      <w:pPr>
        <w:ind w:right="1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by and among Wynn Las Vegas, LLC and Wynn Las Vegas Capital Corp., as joint and several obligors, Desert Inn Water Company, LLC, Wynn Design &amp; Development, LLC, Wynn Resorts Holdings, LLC, Las Vegas Jet, LLC, World Travel, LLC, Palo, LLC and Valvino Lamore, LLC, as guarantors, and Wells Fargo Bank Northwest, National Association, as trustee, entered into in connection with the offer and sale of up to $450,000,000 aggregate principal amount of Second Mortgage Notes due 2010 of Wynn Las Vegas, LLC and Wynn Las Vegas Capital Corp., and all documents, instruments and agreements executed or delivered in connection therewith, as the foregoing may from time to time be supplemented, modified, amended, restated, refinanced or replaced, with the same or any successor or replacement trustee or agent; and (E) the term “Bank Documents” shall mean that certain Credit Agreement, among Wynn Las Vegas, LLC, the lenders party thereto, Deutsche Bank Securities, Inc., as lead arranger and joint book running manager, Deutsche Bank Trust Company Americas, as administrative agent and swing line lender, Banc of America Securities LLC, as lead arranger, joint book running manager and syndication agent, Bear, Stearns &amp; Co. Inc., as arranger and joint book running manager, Bear Stearns Corporate Lending Inc., as joint documentation agent, and Dresdner Bank AG, New York Branch, as arranger and joint documentation agent, entered into to finance the development and construction of the Le Casino Resort, and all documents, instruments and agreements executed or delivered in connection therewith, as the foregoing may from time to time be supplemented, modified, amended, restated, refinanced or replaced, with the same or any successor or replacement agents and lenders.</w:t>
      </w:r>
    </w:p>
    <w:p>
      <w:pPr>
        <w:spacing w:after="0" w:line="1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Obligations</w:t>
      </w:r>
      <w:r>
        <w:rPr>
          <w:rFonts w:ascii="Arial" w:cs="Arial" w:eastAsia="Arial" w:hAnsi="Arial"/>
          <w:sz w:val="18"/>
          <w:szCs w:val="18"/>
          <w:color w:val="auto"/>
        </w:rPr>
        <w:t>. All obligations and indebtedness of any kind incurred by the corporation shall be paid from the assets of the corporation and the corporation’s assets shall not be used to pay any obligation or indebtedness of Wynn NR Entities. The corporation shall not hold itself out, or permit itself to be held out, as having agreed to pay or be liable for the debts of any of the Wynn NR Entities or hold out its credit or assets as being available to satisfy the obligations of others and shall not cause or permit others to hold out their credit or assets as being available to satisfy its obligations except for guarantees among the Restricted Entities.</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corporation shall comply in all material respects with all applicable laws, rules, regulations and orders, such compliance to include, without limitation, paying before the same become delinquent all taxes, assessments and governmental charges imposed upon it or upon its property, except to the extent contested in good faith.</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77" w:lineRule="exact"/>
        <w:rPr>
          <w:sz w:val="20"/>
          <w:szCs w:val="20"/>
          <w:color w:val="auto"/>
        </w:rPr>
      </w:pPr>
    </w:p>
    <w:p>
      <w:pPr>
        <w:ind w:right="20" w:firstLine="921"/>
        <w:spacing w:after="0" w:line="259" w:lineRule="auto"/>
        <w:tabs>
          <w:tab w:leader="none" w:pos="115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corporation shall require that all full-time employees of the corporation identify themselves as such and not as employees of any of the Wynn NR Entities (including, without limitation, by means of providing appropriate directors and employees with business or identification cards identifying such directors and employees as the corporation’s directors and employees).</w:t>
      </w:r>
    </w:p>
    <w:p>
      <w:pPr>
        <w:spacing w:after="0" w:line="126" w:lineRule="exact"/>
        <w:rPr>
          <w:rFonts w:ascii="Arial" w:cs="Arial" w:eastAsia="Arial" w:hAnsi="Arial"/>
          <w:sz w:val="18"/>
          <w:szCs w:val="18"/>
          <w:color w:val="auto"/>
        </w:rPr>
      </w:pPr>
    </w:p>
    <w:p>
      <w:pPr>
        <w:ind w:right="280" w:firstLine="921"/>
        <w:spacing w:after="0" w:line="268" w:lineRule="auto"/>
        <w:tabs>
          <w:tab w:leader="none" w:pos="116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To the extent the following Persons provide services to the corporation, the corporation shall compensate all directors, employees, consultants and agents directly, from corporation’s bank accounts, for services provided to the corporation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304" w:name="page305"/>
    <w:bookmarkEnd w:id="304"/>
    <w:p>
      <w:pPr>
        <w:jc w:val="both"/>
        <w:ind w:right="30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by such directors, employees, consultants and agents, except to the extent that any director, employee, consultant or agent of the corporation is also a director, employee, consultant or agent of any of the Wynn NR Entities and the compensation of such director, employee, consultant or agent is allocated between the corporation and such Wynn NR Entities on a basis that reflects in a reasonable manner the services rendered to the corporation and such Wynn NR Entities.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86" w:lineRule="auto"/>
        <w:tabs>
          <w:tab w:leader="none" w:pos="1152"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corporation shall conduct all transactions with any Wynn NR Entities on an arms’-length basis, excluding payment of certain management fees or distributions to the extent of available and unrestricted funds, and only as permitted by the agreements governing its indebtedness or other obligations. The corporation shall allocate all overhead expenses (including, without limitation, shared office space and telephone and other utility charges) for items shared between the corporation and such Wynn NR Entities on the basis of actual use to the extent practicable and, to the extent such allocation is not practicable, on a basis reasonably related to actual use. The corporation shall not commingle any funds or other assets with those of any Wynn NR Entities, and the corporation shall maintain its books, records, and accounts in a manner that appropriately reflects that its assets and liabilities are separate and apart from those of its Affiliates, including any Wynn NR Entities. The corporation will not acquire any obligations or securities of any Wynn NR Entities. For these purposes, the term “Affiliate” shall mean with respect to a specified Person, any other Person who or which is (i) directly or indirectly controlling, controlled by or under common control with the specified Person, or (ii) any member, stockholder, director, officer, manager, or comparable principal of, or relative or spouse of, the specified Person. For purposes of this definition, “control”, “controlling”, and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10" w:lineRule="exact"/>
        <w:rPr>
          <w:rFonts w:ascii="Arial" w:cs="Arial" w:eastAsia="Arial" w:hAnsi="Arial"/>
          <w:sz w:val="16"/>
          <w:szCs w:val="16"/>
          <w:color w:val="auto"/>
        </w:rPr>
      </w:pPr>
    </w:p>
    <w:p>
      <w:pPr>
        <w:ind w:right="100" w:firstLine="921"/>
        <w:spacing w:after="0" w:line="256" w:lineRule="auto"/>
        <w:tabs>
          <w:tab w:leader="none" w:pos="116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Except for master or blanket policies covering the corporation and any Affiliate(s) or the property of the corporation and Wynn NR Entities, the costs of which are allocated between the corporation and any Wynn NR Entities on a reasonable basis, the corporation will not permit itself to be named as an insured on the insurance policy covering the property of any Wynn NR Entities or enter into an agreement with the holder of such policy whereby in the event of a loss in connection with such property, proceeds are paid to the corporation.</w:t>
      </w:r>
    </w:p>
    <w:p>
      <w:pPr>
        <w:spacing w:after="0" w:line="129" w:lineRule="exact"/>
        <w:rPr>
          <w:rFonts w:ascii="Arial" w:cs="Arial" w:eastAsia="Arial" w:hAnsi="Arial"/>
          <w:sz w:val="18"/>
          <w:szCs w:val="18"/>
          <w:color w:val="auto"/>
        </w:rPr>
      </w:pPr>
    </w:p>
    <w:p>
      <w:pPr>
        <w:ind w:right="380" w:firstLine="921"/>
        <w:spacing w:after="0" w:line="268" w:lineRule="auto"/>
        <w:tabs>
          <w:tab w:leader="none" w:pos="115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corporation shall not permit any Wynn NR Entities to pay any part of the corporation’s operating expenses except pursuant to allocation arrangements that comply with the requirements of this Article X.</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Other Limitations</w:t>
      </w:r>
      <w:r>
        <w:rPr>
          <w:rFonts w:ascii="Arial" w:cs="Arial" w:eastAsia="Arial" w:hAnsi="Arial"/>
          <w:sz w:val="18"/>
          <w:szCs w:val="18"/>
          <w:color w:val="auto"/>
        </w:rPr>
        <w:t>.</w:t>
      </w:r>
    </w:p>
    <w:p>
      <w:pPr>
        <w:spacing w:after="0" w:line="77" w:lineRule="exact"/>
        <w:rPr>
          <w:sz w:val="20"/>
          <w:szCs w:val="20"/>
          <w:color w:val="auto"/>
        </w:rPr>
      </w:pPr>
    </w:p>
    <w:p>
      <w:pPr>
        <w:ind w:left="1160" w:hanging="239"/>
        <w:spacing w:after="0"/>
        <w:tabs>
          <w:tab w:leader="none" w:pos="11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corporation shall not:</w:t>
      </w:r>
    </w:p>
    <w:p>
      <w:pPr>
        <w:spacing w:after="0" w:line="76" w:lineRule="exact"/>
        <w:rPr>
          <w:rFonts w:ascii="Arial" w:cs="Arial" w:eastAsia="Arial" w:hAnsi="Arial"/>
          <w:sz w:val="18"/>
          <w:szCs w:val="18"/>
          <w:color w:val="auto"/>
        </w:rPr>
      </w:pPr>
    </w:p>
    <w:p>
      <w:pPr>
        <w:ind w:left="1700" w:hanging="208"/>
        <w:spacing w:after="0"/>
        <w:tabs>
          <w:tab w:leader="none" w:pos="17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engage, or hold itself out as being engaged, primarily in the business of investing, reinvesting, or trading in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9" w:right="259" w:bottom="1440" w:gutter="0" w:footer="0" w:header="0"/>
        </w:sectPr>
      </w:pPr>
    </w:p>
    <w:bookmarkStart w:id="305" w:name="page306"/>
    <w:bookmarkEnd w:id="305"/>
    <w:p>
      <w:pPr>
        <w:ind w:left="1700" w:hanging="268"/>
        <w:spacing w:after="0"/>
        <w:tabs>
          <w:tab w:leader="none" w:pos="17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engage, or propose to engage, in the business of issuing face-amount certificates of the installment type; or</w:t>
      </w:r>
    </w:p>
    <w:p>
      <w:pPr>
        <w:spacing w:after="0" w:line="157" w:lineRule="exact"/>
        <w:rPr>
          <w:rFonts w:ascii="Arial" w:cs="Arial" w:eastAsia="Arial" w:hAnsi="Arial"/>
          <w:sz w:val="18"/>
          <w:szCs w:val="18"/>
          <w:color w:val="auto"/>
        </w:rPr>
      </w:pPr>
    </w:p>
    <w:p>
      <w:pPr>
        <w:jc w:val="both"/>
        <w:ind w:left="-60" w:right="80" w:firstLine="1492"/>
        <w:spacing w:after="0" w:line="259" w:lineRule="auto"/>
        <w:tabs>
          <w:tab w:leader="none" w:pos="1731" w:val="left"/>
        </w:tabs>
        <w:numPr>
          <w:ilvl w:val="1"/>
          <w:numId w:val="277"/>
        </w:numPr>
        <w:rPr>
          <w:rFonts w:ascii="Arial" w:cs="Arial" w:eastAsia="Arial" w:hAnsi="Arial"/>
          <w:sz w:val="18"/>
          <w:szCs w:val="18"/>
          <w:color w:val="auto"/>
        </w:rPr>
      </w:pPr>
      <w:r>
        <w:rPr>
          <w:rFonts w:ascii="Arial" w:cs="Arial" w:eastAsia="Arial" w:hAnsi="Arial"/>
          <w:sz w:val="18"/>
          <w:szCs w:val="18"/>
          <w:color w:val="auto"/>
        </w:rPr>
        <w:t>engage or propose to engage, in the business of investing, reinvesting, owning, holding, or trading in securities and own, or propose to acquire, investment securities having a value exceeding 40% of the value of the corporation’s total assets (exclusive of government securities and cash items) on an unconsolidated basis.</w:t>
      </w:r>
    </w:p>
    <w:p>
      <w:pPr>
        <w:spacing w:after="0" w:line="126" w:lineRule="exact"/>
        <w:rPr>
          <w:rFonts w:ascii="Arial" w:cs="Arial" w:eastAsia="Arial" w:hAnsi="Arial"/>
          <w:sz w:val="18"/>
          <w:szCs w:val="18"/>
          <w:color w:val="auto"/>
        </w:rPr>
      </w:pPr>
    </w:p>
    <w:p>
      <w:pPr>
        <w:ind w:left="-60" w:firstLine="921"/>
        <w:spacing w:after="0" w:line="332" w:lineRule="auto"/>
        <w:tabs>
          <w:tab w:leader="none" w:pos="1102"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corporation shall not be subject to the limitation set forth in Section 10.6(a)(iii) if it shall be primarily engaged, directly or through a wholly-owned subsidiary or subsidiaries in a business or businesses other than that of investing reinvesting, owning, holding, or trading in securities.</w:t>
      </w:r>
    </w:p>
    <w:p>
      <w:pPr>
        <w:spacing w:after="0" w:line="71" w:lineRule="exact"/>
        <w:rPr>
          <w:rFonts w:ascii="Arial" w:cs="Arial" w:eastAsia="Arial" w:hAnsi="Arial"/>
          <w:sz w:val="16"/>
          <w:szCs w:val="16"/>
          <w:color w:val="auto"/>
        </w:rPr>
      </w:pPr>
    </w:p>
    <w:p>
      <w:pPr>
        <w:ind w:left="-60" w:right="80" w:firstLine="921"/>
        <w:spacing w:after="0" w:line="298" w:lineRule="auto"/>
        <w:tabs>
          <w:tab w:leader="none" w:pos="1092" w:val="left"/>
        </w:tabs>
        <w:numPr>
          <w:ilvl w:val="0"/>
          <w:numId w:val="278"/>
        </w:numPr>
        <w:rPr>
          <w:rFonts w:ascii="Arial" w:cs="Arial" w:eastAsia="Arial" w:hAnsi="Arial"/>
          <w:sz w:val="16"/>
          <w:szCs w:val="16"/>
          <w:color w:val="auto"/>
        </w:rPr>
      </w:pPr>
      <w:r>
        <w:rPr>
          <w:rFonts w:ascii="Arial" w:cs="Arial" w:eastAsia="Arial" w:hAnsi="Arial"/>
          <w:sz w:val="16"/>
          <w:szCs w:val="16"/>
          <w:color w:val="auto"/>
        </w:rPr>
        <w:t>For the purpose of this Section 10.6, the terms “face-amount certificates of the installment type”, “government securities”, “investment securities”, “securities”, and “wholly-owned subsidiary” shall have the meanings ascribed to them under the Investment Company Act of 1940, as amended (the “1940 Act”), and the rules and regulations thereunder. This Section 10.6 shall be interpreted and construed so that the Company shall not be an “investment company” as defined in the 1940 Act but shall not otherwise be interpreted or construed to limit otherwise the purposes and powers of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300" w:top="279" w:right="299" w:bottom="1440" w:gutter="0" w:footer="0" w:header="0"/>
        </w:sectPr>
      </w:pPr>
    </w:p>
    <w:bookmarkStart w:id="306" w:name="page307"/>
    <w:bookmarkEnd w:id="306"/>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64" w:lineRule="exact"/>
        <w:rPr>
          <w:sz w:val="20"/>
          <w:szCs w:val="20"/>
          <w:color w:val="auto"/>
        </w:rPr>
      </w:pPr>
    </w:p>
    <w:p>
      <w:pPr>
        <w:ind w:firstLine="456"/>
        <w:spacing w:after="0" w:line="317" w:lineRule="auto"/>
        <w:rPr>
          <w:sz w:val="20"/>
          <w:szCs w:val="20"/>
          <w:color w:val="auto"/>
        </w:rPr>
      </w:pPr>
      <w:r>
        <w:rPr>
          <w:rFonts w:ascii="Arial" w:cs="Arial" w:eastAsia="Arial" w:hAnsi="Arial"/>
          <w:sz w:val="17"/>
          <w:szCs w:val="17"/>
          <w:color w:val="auto"/>
        </w:rPr>
        <w:t>The undersigned, as the duly elected secretary of Wynn Las Vegas Capital Corp., a Nevada corporation (the “Corporation”), does hereby certify that the Board of Directors of the Corporation adopted the foregoing First Amended and Restated Bylaws on the 21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day of October, 2002.</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 H. Rubinstein, Secretary</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240" w:top="274" w:right="51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3.6</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LAS VEGAS CAPITAL CORP.</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First Amended and Restated Bylaws of Wynn Las Vegas Capital Corp., a Nevada corporation (the “Corporation”), adopted by the Board of Directors and sole stockholder of the Corporation on October 21, 2002, have been amended such that clause (B) of the last sentence of Section 10.1 of Article X reads in its entirety as follows:</w:t>
      </w:r>
    </w:p>
    <w:p>
      <w:pPr>
        <w:spacing w:after="0" w:line="46"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“(B) the term “Restricted Entities” shall mean this corporation; Valvino Lamore, LLC, a Nevada limited liability company; Palo, LLC, a Delaware limited liability company; Wynn Resorts Holdings, LLC, a Nevada limited liability company; Desert Inn Water Company, LLC, a Nevada limited liability company; Wynn Design &amp; Development, LLC, a Nevada limited liability company; World Travel, LLC, a Nevada limited liability company; Las Vegas Jet, LLC, a Nevada limited liability company; Wynn Las Vegas, LLC, a Nevada limited liability company; Desert Inn Improvement Co., a Nevada corporation; Wynn Completion Guarantor, LLC, a Nevada limited liability company; and any entity in which any of the foregoing entities directly or indirectly own an equity interest;”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08" w:name="page309"/>
    <w:bookmarkEnd w:id="30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64"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undersigned, as the duly elected Secretary of Wynn Las Vegas Capital Corp., a Nevada corporation (the “Corporation”), does hereby certify that the Board of Directors and the sole stockholder of the Corporation adopted the foregoing First Amendment to the First Amended and Restated Bylaws on the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December, 2002.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 H. Rubinstein, Secretary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3.7</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CAPITAL CORP.</w:t>
      </w:r>
    </w:p>
    <w:p>
      <w:pPr>
        <w:spacing w:after="0" w:line="151"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The First Amended and Restated Bylaws of Wynn Las Vegas Capital Corp., a Nevada corporation (the “Corporation”), adopted by the Board of Directors and sole stockholder of the Corporation on October 21, 2002, as amended on December 9, 2002 (the “Bylaws”), have been amended as follows, which amendment is effective as of the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December, 2004:</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Section 2.01 of Article II of the Bylaws is hereby replaced in its entirety with the following:</w:t>
      </w:r>
    </w:p>
    <w:p>
      <w:pPr>
        <w:spacing w:after="0" w:line="63"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Unless a larger number is required by the laws of the State of Nevada or the Articles of Incorporation or until changed in the manner provided herein, the Board of Directors of the corporation shall consist of at least one (1) individual and not more than thirteen</w:t>
      </w:r>
    </w:p>
    <w:p>
      <w:pPr>
        <w:ind w:left="460" w:right="220" w:firstLine="4"/>
        <w:spacing w:after="0" w:line="255" w:lineRule="auto"/>
        <w:tabs>
          <w:tab w:leader="none" w:pos="79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individuals. Except as provided in Section 2.06 below, the directors shall be elected at the annual meeting of the stockholders of the corporation and shall hold office until their successors are elected and qualify or until their earlier resignation or removal. A director need not be a stockholder of the corporation.”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Article X of the Bylaws is hereby replaced in its entirety with the following: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CONDUCT AND SEPARATENESS COVENANTS</w:t>
      </w:r>
    </w:p>
    <w:p>
      <w:pPr>
        <w:spacing w:after="0" w:line="70" w:lineRule="exact"/>
        <w:rPr>
          <w:sz w:val="20"/>
          <w:szCs w:val="20"/>
          <w:color w:val="auto"/>
        </w:rPr>
      </w:pPr>
    </w:p>
    <w:p>
      <w:pPr>
        <w:ind w:left="460" w:right="20" w:firstLine="438"/>
        <w:spacing w:after="0" w:line="268" w:lineRule="auto"/>
        <w:rPr>
          <w:sz w:val="20"/>
          <w:szCs w:val="20"/>
          <w:color w:val="auto"/>
        </w:rPr>
      </w:pPr>
      <w:r>
        <w:rPr>
          <w:rFonts w:ascii="Arial" w:cs="Arial" w:eastAsia="Arial" w:hAnsi="Arial"/>
          <w:sz w:val="18"/>
          <w:szCs w:val="18"/>
          <w:color w:val="auto"/>
        </w:rPr>
        <w:t>The corporation shall conduct business in its own name and hold itself out as a separate entity, and correct any known misunderstanding regarding its separate identity.”</w:t>
      </w:r>
    </w:p>
    <w:p>
      <w:pPr>
        <w:sectPr>
          <w:pgSz w:w="11900" w:h="16838" w:orient="portrait"/>
          <w:cols w:equalWidth="0" w:num="1">
            <w:col w:w="11420"/>
          </w:cols>
          <w:pgMar w:left="240" w:top="125" w:right="239" w:bottom="1440" w:gutter="0" w:footer="0" w:header="0"/>
        </w:sectPr>
      </w:pPr>
    </w:p>
    <w:bookmarkStart w:id="310" w:name="page311"/>
    <w:bookmarkEnd w:id="31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CERTIFICATION</w:t>
      </w:r>
    </w:p>
    <w:p>
      <w:pPr>
        <w:spacing w:after="0" w:line="16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7"/>
          <w:szCs w:val="17"/>
          <w:color w:val="auto"/>
        </w:rPr>
        <w:t>The undersigned, as the duly elected Secretary of Wynn Las Vegas Capital Corp., a Nevada corporation (the “Corporation”), does hereby certify that the Board of Directors and the sole stockholder of the Corporation adopted the foregoing Second Amendment to the First Amended and Restated Bylaws as of the 9th day of December, 2004, and that such amendment is effective as of the 14</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December 2004.</w:t>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 H. Rubinstein, Secretary</w:t>
      </w:r>
    </w:p>
    <w:p>
      <w:pPr>
        <w:sectPr>
          <w:pgSz w:w="11900" w:h="16838" w:orient="portrait"/>
          <w:cols w:equalWidth="0" w:num="1">
            <w:col w:w="11160"/>
          </w:cols>
          <w:pgMar w:left="240" w:top="273" w:right="49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3.8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ARTICLES OF ORGANIZATION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GOLF, LLC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Nevada Revised Statutes Sections 86.221 and 86.226, the undersigned does hereby declare and certify that:</w:t>
      </w:r>
    </w:p>
    <w:p>
      <w:pPr>
        <w:spacing w:after="0" w:line="77" w:lineRule="exact"/>
        <w:rPr>
          <w:sz w:val="20"/>
          <w:szCs w:val="20"/>
          <w:color w:val="auto"/>
        </w:rPr>
      </w:pPr>
    </w:p>
    <w:p>
      <w:pPr>
        <w:ind w:left="640" w:hanging="176"/>
        <w:spacing w:after="0"/>
        <w:tabs>
          <w:tab w:leader="none" w:pos="6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name of the limited liability company is Wynn Golf, LLC, a Nevada limited liability company (the “Company”).</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Company is managed by its member.</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Articles of Organization of the Company shall be amended and restated as set forth below.</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effective date of these First Amended and Restated Articles of Organization shall be December 14,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NAME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Company is Wynn Golf,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REGISTERED OFFICE AND RESIDENT AGENT</w:t>
      </w:r>
    </w:p>
    <w:p>
      <w:pPr>
        <w:spacing w:after="0" w:line="151"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The Company’s resident agent and the address of the registered office where process may be served in the State of Nevada is currently Marc H. Rubinstein, 3131 Las Vegas Boulevard South, Las Vegas, Nevada 89109, or such other resident agent and registered office as the member shall, from time to time, determine.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 AND PAYMENT OF EXPENSES</w:t>
      </w:r>
    </w:p>
    <w:p>
      <w:pPr>
        <w:spacing w:after="0" w:line="1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any other rights of indemnification permitted by the laws of the State of Nevada as may be provided for by the Company in these articles of organization, the Company’s operating agreement or any other agreement, the expenses of the member incurred in defending a civil or criminal action, suit or proceeding, involving alleged acts or omissions of such member in its capacity as a member of the Company, must be paid by the Company, or through insurance purchased and maintained by the Company or through other financial arrangements made by the Company as permitted by the laws of the State of Nevada, as they are incurred and in advance of the final disposition of the action, suit or proceeding, upon receipt of an unsecured undertaking by or on behalf of the member to repay the amount if it is ultimately determined by a court of competent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12" w:name="page313"/>
    <w:bookmarkEnd w:id="312"/>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jurisdiction that it is not entitled to be indemnified by the Company. Any repeal or modification of this Article III approved by the member of the Company shall be prospective only. In the event of any conflict between this Article III and any other article of the Company’s articles of organization, the terms and provisions of Article III shall control.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IV</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MANAGEMENT</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management of the Company shall be vested in its sole member. The name and address of the sole member of the Company is Wynn Las Vegas, LLC, 3131 Las Vegas Boulevard South, Las Vegas, Nevada 89109. The member may designate or authorize, by provision either in the Company’s operating agreement or in another writing, one or more persons, officers or employees of the Company who may, in the name and on behalf of the Company, and in lieu of or in addition to the member, contract debts or incur liabilities, and sign contracts or agreements (including, without limitation, instruments and documents providing for the acquisition, mortgage or disposition of property of the Company), and may authorize the use of facsimile signatures of any such persons, officers or employees.</w:t>
      </w:r>
    </w:p>
    <w:p>
      <w:pPr>
        <w:spacing w:after="0" w:line="13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V</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ORGANIZER</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name and post office box or street address of the organizer of the Company was Ellen Schulhofer, Schreck Brignone, 300 South Fourth Street, Suite 1200, Las Vegas, Nevada 89101.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appears on the following page]</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9" w:right="299" w:bottom="1440" w:gutter="0" w:footer="0" w:header="0"/>
        </w:sectPr>
      </w:pPr>
    </w:p>
    <w:bookmarkStart w:id="313" w:name="page314"/>
    <w:bookmarkEnd w:id="31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sole member of the Company has hereunto executed these First Amended and Restated Articles of Organization as of the 14th day of December, 2004.</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By: Valvino Lamore, LLC,</w:t>
      </w:r>
    </w:p>
    <w:p>
      <w:pPr>
        <w:spacing w:after="0" w:line="1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80010</wp:posOffset>
            </wp:positionV>
            <wp:extent cx="199834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1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240" w:top="280" w:right="115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3.9</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Nevada limited liability company</w:t>
      </w:r>
    </w:p>
    <w:p>
      <w:pPr>
        <w:spacing w:after="0" w:line="15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This First Amended and Restated Operating Agreement of Wynn Golf,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is adopted at Las Vegas, Nevada, effective as of December 14, 2004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Wynn Las Vegas, LLC, a Nevada limited liability company (“</w:t>
      </w:r>
      <w:r>
        <w:rPr>
          <w:rFonts w:ascii="Arial" w:cs="Arial" w:eastAsia="Arial" w:hAnsi="Arial"/>
          <w:sz w:val="18"/>
          <w:szCs w:val="18"/>
          <w:u w:val="single" w:color="auto"/>
          <w:color w:val="auto"/>
        </w:rPr>
        <w:t>WLV</w:t>
      </w:r>
      <w:r>
        <w:rPr>
          <w:rFonts w:ascii="Arial" w:cs="Arial" w:eastAsia="Arial" w:hAnsi="Arial"/>
          <w:sz w:val="18"/>
          <w:szCs w:val="18"/>
          <w:color w:val="auto"/>
        </w:rPr>
        <w:t>”), which constitutes the sole member of the Company, with reference to the recitals set forth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As of June 17, 2004, the Company’s initial member, Wynn Resorts, Limited, a Nevada corporation (“</w:t>
      </w:r>
      <w:r>
        <w:rPr>
          <w:rFonts w:ascii="Arial" w:cs="Arial" w:eastAsia="Arial" w:hAnsi="Arial"/>
          <w:sz w:val="18"/>
          <w:szCs w:val="18"/>
          <w:u w:val="single" w:color="auto"/>
          <w:color w:val="auto"/>
        </w:rPr>
        <w:t>WRL</w:t>
      </w:r>
      <w:r>
        <w:rPr>
          <w:rFonts w:ascii="Arial" w:cs="Arial" w:eastAsia="Arial" w:hAnsi="Arial"/>
          <w:sz w:val="18"/>
          <w:szCs w:val="18"/>
          <w:color w:val="auto"/>
        </w:rPr>
        <w:t>”), adopted an operating agreement for the Company (the “</w:t>
      </w:r>
      <w:r>
        <w:rPr>
          <w:rFonts w:ascii="Arial" w:cs="Arial" w:eastAsia="Arial" w:hAnsi="Arial"/>
          <w:sz w:val="18"/>
          <w:szCs w:val="18"/>
          <w:u w:val="single" w:color="auto"/>
          <w:color w:val="auto"/>
        </w:rPr>
        <w:t>Current Operating Agreement</w:t>
      </w:r>
      <w:r>
        <w:rPr>
          <w:rFonts w:ascii="Arial" w:cs="Arial" w:eastAsia="Arial" w:hAnsi="Arial"/>
          <w:sz w:val="18"/>
          <w:szCs w:val="18"/>
          <w:color w:val="auto"/>
        </w:rPr>
        <w:t>”);</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B. As of the Effective Date, pursuant to a Distribution and Contribution Agreement and Assignment, WRL contributed and assigned its 100% member’s interest in the Company to Wynn Resorts Holdings, LLC, a Nevada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and Holdings contributed and assigned its 100% member’s interest in the Company to WLV; and</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 As of the Effective Date, and pursuant to NRS 86.286(1), WLV desires to amend and restate, in its entirety, the Current Operating Agreement to provide for the conduct of the Company’s business and affairs on and after the Effective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WLV hereby agrees to and adopts the following: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“Act” means Chapter 86 of the NRS.</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“Affiliate” means with respect to a specified Person, any other Person who or which is (a) directly or indirectly controlling, controlled by or under common control with the specified Person, or (b) any member, stockholder, director, officer, manager, or comparable principal of, or relative or spouse of, the specified Person. For purposes of this definition, “control”, “controlling”, and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“Agreement” means this First Amended and Restated Operating Agreement, as amended from time to time.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315" w:name="page316"/>
    <w:bookmarkEnd w:id="315"/>
    <w:p>
      <w:pPr>
        <w:ind w:right="40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Articles</w:t>
      </w:r>
      <w:r>
        <w:rPr>
          <w:rFonts w:ascii="Arial" w:cs="Arial" w:eastAsia="Arial" w:hAnsi="Arial"/>
          <w:sz w:val="18"/>
          <w:szCs w:val="18"/>
          <w:color w:val="auto"/>
        </w:rPr>
        <w:t>. “Articles” means the First Amended and Restated Articles of Organization of the Company as filed with the Secretary of State of Nevada, as amended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Capital Contribution</w:t>
      </w:r>
      <w:r>
        <w:rPr>
          <w:rFonts w:ascii="Arial" w:cs="Arial" w:eastAsia="Arial" w:hAnsi="Arial"/>
          <w:sz w:val="18"/>
          <w:szCs w:val="18"/>
          <w:color w:val="auto"/>
        </w:rPr>
        <w:t>. “Capital Contribution” means a contribution to the capital of the Company in cash, property, or otherwise.</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means the Internal Revenue Code of 1986, as amended from time to time, or any corresponding United States federal tax statute enacted after the date of this Agreement. A reference to a specific section of the Code refers not only to such specific section but also to any corresponding provision of any United States federal tax statute enacted after the date of this Agreement, as such specific section or corresponding provision is in effect on the date of application of the provisions of this Agreement containing such reference.</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u w:val="single" w:color="auto"/>
          <w:color w:val="auto"/>
        </w:rPr>
        <w:t>Covered Person</w:t>
      </w:r>
      <w:r>
        <w:rPr>
          <w:rFonts w:ascii="Arial" w:cs="Arial" w:eastAsia="Arial" w:hAnsi="Arial"/>
          <w:sz w:val="18"/>
          <w:szCs w:val="18"/>
          <w:color w:val="auto"/>
        </w:rPr>
        <w:t>. “Covered Person” means (a) the Member, (b) any officer of the Company, (c) any manager or officer of the Member or the respective Affiliates of the Company or the Member, or (d) any Person who was, at the time of the act or omission in question, a Person described in any of clauses (a), (b) or (c) hereof.</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“Interest” means the entire ownership interest of the Member in the Company at any time, including the right of the Member to any and all benefits to which the Member may be entitled as provided under the Act and this Agreement.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Member</w:t>
      </w:r>
      <w:r>
        <w:rPr>
          <w:rFonts w:ascii="Arial" w:cs="Arial" w:eastAsia="Arial" w:hAnsi="Arial"/>
          <w:sz w:val="18"/>
          <w:szCs w:val="18"/>
          <w:color w:val="auto"/>
        </w:rPr>
        <w:t>. “Member” means the sole member of the Company. As of the Effective Date, the Member’s name, address and percentage Interest are as set forth on Schedule I attached 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NRS</w:t>
      </w:r>
      <w:r>
        <w:rPr>
          <w:rFonts w:ascii="Arial" w:cs="Arial" w:eastAsia="Arial" w:hAnsi="Arial"/>
          <w:sz w:val="18"/>
          <w:szCs w:val="18"/>
          <w:color w:val="auto"/>
        </w:rPr>
        <w:t>. “NRS” means the Nevada Revised Statutes, as amended from time to time.</w:t>
      </w:r>
    </w:p>
    <w:p>
      <w:pPr>
        <w:spacing w:after="0" w:line="15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“Person” means a natural person, any form of business or social organization and any other non-governmental legal entity including, but not limited to, a corporation, partnership, association, trust, unincorporated organization, estate or limited liability company.</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u w:val="single" w:color="auto"/>
          <w:color w:val="auto"/>
        </w:rPr>
        <w:t>Records Office</w:t>
      </w:r>
      <w:r>
        <w:rPr>
          <w:rFonts w:ascii="Arial" w:cs="Arial" w:eastAsia="Arial" w:hAnsi="Arial"/>
          <w:sz w:val="18"/>
          <w:szCs w:val="18"/>
          <w:color w:val="auto"/>
        </w:rPr>
        <w:t>. “Records Office” means an office of the Company in Nevada, which may but need not be a place of its business, at which it shall keep all records identified in NRS 86.241, except that none of the lists required to be maintained pursuant to NRS 86.241 need be maintained in alphabetical order, nor shall the Company be required to maintain at its Records Office copies of powers of attorney except those relating to the execution of the Articles and this Agreement.</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Treasury Regulations</w:t>
      </w:r>
      <w:r>
        <w:rPr>
          <w:rFonts w:ascii="Arial" w:cs="Arial" w:eastAsia="Arial" w:hAnsi="Arial"/>
          <w:sz w:val="18"/>
          <w:szCs w:val="18"/>
          <w:color w:val="auto"/>
        </w:rPr>
        <w:t>. “Treasury Regulations” means the federal income tax regulations promulgated by the U.S. Treasury Department under the Code and codified at Title 26 of the Code of Federal Regulations, as amended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UCC</w:t>
      </w:r>
      <w:r>
        <w:rPr>
          <w:rFonts w:ascii="Arial" w:cs="Arial" w:eastAsia="Arial" w:hAnsi="Arial"/>
          <w:sz w:val="18"/>
          <w:szCs w:val="18"/>
          <w:color w:val="auto"/>
        </w:rPr>
        <w:t>. “UCC” means the Uniform Commercial Code as enacted and in effect in the State of Nevada or any other applicable jurisdiction.</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9" w:right="259" w:bottom="1440" w:gutter="0" w:footer="0" w:header="0"/>
        </w:sectPr>
      </w:pPr>
    </w:p>
    <w:bookmarkStart w:id="316" w:name="page317"/>
    <w:bookmarkEnd w:id="31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INTRODUCTORY MATTERS</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Formation</w:t>
      </w:r>
      <w:r>
        <w:rPr>
          <w:rFonts w:ascii="Arial" w:cs="Arial" w:eastAsia="Arial" w:hAnsi="Arial"/>
          <w:sz w:val="18"/>
          <w:szCs w:val="18"/>
          <w:color w:val="auto"/>
        </w:rPr>
        <w:t>. Pursuant to the Act, the Company has been formed as a Nevada limited liability company under the laws of the State of Nevada. To the extent that the rights or obligations of the Member are different by reason of any provision of this Agreement than they would be in the absence of such provision, this Agreement shall, to the extent permitted by the Act, control.</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Company is “Wynn Golf, LLC.” Subject to compliance with applicable law, the business and affairs of the Company may be conducted under that name or any other name that the Member deems appropriate or advisable.</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Records Office</w:t>
      </w:r>
      <w:r>
        <w:rPr>
          <w:rFonts w:ascii="Arial" w:cs="Arial" w:eastAsia="Arial" w:hAnsi="Arial"/>
          <w:sz w:val="18"/>
          <w:szCs w:val="18"/>
          <w:color w:val="auto"/>
        </w:rPr>
        <w:t>. The Company shall continuously maintain in the State of Nevada a Records Office. As of the date hereof, the Records Office is 3131 Las Vegas Boulevard South, Las Vegas, Nevada 89109. The Records Office may be changed to another location within the State of Nevada as the Member may from time to time determine.</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Company may establish and maintain other offices at any time and at any place or places as the Member may designate or as the business of the Company may require.</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Resident Agent and Registered Office</w:t>
      </w:r>
      <w:r>
        <w:rPr>
          <w:rFonts w:ascii="Arial" w:cs="Arial" w:eastAsia="Arial" w:hAnsi="Arial"/>
          <w:sz w:val="16"/>
          <w:szCs w:val="16"/>
          <w:color w:val="auto"/>
        </w:rPr>
        <w:t>. The resident agent of the Company for service of process shall be as set forth in the Articles or as changed by the Member from time to time. The Company shall have as its registered office in the State of Nevada the street address of its resident agent.</w:t>
      </w:r>
    </w:p>
    <w:p>
      <w:pPr>
        <w:spacing w:after="0" w:line="7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Purpose</w:t>
      </w:r>
      <w:r>
        <w:rPr>
          <w:rFonts w:ascii="Arial" w:cs="Arial" w:eastAsia="Arial" w:hAnsi="Arial"/>
          <w:sz w:val="16"/>
          <w:szCs w:val="16"/>
          <w:color w:val="auto"/>
        </w:rPr>
        <w:t>. Except as provided elsewhere in this Agreement, the Company is formed for the object and purpose of engaging in any lawful act or activity for which limited liability companies may be formed under the Act and engaging in any and all activities necessary or incidental to the foregoing.</w:t>
      </w:r>
    </w:p>
    <w:p>
      <w:pPr>
        <w:spacing w:after="0" w:line="7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Powers of the Company</w:t>
      </w:r>
      <w:r>
        <w:rPr>
          <w:rFonts w:ascii="Arial" w:cs="Arial" w:eastAsia="Arial" w:hAnsi="Arial"/>
          <w:sz w:val="18"/>
          <w:szCs w:val="18"/>
          <w:color w:val="auto"/>
        </w:rPr>
        <w:t>. Except as provided elsewhere in this Agreement, the Company shall have the power and authority to take any and all actions necessary, appropriate, advisable, convenient or incidental to or for the furtherance of the purpose set forth in Section 2.6, including, but not limited to, the power and authority to:</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 borrow money and issue evidences of indebtedness, and to secure the same by a mortgage, pledge or other lien on any or all of the assets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51" w:lineRule="exact"/>
        <w:rPr>
          <w:sz w:val="20"/>
          <w:szCs w:val="20"/>
          <w:color w:val="auto"/>
        </w:rPr>
      </w:pPr>
    </w:p>
    <w:p>
      <w:pPr>
        <w:ind w:right="600" w:firstLine="921"/>
        <w:spacing w:after="0" w:line="268" w:lineRule="auto"/>
        <w:tabs>
          <w:tab w:leader="none" w:pos="116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conduct its business and operations in any state, territory, district or possession of the United States or in any foreign country that may be necessary or convenient to the accomplishment of the purpose of the Company;</w:t>
      </w:r>
    </w:p>
    <w:p>
      <w:pPr>
        <w:spacing w:after="0" w:line="118" w:lineRule="exact"/>
        <w:rPr>
          <w:rFonts w:ascii="Arial" w:cs="Arial" w:eastAsia="Arial" w:hAnsi="Arial"/>
          <w:sz w:val="18"/>
          <w:szCs w:val="18"/>
          <w:color w:val="auto"/>
        </w:rPr>
      </w:pPr>
    </w:p>
    <w:p>
      <w:pPr>
        <w:ind w:right="440" w:firstLine="921"/>
        <w:spacing w:after="0" w:line="259" w:lineRule="auto"/>
        <w:tabs>
          <w:tab w:leader="none" w:pos="115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acquire, by purchase, lease, contribution of property or otherwise, and own, hold, maintain, finance, improve, lease, sell, convey, mortgage, transfer, demolish or dispose of any real or personal property that may be necessary, convenient or incidental to the accomplishment of the purpose of the Company;</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80" w:right="259" w:bottom="1440" w:gutter="0" w:footer="0" w:header="0"/>
        </w:sectPr>
      </w:pPr>
    </w:p>
    <w:bookmarkStart w:id="317" w:name="page318"/>
    <w:bookmarkEnd w:id="317"/>
    <w:p>
      <w:pPr>
        <w:ind w:right="160" w:firstLine="921"/>
        <w:spacing w:after="0" w:line="268" w:lineRule="auto"/>
        <w:tabs>
          <w:tab w:leader="none" w:pos="1162" w:val="left"/>
        </w:tabs>
        <w:numPr>
          <w:ilvl w:val="0"/>
          <w:numId w:val="2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enter into, perform and carry out contracts of any kind, including without limitation, contracts with the Member or any Affiliate of the Member that are necessary to, in connection with, convenient to, or incidental to the accomplishment of the purpose of the Company;</w:t>
      </w:r>
    </w:p>
    <w:p>
      <w:pPr>
        <w:spacing w:after="0" w:line="118" w:lineRule="exact"/>
        <w:rPr>
          <w:rFonts w:ascii="Arial" w:cs="Arial" w:eastAsia="Arial" w:hAnsi="Arial"/>
          <w:sz w:val="18"/>
          <w:szCs w:val="18"/>
          <w:color w:val="auto"/>
        </w:rPr>
      </w:pPr>
    </w:p>
    <w:p>
      <w:pPr>
        <w:ind w:firstLine="921"/>
        <w:spacing w:after="0" w:line="268" w:lineRule="auto"/>
        <w:tabs>
          <w:tab w:leader="none" w:pos="115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purchase, take, receive, subscribe for or otherwise acquire, own, hold, vote, use, employ, sell, mortgage, lend, pledge or otherwise dispose of, and otherwise use and deal in and with, shares or other interests in or obligations of domestic or foreign entities;</w:t>
      </w:r>
    </w:p>
    <w:p>
      <w:pPr>
        <w:spacing w:after="0" w:line="118" w:lineRule="exact"/>
        <w:rPr>
          <w:rFonts w:ascii="Arial" w:cs="Arial" w:eastAsia="Arial" w:hAnsi="Arial"/>
          <w:sz w:val="18"/>
          <w:szCs w:val="18"/>
          <w:color w:val="auto"/>
        </w:rPr>
      </w:pPr>
    </w:p>
    <w:p>
      <w:pPr>
        <w:ind w:left="1140" w:hanging="219"/>
        <w:spacing w:after="0"/>
        <w:tabs>
          <w:tab w:leader="none" w:pos="114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lend money for any proper purpose, invest and reinvest its funds and take and hold real and personal property for the payment of funds so loaned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or invested;</w:t>
      </w:r>
    </w:p>
    <w:p>
      <w:pPr>
        <w:spacing w:after="0" w:line="151" w:lineRule="exact"/>
        <w:rPr>
          <w:rFonts w:ascii="Arial" w:cs="Arial" w:eastAsia="Arial" w:hAnsi="Arial"/>
          <w:sz w:val="15"/>
          <w:szCs w:val="15"/>
          <w:color w:val="auto"/>
        </w:rPr>
      </w:pPr>
    </w:p>
    <w:p>
      <w:pPr>
        <w:ind w:left="1160" w:hanging="239"/>
        <w:spacing w:after="0"/>
        <w:tabs>
          <w:tab w:leader="none" w:pos="11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sue and be sued, complain and defend and participate in administrative or other proceedings, in its name;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appoint employees, agents and officers of the Company, and define their duties and fix their compensation;</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indemnify any Person and obtain any and all types of insurance;</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cease its activities and cancel its insurance;</w:t>
      </w:r>
    </w:p>
    <w:p>
      <w:pPr>
        <w:spacing w:after="0" w:line="157"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negotiate, enter into, renegotiate, extend, renew, terminate, modify, amend, waive, execute, acknowledge or take any other action with respect to any lease, contract or security agreement in respect of any assets of the Company;</w:t>
      </w:r>
    </w:p>
    <w:p>
      <w:pPr>
        <w:spacing w:after="0" w:line="118" w:lineRule="exact"/>
        <w:rPr>
          <w:rFonts w:ascii="Arial" w:cs="Arial" w:eastAsia="Arial" w:hAnsi="Arial"/>
          <w:sz w:val="18"/>
          <w:szCs w:val="18"/>
          <w:color w:val="auto"/>
        </w:rPr>
      </w:pPr>
    </w:p>
    <w:p>
      <w:pPr>
        <w:ind w:right="240" w:firstLine="921"/>
        <w:spacing w:after="0" w:line="268" w:lineRule="auto"/>
        <w:tabs>
          <w:tab w:leader="none" w:pos="112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pay, collect, compromise, litigate, arbitrate or otherwise adjust or settle any and all other claims or demands of or against the Company or hold such proceeds against the payment of contingent liabilities; and</w:t>
      </w:r>
    </w:p>
    <w:p>
      <w:pPr>
        <w:spacing w:after="0" w:line="118" w:lineRule="exact"/>
        <w:rPr>
          <w:rFonts w:ascii="Arial" w:cs="Arial" w:eastAsia="Arial" w:hAnsi="Arial"/>
          <w:sz w:val="18"/>
          <w:szCs w:val="18"/>
          <w:color w:val="auto"/>
        </w:rPr>
      </w:pPr>
    </w:p>
    <w:p>
      <w:pPr>
        <w:ind w:right="320" w:firstLine="921"/>
        <w:spacing w:after="0" w:line="268" w:lineRule="auto"/>
        <w:tabs>
          <w:tab w:leader="none" w:pos="121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make, execute, acknowledge and file any and all documents or instruments necessary, convenient or incidental to the accomplishment of the purpose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CAPITAL CONTRIBUTIONS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Member shall not be required to make any additional Capital Contribution to the Company.</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PROFITS AND LOSSES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Profits and Losses</w:t>
      </w:r>
      <w:r>
        <w:rPr>
          <w:rFonts w:ascii="Arial" w:cs="Arial" w:eastAsia="Arial" w:hAnsi="Arial"/>
          <w:sz w:val="18"/>
          <w:szCs w:val="18"/>
          <w:color w:val="auto"/>
        </w:rPr>
        <w:t>. The Company’s profits and losses for any period shall be allocated to the Member.</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Tax Classification</w:t>
      </w:r>
      <w:r>
        <w:rPr>
          <w:rFonts w:ascii="Arial" w:cs="Arial" w:eastAsia="Arial" w:hAnsi="Arial"/>
          <w:sz w:val="18"/>
          <w:szCs w:val="18"/>
          <w:color w:val="auto"/>
        </w:rPr>
        <w:t>. So long as the Company has only one Member, it is intended that the Company be disregarded for federal and all relevant state income tax purposes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79" w:right="279" w:bottom="1440" w:gutter="0" w:footer="0" w:header="0"/>
        </w:sectPr>
      </w:pPr>
    </w:p>
    <w:bookmarkStart w:id="318" w:name="page319"/>
    <w:bookmarkEnd w:id="318"/>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that the activities of the Company be deemed to be activities of the Member for such purposes, as provided for by Treasury Regulations Sections 301.7701-1, </w:t>
      </w:r>
      <w:r>
        <w:rPr>
          <w:rFonts w:ascii="Arial" w:cs="Arial" w:eastAsia="Arial" w:hAnsi="Arial"/>
          <w:sz w:val="18"/>
          <w:szCs w:val="18"/>
          <w:i w:val="1"/>
          <w:iCs w:val="1"/>
          <w:color w:val="auto"/>
        </w:rPr>
        <w:t>et seq</w:t>
      </w:r>
      <w:r>
        <w:rPr>
          <w:rFonts w:ascii="Arial" w:cs="Arial" w:eastAsia="Arial" w:hAnsi="Arial"/>
          <w:sz w:val="18"/>
          <w:szCs w:val="18"/>
          <w:color w:val="auto"/>
        </w:rPr>
        <w:t>., and comparable provisions of applicable state tax law. In the event that the Company becomes an entity that has more than one Member, it is intended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be treated as a “partnership” for federal and all relevant state income tax purposes, and all available elections shall be made, and take all available actions shall be taken, to cause the Company to be so treated.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DISTRIBUTIONS</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Operating Distributions</w:t>
      </w:r>
      <w:r>
        <w:rPr>
          <w:rFonts w:ascii="Arial" w:cs="Arial" w:eastAsia="Arial" w:hAnsi="Arial"/>
          <w:sz w:val="18"/>
          <w:szCs w:val="18"/>
          <w:color w:val="auto"/>
        </w:rPr>
        <w:t>. Subject to Section 5.2, the Company shall from time to time distribute to the Member such amounts in cash and other assets as shall be determined by the Member.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Limitations on Distribution</w:t>
      </w:r>
      <w:r>
        <w:rPr>
          <w:rFonts w:ascii="Arial" w:cs="Arial" w:eastAsia="Arial" w:hAnsi="Arial"/>
          <w:sz w:val="18"/>
          <w:szCs w:val="18"/>
          <w:color w:val="auto"/>
        </w:rPr>
        <w:t>. Notwithstanding any provision to the contrary contained in this Agreement, the Company shall not make any distribution if such distribution would violate the NRS or other applicable law or would cause a breach or default under any agreement or instrument to which the Company is a party or by which it or its assets are bound, but instead shall make such distribution as soon as practicable such that the making of such distribution would not cause such violation, breach or default.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MEMBERSHIP</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The Member shall not be liable under a judgment, decree or order of a court, or in any other manner, for a debt, obligation or liability of the Company, except to the extent required by law or in an agreement signed by the Member. The Member shall not be required to loan any funds to the Company, nor shall the Member be required to make any contribution to the Company, nor shall the Member be subject to any liability to the Company or any third party, as a result of any deficit of the Company. However, nothing in this Agreement shall prevent the Member from making secured or unsecured loans to the Company by agreement with the Company.</w:t>
      </w:r>
    </w:p>
    <w:p>
      <w:pPr>
        <w:spacing w:after="0" w:line="1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Powers of the Member</w:t>
      </w:r>
      <w:r>
        <w:rPr>
          <w:rFonts w:ascii="Arial" w:cs="Arial" w:eastAsia="Arial" w:hAnsi="Arial"/>
          <w:sz w:val="15"/>
          <w:szCs w:val="15"/>
          <w:color w:val="auto"/>
        </w:rPr>
        <w:t>. The Member shall have full, exclusive and complete discretion to manage and control the business and affairs of the Company, to make all decisions affecting the business and affairs of the Company and to take all such actions as it deems necessary, appropriate or convenient to or for the furtherance of the purpose of the Company, including, without limitation, the power and authority to execute all documents and instruments, perform all duties and powers, and do all things on behalf of the Company in all matters necessary, desirable, convenient or incidental to the purpose of the Company. The Member is an agent of the Company’s business and the actions of the Member taken in such capacity and in accordance with this Agreement shall bind the Company. The Member shall be the sole Person with the power to bind the Company except and to the extent that such power is expressly delegated to any other Person by the Member in this Agreement or in writing or by oral communication, and such delegation shall not cause the Member to cease to be the Member.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80" w:right="259" w:bottom="1440" w:gutter="0" w:footer="0" w:header="0"/>
        </w:sectPr>
      </w:pPr>
    </w:p>
    <w:bookmarkStart w:id="319" w:name="page320"/>
    <w:bookmarkEnd w:id="319"/>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6.3 </w:t>
      </w:r>
      <w:r>
        <w:rPr>
          <w:rFonts w:ascii="Arial" w:cs="Arial" w:eastAsia="Arial" w:hAnsi="Arial"/>
          <w:sz w:val="18"/>
          <w:szCs w:val="18"/>
          <w:u w:val="single" w:color="auto"/>
          <w:color w:val="auto"/>
        </w:rPr>
        <w:t>Election of Officers</w:t>
      </w:r>
      <w:r>
        <w:rPr>
          <w:rFonts w:ascii="Arial" w:cs="Arial" w:eastAsia="Arial" w:hAnsi="Arial"/>
          <w:sz w:val="18"/>
          <w:szCs w:val="18"/>
          <w:color w:val="auto"/>
        </w:rPr>
        <w:t>. The Member in its sole discretion may, from time to time, appoint any individuals as officers with such duties, authorities, responsibilities and titles as the Member may deem appropriate. Such officers shall serve until their successors are duly appointed by the Member or until their earlier removal or resignation. Any officer appointed by the Member may be removed at any time by the Member and any vacancy in any office shall be filled by the Member.</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Designation of Authority</w:t>
      </w:r>
      <w:r>
        <w:rPr>
          <w:rFonts w:ascii="Arial" w:cs="Arial" w:eastAsia="Arial" w:hAnsi="Arial"/>
          <w:sz w:val="16"/>
          <w:szCs w:val="16"/>
          <w:color w:val="auto"/>
        </w:rPr>
        <w:t>. The Member may authorize, in a resolution or other writing, one or more Persons or one or more officers or employees of the Company who may, in the name and on behalf of the Company, and in lieu of or in addition to the Member, contract debts or incur liabilities, and sign contracts or agreements (including, without limitation, instruments and documents providing for the acquisition, mortgage or disposition of property of the Company), and may authorize the use of facsimile signatures of any such Persons, officers or employees.</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Transfer of Interest</w:t>
      </w:r>
      <w:r>
        <w:rPr>
          <w:rFonts w:ascii="Arial" w:cs="Arial" w:eastAsia="Arial" w:hAnsi="Arial"/>
          <w:sz w:val="18"/>
          <w:szCs w:val="18"/>
          <w:color w:val="auto"/>
        </w:rPr>
        <w:t>. The Interest of the Member is personal property, and such Interest may be transferred or assigned, in whole or in part, in the sole discretion of the Member.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CONDUCT AND SEPARATENESS COVENANTS</w:t>
      </w:r>
    </w:p>
    <w:p>
      <w:pPr>
        <w:spacing w:after="0" w:line="15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shall conduct business in its own name and hold itself out as a separate entity, and correct any known misunderstanding regarding its separate identity.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DISSOLUTION OF THE COMPANY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 OF THE INTEREST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Dissolution</w:t>
      </w:r>
      <w:r>
        <w:rPr>
          <w:rFonts w:ascii="Arial" w:cs="Arial" w:eastAsia="Arial" w:hAnsi="Arial"/>
          <w:sz w:val="18"/>
          <w:szCs w:val="18"/>
          <w:color w:val="auto"/>
        </w:rPr>
        <w:t>. The Company shall be dissolved and its affairs wound up as determined by the Member.</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w:t>
      </w:r>
      <w:r>
        <w:rPr>
          <w:rFonts w:ascii="Arial" w:cs="Arial" w:eastAsia="Arial" w:hAnsi="Arial"/>
          <w:sz w:val="18"/>
          <w:szCs w:val="18"/>
          <w:color w:val="auto"/>
        </w:rPr>
        <w:t>. Subject to Section 6.6 and applicable law, the Member may not resign from the Company before the dissolution and winding up of the Company.</w:t>
      </w:r>
    </w:p>
    <w:p>
      <w:pPr>
        <w:spacing w:after="0" w:line="118"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Distribution on Dissolution and Liquidation</w:t>
      </w:r>
      <w:r>
        <w:rPr>
          <w:rFonts w:ascii="Arial" w:cs="Arial" w:eastAsia="Arial" w:hAnsi="Arial"/>
          <w:sz w:val="16"/>
          <w:szCs w:val="16"/>
          <w:color w:val="auto"/>
        </w:rPr>
        <w:t>. In the event of the dissolution of the Company for any reason, the business of the Company shall be continued to the extent necessary to allow an orderly winding up of its affairs, including the liquidation and termination of the Company pursuant to the provisions of this Section 8.3, as promptly as practicable thereafter, and each of the following shall be accomplished:</w:t>
      </w:r>
    </w:p>
    <w:p>
      <w:pPr>
        <w:spacing w:after="0" w:line="12" w:lineRule="exact"/>
        <w:rPr>
          <w:sz w:val="20"/>
          <w:szCs w:val="20"/>
          <w:color w:val="auto"/>
        </w:rPr>
      </w:pPr>
    </w:p>
    <w:p>
      <w:pPr>
        <w:ind w:left="1160" w:hanging="239"/>
        <w:spacing w:after="0"/>
        <w:tabs>
          <w:tab w:leader="none" w:pos="11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Member shall oversee the winding up of the Company’s affairs;</w:t>
      </w:r>
    </w:p>
    <w:p>
      <w:pPr>
        <w:spacing w:after="0" w:line="157"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assets of the Company shall be liquidated as determined by the Member, or the Member may determine not to sell all or any portion of the assets, in which event such assets shall be distributed in kind; and</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00"/>
          </w:cols>
          <w:pgMar w:left="240" w:top="280" w:right="259" w:bottom="1440" w:gutter="0" w:footer="0" w:header="0"/>
        </w:sectPr>
      </w:pPr>
    </w:p>
    <w:bookmarkStart w:id="320" w:name="page321"/>
    <w:bookmarkEnd w:id="320"/>
    <w:p>
      <w:pPr>
        <w:ind w:left="1160" w:hanging="239"/>
        <w:spacing w:after="0"/>
        <w:tabs>
          <w:tab w:leader="none" w:pos="11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proceeds of sale and all other assets of the Company shall be applied and distributed as follows and in the following order of priority:</w:t>
      </w:r>
    </w:p>
    <w:p>
      <w:pPr>
        <w:spacing w:after="0" w:line="99" w:lineRule="exact"/>
        <w:rPr>
          <w:rFonts w:ascii="Arial" w:cs="Arial" w:eastAsia="Arial" w:hAnsi="Arial"/>
          <w:sz w:val="16"/>
          <w:szCs w:val="16"/>
          <w:color w:val="auto"/>
        </w:rPr>
      </w:pPr>
    </w:p>
    <w:p>
      <w:pPr>
        <w:ind w:left="1700" w:hanging="208"/>
        <w:spacing w:after="0"/>
        <w:tabs>
          <w:tab w:leader="none" w:pos="17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to the expenses of liquidation;</w:t>
      </w:r>
    </w:p>
    <w:p>
      <w:pPr>
        <w:spacing w:after="0" w:line="157" w:lineRule="exact"/>
        <w:rPr>
          <w:rFonts w:ascii="Arial" w:cs="Arial" w:eastAsia="Arial" w:hAnsi="Arial"/>
          <w:sz w:val="18"/>
          <w:szCs w:val="18"/>
          <w:color w:val="auto"/>
        </w:rPr>
      </w:pPr>
    </w:p>
    <w:p>
      <w:pPr>
        <w:ind w:left="1760" w:hanging="268"/>
        <w:spacing w:after="0"/>
        <w:tabs>
          <w:tab w:leader="none" w:pos="176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to the payment of the debts and liabilities of the Company, including any debts and liabilities owed to the Member; and</w:t>
      </w:r>
    </w:p>
    <w:p>
      <w:pPr>
        <w:spacing w:after="0" w:line="157" w:lineRule="exact"/>
        <w:rPr>
          <w:rFonts w:ascii="Arial" w:cs="Arial" w:eastAsia="Arial" w:hAnsi="Arial"/>
          <w:sz w:val="18"/>
          <w:szCs w:val="18"/>
          <w:color w:val="auto"/>
        </w:rPr>
      </w:pPr>
    </w:p>
    <w:p>
      <w:pPr>
        <w:ind w:left="1800" w:hanging="308"/>
        <w:spacing w:after="0"/>
        <w:tabs>
          <w:tab w:leader="none" w:pos="180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balance, if any, to the Member.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LIABILITY, EXCULPATION AND INDEMNIFICATION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Exculpation</w:t>
      </w:r>
      <w:r>
        <w:rPr>
          <w:rFonts w:ascii="Arial" w:cs="Arial" w:eastAsia="Arial" w:hAnsi="Arial"/>
          <w:sz w:val="18"/>
          <w:szCs w:val="18"/>
          <w:color w:val="auto"/>
        </w:rPr>
        <w:t>.</w:t>
      </w:r>
    </w:p>
    <w:p>
      <w:pPr>
        <w:spacing w:after="0" w:line="77" w:lineRule="exact"/>
        <w:rPr>
          <w:sz w:val="20"/>
          <w:szCs w:val="20"/>
          <w:color w:val="auto"/>
        </w:rPr>
      </w:pPr>
    </w:p>
    <w:p>
      <w:pPr>
        <w:ind w:right="80" w:firstLine="921"/>
        <w:spacing w:after="0" w:line="256" w:lineRule="auto"/>
        <w:tabs>
          <w:tab w:leader="none" w:pos="115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No Covered Person shall be liable to the Company for any loss, damage or claim incurred by reason of any act or omission performed or omitted by the Covered Person in good faith on behalf of the Company, except that the Covered Person shall be liable for any such loss, damage or claim if a final adjudication by a court of competent jurisdiction establishes that the Covered Person’s acts or omissions involved intentional misconduct, fraud or a knowing violation of the law and was material to the cause of action.</w:t>
      </w:r>
    </w:p>
    <w:p>
      <w:pPr>
        <w:spacing w:after="0" w:line="129" w:lineRule="exact"/>
        <w:rPr>
          <w:rFonts w:ascii="Arial" w:cs="Arial" w:eastAsia="Arial" w:hAnsi="Arial"/>
          <w:sz w:val="18"/>
          <w:szCs w:val="18"/>
          <w:color w:val="auto"/>
        </w:rPr>
      </w:pPr>
    </w:p>
    <w:p>
      <w:pPr>
        <w:jc w:val="both"/>
        <w:ind w:firstLine="921"/>
        <w:spacing w:after="0" w:line="298" w:lineRule="auto"/>
        <w:tabs>
          <w:tab w:leader="none" w:pos="1162"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including information, opinions, reports or statements as to the value and amount of the assets, liabilities, profits or losses or any other facts pertinent to the existence and amount of assets from which distributions to the Member might properly be paid.</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Fiduciary Duty</w:t>
      </w:r>
      <w:r>
        <w:rPr>
          <w:rFonts w:ascii="Arial" w:cs="Arial" w:eastAsia="Arial" w:hAnsi="Arial"/>
          <w:sz w:val="16"/>
          <w:szCs w:val="16"/>
          <w:color w:val="auto"/>
        </w:rPr>
        <w:t>. To the extent that, at law or in equity, a Covered Person has duties (including fiduciary duties) and liabilities relating thereto to the Company, then, to the fullest extent permitted by applicable law, the Covered Person acting under this Agreement shall not be liable to the Company or the Member for its good faith acts or omissions in reliance on the provisions of this Agreement. The provisions of this Agreement, to the extent that they restrict the duties and liabilities of a Covered Person otherwise existing at law or in equity, replace such other duties and liabilities of the Covered Person.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shall indemnify and hold harmless the Covered Person to the fullest extent permitted by NRS 86.411 to 86.451, inclusive.</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Determination of Right to Indemnification</w:t>
      </w:r>
      <w:r>
        <w:rPr>
          <w:rFonts w:ascii="Arial" w:cs="Arial" w:eastAsia="Arial" w:hAnsi="Arial"/>
          <w:sz w:val="18"/>
          <w:szCs w:val="18"/>
          <w:color w:val="auto"/>
        </w:rPr>
        <w:t>. Any indemnification under Section 9.3, unless ordered by a court or advanced pursuant to Section 9.5 below, shall be made by the Company only as authorized in the specific case upon a determination by the Member, in its sole discretion, that indemnification is proper in the circumstances.</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Advance Payment of Expenses</w:t>
      </w:r>
      <w:r>
        <w:rPr>
          <w:rFonts w:ascii="Arial" w:cs="Arial" w:eastAsia="Arial" w:hAnsi="Arial"/>
          <w:sz w:val="18"/>
          <w:szCs w:val="18"/>
          <w:color w:val="auto"/>
        </w:rPr>
        <w:t>. The expenses of the Member incurred in defending a civil or criminal action, suit or proceeding shall be paid by the Company as they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80" w:right="239" w:bottom="1440" w:gutter="0" w:footer="0" w:header="0"/>
        </w:sectPr>
      </w:pPr>
    </w:p>
    <w:bookmarkStart w:id="321" w:name="page322"/>
    <w:bookmarkEnd w:id="321"/>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are incurred and in advance of the final disposition of the action, suit or proceeding, upon receipt of an undertaking by or on behalf of the Member to repay the amount if it is ultimately determined by a court of competent jurisdiction that the Member is not entitled to be indemnified by the Company. The provisions of this section do not affect any rights to advancement of expenses to which personnel of the Company other than the Member may be entitled under any contract or otherwise by law.</w:t>
      </w:r>
    </w:p>
    <w:p>
      <w:pPr>
        <w:spacing w:after="0" w:line="13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Assets of the Company</w:t>
      </w:r>
      <w:r>
        <w:rPr>
          <w:rFonts w:ascii="Arial" w:cs="Arial" w:eastAsia="Arial" w:hAnsi="Arial"/>
          <w:sz w:val="18"/>
          <w:szCs w:val="18"/>
          <w:color w:val="auto"/>
        </w:rPr>
        <w:t>. Any indemnification under this Article IX shall be satisfied solely out of the assets of the Company. No debt shall be incurred by the Company or the Member in order to provide a source of funds for any indemnity, and the Member shall not have any liability (or any liability to make any additional Capital Contribution) on account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Membership Certificates</w:t>
      </w:r>
      <w:r>
        <w:rPr>
          <w:rFonts w:ascii="Arial" w:cs="Arial" w:eastAsia="Arial" w:hAnsi="Arial"/>
          <w:sz w:val="18"/>
          <w:szCs w:val="18"/>
          <w:color w:val="auto"/>
        </w:rPr>
        <w:t>. The Company shall issue a certificate to the Member to evidence the Interest in the Company. The Member or any officer of the Company may execute such certificate on behalf of the Company.</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Securities Under the UCC</w:t>
      </w:r>
      <w:r>
        <w:rPr>
          <w:rFonts w:ascii="Arial" w:cs="Arial" w:eastAsia="Arial" w:hAnsi="Arial"/>
          <w:sz w:val="16"/>
          <w:szCs w:val="16"/>
          <w:color w:val="auto"/>
        </w:rPr>
        <w:t>. The Interest of a Member shall be considered a “security” as defined in Section 104.8102(1)(o) of the Nevada UCC and Section 8102(a)(15) or other corresponding provisions of the UCC in effect in other applicable jurisdictions, and this statement shall constitute an express provision that each such Interest is a security governed by Article 8 of the UCC, within the meaning of Section 104.8103(3) of the Nevada UCC and Section 8103(c) or other corresponding provisions of the UCC in effect in other applicable jurisdictions, solely for the purposes of establishing the applicability thereto of the provisions of Article 8 governing securities. No Interest of the Member shall be considered a “security” for any other purpose, nor shall this statement be construed to suggest that any such Interest should otherwise be considered a “security.” The Company shall imprint or otherwise place, on any certificate representing the Interest a legend in substantially the following form (in addition to any other legend required by applicable law or otherwise):</w:t>
      </w:r>
    </w:p>
    <w:p>
      <w:pPr>
        <w:spacing w:after="0" w:line="24" w:lineRule="exact"/>
        <w:rPr>
          <w:sz w:val="20"/>
          <w:szCs w:val="20"/>
          <w:color w:val="auto"/>
        </w:rPr>
      </w:pPr>
    </w:p>
    <w:p>
      <w:pPr>
        <w:ind w:left="460" w:right="60"/>
        <w:spacing w:after="0" w:line="253" w:lineRule="auto"/>
        <w:rPr>
          <w:sz w:val="20"/>
          <w:szCs w:val="20"/>
          <w:color w:val="auto"/>
        </w:rPr>
      </w:pPr>
      <w:r>
        <w:rPr>
          <w:rFonts w:ascii="Arial" w:cs="Arial" w:eastAsia="Arial" w:hAnsi="Arial"/>
          <w:sz w:val="18"/>
          <w:szCs w:val="18"/>
          <w:color w:val="auto"/>
        </w:rPr>
        <w:t>“THE OWNERSHIP INTEREST REPRESENTED BY THIS CERTIFICATE SHALL BE CONSIDERED A ‘SECURITY’ AS DEFINED IN SECTION 104.8102(1)(o) OF THE NEVADA UCC AND SECTION 8102(a)(15) OR OTHER CORRESPONDING PROVISIONS OF THE UCC IN ANY OTHER APPLICABLE STATE OR JURISDICTION, AND THIS STATEMENT SHALL CONSTITUTE AN EXPRESS PROVISION THAT THE OWNERSHIP INTEREST REPRESENTED BY THIS CERTIFICATE IS A SECURITY GOVERNED BY ARTICLE 8 OF THE UCC, WITHIN THE MEANING OF SECTION 104.8103(3) OF THE NEVADA UCC AND SECTION 8103(c) OR OTHER CORRESPONDING PROVISIONS OF THE UCC IN ANY OTHER APPLICABLE STATE OR JURSIDICTION, SOLELY FOR THE PURPOSES OF ESTABLISHING THE APPLICABILITY THERETO OF THE PROVISIONS OF ARTICLE 8 GOVERNING SECURITIES. THE OWNERSHIP INTEREST REPRESENTED BY THIS CERTIFICATE SHALL NOT BE</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80" w:right="279" w:bottom="1440" w:gutter="0" w:footer="0" w:header="0"/>
        </w:sectPr>
      </w:pPr>
    </w:p>
    <w:bookmarkStart w:id="322" w:name="page323"/>
    <w:bookmarkEnd w:id="322"/>
    <w:p>
      <w:pPr>
        <w:ind w:left="46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CONSIDERED A ‘SECURITY’ FOR ANY OTHER PURPOSE, NOR SHALL THIS STATEMENT BE CONSTRUED TO SUGGEST THAT THE OWNERSHIP INTEREST REPRESENTED BY THIS CERTIFICATE SHOULD OTHERWISE BE CONSIDERED A ‘SECURITY.’ FOR PURPOSES HEREOF, ‘UCC’ SHALL MEAN THE UNIFORM COMMERCIAL CODE AS ENACTED AND IN EFFECT IN THE STATE OF NEVADA AND ANY OTHER APPLICABLE STATE OR JURISDICTION.”</w:t>
      </w:r>
    </w:p>
    <w:p>
      <w:pPr>
        <w:spacing w:after="0" w:line="13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may purchase and maintain insurance, to the extent and in such amounts as the Member shall, in its sole discretion, deem reasonable, on behalf of such Persons as the Member shall determine, against any liability that may be asserted against or expenses that may be incurred by any such Person in connection with the activities of the Company.</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Agreement, including any schedules or exhibits hereto, together with the Articles to the extent referenced herein, constitutes the complete and exclusive agreement and understanding of the Member with respect to the subject matter contained herein. This Agreement and the Articles replace and supersede all prior agreements, negotiations, statements, memoranda and understandings, whether written or oral, by the Member.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only by a writing signed by the Member.</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This Agreement, and the rights and obligations of the Member, shall be interpreted and enforced in accordance with and governed by the laws of the State of Nevada without regard to the conflict laws of that State.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headings in this Agreement are inserted for convenience only and are in no way intended to describe, interpret, define, or limit the scope, extent or intent of this Agreement or any provisions contained herein. In the interpretation of this Agreement, the singular may be read as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the neuter gender as the masculine or feminine, and</w:t>
      </w:r>
      <w:r>
        <w:rPr>
          <w:rFonts w:ascii="Arial" w:cs="Arial" w:eastAsia="Arial" w:hAnsi="Arial"/>
          <w:sz w:val="18"/>
          <w:szCs w:val="18"/>
          <w:i w:val="1"/>
          <w:iCs w:val="1"/>
          <w:color w:val="auto"/>
        </w:rPr>
        <w:t xml:space="preserve"> vice versa</w:t>
      </w:r>
      <w:r>
        <w:rPr>
          <w:rFonts w:ascii="Arial" w:cs="Arial" w:eastAsia="Arial" w:hAnsi="Arial"/>
          <w:sz w:val="18"/>
          <w:szCs w:val="18"/>
          <w:color w:val="auto"/>
        </w:rPr>
        <w:t>, and the future tense as the past or present, and</w:t>
      </w:r>
      <w:r>
        <w:rPr>
          <w:rFonts w:ascii="Arial" w:cs="Arial" w:eastAsia="Arial" w:hAnsi="Arial"/>
          <w:sz w:val="18"/>
          <w:szCs w:val="18"/>
          <w:i w:val="1"/>
          <w:iCs w:val="1"/>
          <w:color w:val="auto"/>
        </w:rPr>
        <w:t xml:space="preserve"> vice versa</w:t>
      </w:r>
      <w:r>
        <w:rPr>
          <w:rFonts w:ascii="Arial" w:cs="Arial" w:eastAsia="Arial" w:hAnsi="Arial"/>
          <w:sz w:val="18"/>
          <w:szCs w:val="18"/>
          <w:color w:val="auto"/>
        </w:rPr>
        <w:t>, all interchangeably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context may require in order to fully effectuate the intent of the Member and the transactions contemplated herein. Syntax shall yield to the substance of the terms and provisions hereof.</w:t>
      </w:r>
    </w:p>
    <w:p>
      <w:pPr>
        <w:spacing w:after="0" w:line="12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Facsimile Copies</w:t>
      </w:r>
      <w:r>
        <w:rPr>
          <w:rFonts w:ascii="Arial" w:cs="Arial" w:eastAsia="Arial" w:hAnsi="Arial"/>
          <w:sz w:val="18"/>
          <w:szCs w:val="18"/>
          <w:color w:val="auto"/>
        </w:rPr>
        <w:t>. Facsimile copies of this Agreement or any approval or written consent of the Member, and facsimile signatures hereon or thereon, shall have the same force and effect as originals.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any application thereof, is held by a court of competent jurisdiction to be invalid, void, illegal or unenforceable to any extent, that provision, or application thereof, shall be deemed severable and the remainder of this Agreement, and all other applications of such provision, shall not be affected, impaired or invalidated thereby, and shall continue in full force and effect to the fullest extent permitted by law.</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79" w:right="259" w:bottom="1440" w:gutter="0" w:footer="0" w:header="0"/>
        </w:sectPr>
      </w:pPr>
    </w:p>
    <w:bookmarkStart w:id="323" w:name="page324"/>
    <w:bookmarkEnd w:id="32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10.10 </w:t>
      </w:r>
      <w:r>
        <w:rPr>
          <w:rFonts w:ascii="Arial" w:cs="Arial" w:eastAsia="Arial" w:hAnsi="Arial"/>
          <w:sz w:val="18"/>
          <w:szCs w:val="18"/>
          <w:u w:val="single" w:color="auto"/>
          <w:color w:val="auto"/>
        </w:rPr>
        <w:t>Waivers</w:t>
      </w:r>
      <w:r>
        <w:rPr>
          <w:rFonts w:ascii="Arial" w:cs="Arial" w:eastAsia="Arial" w:hAnsi="Arial"/>
          <w:sz w:val="18"/>
          <w:szCs w:val="18"/>
          <w:color w:val="auto"/>
        </w:rPr>
        <w:t>. No waiver of any of the provisions of this Agreement shall be deemed, or shall constitute, a waiver of any other provision, whether or not similar, nor shall any waiver constitute a continuing waiver, and no waiver shall be binding unless evidenced by an instrument in writing and executed by the Member.</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adopted solely by and for the benefit of the Member and its successors and assigns, and, except as set forth in Article IX hereof, no other Person shall have any rights, interest or claims hereunder or be entitled to any benefits under or on account of this Agreement as a third party beneficiary or otherwise.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 appears on the following page]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40"/>
          </w:cols>
          <w:pgMar w:left="240" w:top="279" w:right="41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Member has executed and adopted this Agreement as of the Effective Date.</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80010</wp:posOffset>
            </wp:positionV>
            <wp:extent cx="222948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9759"/>
          </w:cols>
          <w:pgMar w:left="700" w:top="280" w:right="1440" w:bottom="1440" w:gutter="0" w:footer="0" w:header="0"/>
        </w:sectPr>
      </w:pPr>
    </w:p>
    <w:bookmarkStart w:id="325" w:name="page326"/>
    <w:bookmarkEnd w:id="325"/>
    <w:p>
      <w:pPr>
        <w:ind w:left="52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ectPr>
          <w:pgSz w:w="11900" w:h="16838" w:orient="portrait"/>
          <w:cols w:equalWidth="0" w:num="1">
            <w:col w:w="10219"/>
          </w:cols>
          <w:pgMar w:left="240" w:top="280" w:right="1440"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Member’s Name: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LLC</w:t>
      </w:r>
    </w:p>
    <w:p>
      <w:pPr>
        <w:spacing w:after="0" w:line="140" w:lineRule="exact"/>
        <w:rPr>
          <w:sz w:val="20"/>
          <w:szCs w:val="20"/>
          <w:color w:val="auto"/>
        </w:rPr>
      </w:pPr>
    </w:p>
    <w:p>
      <w:pPr>
        <w:sectPr>
          <w:pgSz w:w="11900" w:h="16838" w:orient="portrait"/>
          <w:cols w:equalWidth="0" w:num="2">
            <w:col w:w="5100" w:space="720"/>
            <w:col w:w="439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Member’s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3131 Las Vegas Boulevard South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24" w:lineRule="exact"/>
        <w:rPr>
          <w:sz w:val="20"/>
          <w:szCs w:val="20"/>
          <w:color w:val="auto"/>
        </w:rPr>
      </w:pPr>
    </w:p>
    <w:p>
      <w:pPr>
        <w:sectPr>
          <w:pgSz w:w="11900" w:h="16838" w:orient="portrait"/>
          <w:cols w:equalWidth="0" w:num="2">
            <w:col w:w="5100" w:space="720"/>
            <w:col w:w="439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Member’s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w:t>
      </w:r>
    </w:p>
    <w:p>
      <w:pPr>
        <w:spacing w:after="0" w:line="181" w:lineRule="exact"/>
        <w:rPr>
          <w:sz w:val="20"/>
          <w:szCs w:val="20"/>
          <w:color w:val="auto"/>
        </w:rPr>
      </w:pPr>
    </w:p>
    <w:p>
      <w:pPr>
        <w:sectPr>
          <w:pgSz w:w="11900" w:h="16838" w:orient="portrait"/>
          <w:cols w:equalWidth="0" w:num="2">
            <w:col w:w="5100" w:space="720"/>
            <w:col w:w="4399"/>
          </w:cols>
          <w:pgMar w:left="240" w:top="280" w:right="1440" w:bottom="1440" w:gutter="0" w:footer="0" w:header="0"/>
          <w:type w:val="continuous"/>
        </w:sectPr>
      </w:pPr>
    </w:p>
    <w:p>
      <w:pPr>
        <w:ind w:left="5560"/>
        <w:spacing w:after="0"/>
        <w:rPr>
          <w:sz w:val="20"/>
          <w:szCs w:val="20"/>
          <w:color w:val="auto"/>
        </w:rPr>
      </w:pPr>
      <w:r>
        <w:rPr>
          <w:rFonts w:ascii="Arial" w:cs="Arial" w:eastAsia="Arial" w:hAnsi="Arial"/>
          <w:sz w:val="16"/>
          <w:szCs w:val="16"/>
          <w:color w:val="auto"/>
        </w:rPr>
        <w:t>- 1 -</w:t>
      </w:r>
    </w:p>
    <w:p>
      <w:pPr>
        <w:sectPr>
          <w:pgSz w:w="11900" w:h="16838" w:orient="portrait"/>
          <w:cols w:equalWidth="0" w:num="1">
            <w:col w:w="10219"/>
          </w:cols>
          <w:pgMar w:left="240" w:top="280" w:right="1440" w:bottom="1440" w:gutter="0" w:footer="0" w:header="0"/>
          <w:type w:val="continuous"/>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3.10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ARTICLES OF ORGANIZATION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LAS VEGAS JET, LLC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Nevada Revised Statutes Sections 86.221 and 86.226, the undersigned does hereby declare and certify that:</w:t>
      </w:r>
    </w:p>
    <w:p>
      <w:pPr>
        <w:spacing w:after="0" w:line="77" w:lineRule="exact"/>
        <w:rPr>
          <w:sz w:val="20"/>
          <w:szCs w:val="20"/>
          <w:color w:val="auto"/>
        </w:rPr>
      </w:pPr>
    </w:p>
    <w:p>
      <w:pPr>
        <w:ind w:left="640" w:hanging="176"/>
        <w:spacing w:after="0"/>
        <w:tabs>
          <w:tab w:leader="none" w:pos="6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name of the limited liability company is Las Vegas Jet, LLC, a Nevada limited liability company (the “Company”).</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Company is managed by its member.</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Articles of Organization of the Company shall be amended and restated as set forth below.</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effective date of these Second Amended and Restated Articles of Organization shall be December 14,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NAME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Company is Las Vegas Jet,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REGISTERED OFFICE AND RESIDENT AGENT</w:t>
      </w:r>
    </w:p>
    <w:p>
      <w:pPr>
        <w:spacing w:after="0" w:line="151"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The Company’s resident agent and the address of the registered office where process may be served in the State of Nevada is currently Marc H. Rubinstein, 3131 Las Vegas Boulevard South, Las Vegas, Nevada 89109, or such other resident agent and registered office as the member shall, from time to time, determine.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 AND PAYMENT OF EXPENSES</w:t>
      </w:r>
    </w:p>
    <w:p>
      <w:pPr>
        <w:spacing w:after="0" w:line="1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any other rights of indemnification permitted by the laws of the State of Nevada as may be provided for by the Company in these articles of organization, the Company’s operating agreement or any other agreement, the expenses of the member incurred in defending a civil or criminal action, suit or proceeding, involving alleged acts or omissions of such member in its capacity as a member of the Company, must be paid by the Company, or through insurance purchased and maintained by the Company or through other financial arrangements made by the Company as permitted by the laws of the State of Nevada, as they are incurred and in advance of the final disposition of the action, suit or proceeding, upon receipt of an unsecured undertaking by or on behalf of the member to repay the amount if it is ultimately determined by a court of competent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27" w:name="page328"/>
    <w:bookmarkEnd w:id="327"/>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jurisdiction that it is not entitled to be indemnified by the Company. Any repeal or modification of this Article III approved by the member of the Company shall be prospective only. In the event of any conflict between this Article III and any other article of the Company’s articles of organization, the terms and provisions of Article III shall control.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IV</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MANAGEMENT</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management of the Company shall be vested in its sole member. The name and address of the sole member of the Company is Wynn Las Vegas, LLC, 3131 Las Vegas Boulevard South, Las Vegas, Nevada 89109. The member may designate or authorize, by provision either in the Company’s operating agreement or in another writing, one or more persons, officers or employees of the Company who may, in the name and on behalf of the Company, and in lieu of or in addition to the member, contract debts or incur liabilities, and sign contracts or agreements (including, without limitation, instruments and documents providing for the acquisition, mortgage or disposition of property of the Company), and may authorize the use of facsimile signatures of any such persons, officers or employees.</w:t>
      </w:r>
    </w:p>
    <w:p>
      <w:pPr>
        <w:spacing w:after="0" w:line="13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V</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ORGANIZER</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name and post office box or street address of the organizer of the Company was Marc H. Rubinstein, 3145 Las Vegas Blvd. South, Las Vegas, Nevada 89109.</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appears on the following page]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9" w:right="299" w:bottom="1440" w:gutter="0" w:footer="0" w:header="0"/>
        </w:sectPr>
      </w:pPr>
    </w:p>
    <w:bookmarkStart w:id="328" w:name="page329"/>
    <w:bookmarkEnd w:id="32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sole member of the Company has hereunto executed these Second Amended and Restated Articles of Organization as of the 14th day of December, 2004.</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By: Valvino Lamore, LLC,</w:t>
      </w:r>
    </w:p>
    <w:p>
      <w:pPr>
        <w:spacing w:after="0" w:line="1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80010</wp:posOffset>
            </wp:positionV>
            <wp:extent cx="199834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1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240" w:top="279" w:right="95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Nevada limited liability company</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This Second Amended and Restated Operating Agreement of Las Vegas Jet,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is adopted at Las Vegas, Nevada, effective as of December 14, 2004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Wynn Las Vegas, LLC, a Nevada limited liability company (“</w:t>
      </w:r>
      <w:r>
        <w:rPr>
          <w:rFonts w:ascii="Arial" w:cs="Arial" w:eastAsia="Arial" w:hAnsi="Arial"/>
          <w:sz w:val="18"/>
          <w:szCs w:val="18"/>
          <w:u w:val="single" w:color="auto"/>
          <w:color w:val="auto"/>
        </w:rPr>
        <w:t>WLV</w:t>
      </w:r>
      <w:r>
        <w:rPr>
          <w:rFonts w:ascii="Arial" w:cs="Arial" w:eastAsia="Arial" w:hAnsi="Arial"/>
          <w:sz w:val="18"/>
          <w:szCs w:val="18"/>
          <w:color w:val="auto"/>
        </w:rPr>
        <w:t>”), which constitutes the sole member of the Company, with reference to the recitals set forth below.</w:t>
      </w:r>
    </w:p>
    <w:p>
      <w:pPr>
        <w:spacing w:after="0" w:line="127"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R E C I T A L 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On May 9, 2000, the Company’s initial member, Stephen A. Wynn (“</w:t>
      </w:r>
      <w:r>
        <w:rPr>
          <w:rFonts w:ascii="Arial" w:cs="Arial" w:eastAsia="Arial" w:hAnsi="Arial"/>
          <w:sz w:val="18"/>
          <w:szCs w:val="18"/>
          <w:u w:val="single" w:color="auto"/>
          <w:color w:val="auto"/>
        </w:rPr>
        <w:t>Wynn</w:t>
      </w:r>
      <w:r>
        <w:rPr>
          <w:rFonts w:ascii="Arial" w:cs="Arial" w:eastAsia="Arial" w:hAnsi="Arial"/>
          <w:sz w:val="18"/>
          <w:szCs w:val="18"/>
          <w:color w:val="auto"/>
        </w:rPr>
        <w:t>”), adopted an operating agreement for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On May 30, 2002, Wynn assigned his 100% member’s interest in the Company to Valvino Lamore, LLC, a Nevada limited liability company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Valvino</w:t>
      </w:r>
      <w:r>
        <w:rPr>
          <w:rFonts w:ascii="Arial" w:cs="Arial" w:eastAsia="Arial" w:hAnsi="Arial"/>
          <w:sz w:val="16"/>
          <w:szCs w:val="16"/>
          <w:color w:val="auto"/>
        </w:rPr>
        <w:t>”), and Valvino became subject to and bound by the Company’s operating agreement by executing and adopting a First Amendment to Operating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of the Company, dated May 30, 2002;</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 On October 17, 2002, Valvino contributed and assigned its 100% member’s interest in the Company to Wynn Resorts Holdings, LLC, a Nevada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and immediately thereafter, Holdings transferred its 100% interest in the Company to WLV;</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 On October 17, 2002, WLV adopted a First Amended and Restated Operating Agreement of the Company (the “</w:t>
      </w:r>
      <w:r>
        <w:rPr>
          <w:rFonts w:ascii="Arial" w:cs="Arial" w:eastAsia="Arial" w:hAnsi="Arial"/>
          <w:sz w:val="16"/>
          <w:szCs w:val="16"/>
          <w:u w:val="single" w:color="auto"/>
          <w:color w:val="auto"/>
        </w:rPr>
        <w:t>Current Operating Agreement</w:t>
      </w:r>
      <w:r>
        <w:rPr>
          <w:rFonts w:ascii="Arial" w:cs="Arial" w:eastAsia="Arial" w:hAnsi="Arial"/>
          <w:sz w:val="16"/>
          <w:szCs w:val="16"/>
          <w:color w:val="auto"/>
        </w:rPr>
        <w:t>”); and</w:t>
      </w:r>
    </w:p>
    <w:p>
      <w:pPr>
        <w:spacing w:after="0" w:line="18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 As of the Effective Date, and pursuant to NRS 86.286(1), WLV desires to amend and restate, in its entirety, the Current Operating Agreement to provide for the conduct of the Company’s business and affairs on and after the Effective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WLV hereby agrees to and adopts the following: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“Act” means Chapter 86 of the NRS.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“Affiliate” means with respect to a specified Person, any other Person who or which is (a) directly or indirectly controlling, controlled by or under common control with the specified Person, or (b) any member, stockholder, director, officer, manager, or comparable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330" w:name="page331"/>
    <w:bookmarkEnd w:id="330"/>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principal of, or relative or spouse of, the specified Person. For purposes of this definition, “control”, “controlling”, and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“Agreement” means this Second Amended and Restated Operating Agreement, as amended from time to time.</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u w:val="single" w:color="auto"/>
          <w:color w:val="auto"/>
        </w:rPr>
        <w:t>Articles</w:t>
      </w:r>
      <w:r>
        <w:rPr>
          <w:rFonts w:ascii="Arial" w:cs="Arial" w:eastAsia="Arial" w:hAnsi="Arial"/>
          <w:sz w:val="18"/>
          <w:szCs w:val="18"/>
          <w:color w:val="auto"/>
        </w:rPr>
        <w:t>. “Articles” means the Second Amended and Restated Articles of Organization of the Company as filed with the Secretary of State of Nevada, as amended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Capital Contribution</w:t>
      </w:r>
      <w:r>
        <w:rPr>
          <w:rFonts w:ascii="Arial" w:cs="Arial" w:eastAsia="Arial" w:hAnsi="Arial"/>
          <w:sz w:val="18"/>
          <w:szCs w:val="18"/>
          <w:color w:val="auto"/>
        </w:rPr>
        <w:t>. “Capital Contribution” means a contribution to the capital of the Company in cash, property, or otherwise.</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means the Internal Revenue Code of 1986, as amended from time to time, or any corresponding United States federal tax statute enacted after the date of this Agreement. A reference to a specific section of the Code refers not only to such specific section but also to any corresponding provision of any United States federal tax statute enacted after the date of this Agreement, as such specific section or corresponding provision is in effect on the date of application of the provisions of this Agreement containing such reference.</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u w:val="single" w:color="auto"/>
          <w:color w:val="auto"/>
        </w:rPr>
        <w:t>Covered Person</w:t>
      </w:r>
      <w:r>
        <w:rPr>
          <w:rFonts w:ascii="Arial" w:cs="Arial" w:eastAsia="Arial" w:hAnsi="Arial"/>
          <w:sz w:val="18"/>
          <w:szCs w:val="18"/>
          <w:color w:val="auto"/>
        </w:rPr>
        <w:t>. “Covered Person” means (a) the Member, (b) any officer of the Company, (c) any manager or officer of the Member or the respective Affiliates of the Company or the Member, or (d) any Person who was, at the time of the act or omission in question, a Person described in any of clauses (a), (b) or (c) hereof.</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“Interest” means the entire ownership interest of the Member in the Company at any time, including the right of the Member to any and all benefits to which the Member may be entitled as provided under the Act and this Agreement.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Member</w:t>
      </w:r>
      <w:r>
        <w:rPr>
          <w:rFonts w:ascii="Arial" w:cs="Arial" w:eastAsia="Arial" w:hAnsi="Arial"/>
          <w:sz w:val="18"/>
          <w:szCs w:val="18"/>
          <w:color w:val="auto"/>
        </w:rPr>
        <w:t>. “Member” means the sole member of the Company. As of the Effective Date, the Member’s name, address and percentage Interest are as set forth on Schedule I attached 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NRS</w:t>
      </w:r>
      <w:r>
        <w:rPr>
          <w:rFonts w:ascii="Arial" w:cs="Arial" w:eastAsia="Arial" w:hAnsi="Arial"/>
          <w:sz w:val="18"/>
          <w:szCs w:val="18"/>
          <w:color w:val="auto"/>
        </w:rPr>
        <w:t>. “NRS” means the Nevada Revised Statutes, as amended from time to time.</w:t>
      </w:r>
    </w:p>
    <w:p>
      <w:pPr>
        <w:spacing w:after="0" w:line="15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“Person” means a natural person, any form of business or social organization and any other non-governmental legal entity including, but not limited to, a corporation, partnership, association, trust, unincorporated organization, estate or limited liability company.</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u w:val="single" w:color="auto"/>
          <w:color w:val="auto"/>
        </w:rPr>
        <w:t>Records Office</w:t>
      </w:r>
      <w:r>
        <w:rPr>
          <w:rFonts w:ascii="Arial" w:cs="Arial" w:eastAsia="Arial" w:hAnsi="Arial"/>
          <w:sz w:val="18"/>
          <w:szCs w:val="18"/>
          <w:color w:val="auto"/>
        </w:rPr>
        <w:t>. “Records Office” means an office of the Company in Nevada, which may but need not be a place of its business, at which it shall keep all records identified in NRS 86.241, except that none of the lists required to be maintained pursuant to NRS 86.241 need be maintained in alphabetical order, nor shall the Company be required to maintain at its Records Office copies of powers of attorney except those relating to the execution of the Articles and this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80" w:right="259" w:bottom="1440" w:gutter="0" w:footer="0" w:header="0"/>
        </w:sectPr>
      </w:pPr>
    </w:p>
    <w:bookmarkStart w:id="331" w:name="page332"/>
    <w:bookmarkEnd w:id="331"/>
    <w:p>
      <w:pPr>
        <w:ind w:right="6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Treasury Regulations</w:t>
      </w:r>
      <w:r>
        <w:rPr>
          <w:rFonts w:ascii="Arial" w:cs="Arial" w:eastAsia="Arial" w:hAnsi="Arial"/>
          <w:sz w:val="18"/>
          <w:szCs w:val="18"/>
          <w:color w:val="auto"/>
        </w:rPr>
        <w:t>. “Treasury Regulations” means the federal income tax regulations promulgated by the U.S. Treasury Department under the Code and codified at Title 26 of the Code of Federal Regulations, as amended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UCC</w:t>
      </w:r>
      <w:r>
        <w:rPr>
          <w:rFonts w:ascii="Arial" w:cs="Arial" w:eastAsia="Arial" w:hAnsi="Arial"/>
          <w:sz w:val="18"/>
          <w:szCs w:val="18"/>
          <w:color w:val="auto"/>
        </w:rPr>
        <w:t>. “UCC” means the Uniform Commercial Code as enacted and in effect in the State of Nevada or any other applicable jurisdiction.</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INTRODUCTORY MATTERS</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Formation</w:t>
      </w:r>
      <w:r>
        <w:rPr>
          <w:rFonts w:ascii="Arial" w:cs="Arial" w:eastAsia="Arial" w:hAnsi="Arial"/>
          <w:sz w:val="18"/>
          <w:szCs w:val="18"/>
          <w:color w:val="auto"/>
        </w:rPr>
        <w:t>. Pursuant to the Act, the Company has been formed as a Nevada limited liability company under the laws of the State of Nevada. To the extent that the rights or obligations of the Member are different by reason of any provision of this Agreement than they would be in the absence of such provision, this Agreement shall, to the extent permitted by the Act, control.</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Company is “Las Vegas Jet, LLC.” Subject to compliance with applicable law, the business and affairs of the Company may be conducted under that name or any other name that the Member deems appropriate or advisable.</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Records Office</w:t>
      </w:r>
      <w:r>
        <w:rPr>
          <w:rFonts w:ascii="Arial" w:cs="Arial" w:eastAsia="Arial" w:hAnsi="Arial"/>
          <w:sz w:val="18"/>
          <w:szCs w:val="18"/>
          <w:color w:val="auto"/>
        </w:rPr>
        <w:t>. The Company shall continuously maintain in the State of Nevada a Records Office. As of the date hereof, the Records Office is 3131 Las Vegas Boulevard South, Las Vegas, Nevada 89109. The Records Office may be changed to another location within the State of Nevada as the Member may from time to time determine.</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Company may establish and maintain other offices at any time and at any place or places as the Member may designate or as the business of the Company may require.</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Resident Agent and Registered Office</w:t>
      </w:r>
      <w:r>
        <w:rPr>
          <w:rFonts w:ascii="Arial" w:cs="Arial" w:eastAsia="Arial" w:hAnsi="Arial"/>
          <w:sz w:val="16"/>
          <w:szCs w:val="16"/>
          <w:color w:val="auto"/>
        </w:rPr>
        <w:t>. The resident agent of the Company for service of process shall be as set forth in the Articles or as changed by the Member from time to time. The Company shall have as its registered office in the State of Nevada the street address of its resident agent.</w:t>
      </w:r>
    </w:p>
    <w:p>
      <w:pPr>
        <w:spacing w:after="0" w:line="7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Purpose</w:t>
      </w:r>
      <w:r>
        <w:rPr>
          <w:rFonts w:ascii="Arial" w:cs="Arial" w:eastAsia="Arial" w:hAnsi="Arial"/>
          <w:sz w:val="16"/>
          <w:szCs w:val="16"/>
          <w:color w:val="auto"/>
        </w:rPr>
        <w:t>. Except as provided elsewhere in this Agreement, the Company is formed for the object and purpose of engaging in any lawful act or activity for which limited liability companies may be formed under the Act and engaging in any and all activities necessary or incidental to the foregoing.</w:t>
      </w:r>
    </w:p>
    <w:p>
      <w:pPr>
        <w:spacing w:after="0" w:line="7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Powers of the Company</w:t>
      </w:r>
      <w:r>
        <w:rPr>
          <w:rFonts w:ascii="Arial" w:cs="Arial" w:eastAsia="Arial" w:hAnsi="Arial"/>
          <w:sz w:val="18"/>
          <w:szCs w:val="18"/>
          <w:color w:val="auto"/>
        </w:rPr>
        <w:t>. Except as provided elsewhere in this Agreement, the Company shall have the power and authority to take any and all actions necessary, appropriate, advisable, convenient or incidental to or for the furtherance of the purpose set forth in Section 2.6, including, but not limited to, the power and authority to:</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 borrow money and issue evidences of indebtedness, and to secure the same by a mortgage, pledge or other lien on any or all of the assets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332" w:name="page333"/>
    <w:bookmarkEnd w:id="332"/>
    <w:p>
      <w:pPr>
        <w:ind w:right="580" w:firstLine="921"/>
        <w:spacing w:after="0" w:line="268" w:lineRule="auto"/>
        <w:tabs>
          <w:tab w:leader="none" w:pos="1162" w:val="left"/>
        </w:tabs>
        <w:numPr>
          <w:ilvl w:val="0"/>
          <w:numId w:val="2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conduct its business and operations in any state, territory, district or possession of the United States or in any foreign country that may be necessary or convenient to the accomplishment of the purpose of the Company;</w:t>
      </w:r>
    </w:p>
    <w:p>
      <w:pPr>
        <w:spacing w:after="0" w:line="118" w:lineRule="exact"/>
        <w:rPr>
          <w:rFonts w:ascii="Arial" w:cs="Arial" w:eastAsia="Arial" w:hAnsi="Arial"/>
          <w:sz w:val="18"/>
          <w:szCs w:val="18"/>
          <w:color w:val="auto"/>
        </w:rPr>
      </w:pPr>
    </w:p>
    <w:p>
      <w:pPr>
        <w:ind w:right="420" w:firstLine="921"/>
        <w:spacing w:after="0" w:line="259" w:lineRule="auto"/>
        <w:tabs>
          <w:tab w:leader="none" w:pos="11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acquire, by purchase, lease, contribution of property or otherwise, and own, hold, maintain, finance, improve, lease, sell, convey, mortgage, transfer, demolish or dispose of any real or personal property that may be necessary, convenient or incidental to the accomplishment of the purpose of the Company;</w:t>
      </w:r>
    </w:p>
    <w:p>
      <w:pPr>
        <w:spacing w:after="0" w:line="126" w:lineRule="exact"/>
        <w:rPr>
          <w:rFonts w:ascii="Arial" w:cs="Arial" w:eastAsia="Arial" w:hAnsi="Arial"/>
          <w:sz w:val="18"/>
          <w:szCs w:val="18"/>
          <w:color w:val="auto"/>
        </w:rPr>
      </w:pPr>
    </w:p>
    <w:p>
      <w:pPr>
        <w:ind w:right="160" w:firstLine="921"/>
        <w:spacing w:after="0" w:line="268" w:lineRule="auto"/>
        <w:tabs>
          <w:tab w:leader="none" w:pos="116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enter into, perform and carry out contracts of any kind, including without limitation, contracts with the Member or any Affiliate of the Member that are necessary to, in connection with, convenient to, or incidental to the accomplishment of the purpose of the Company;</w:t>
      </w:r>
    </w:p>
    <w:p>
      <w:pPr>
        <w:spacing w:after="0" w:line="118" w:lineRule="exact"/>
        <w:rPr>
          <w:rFonts w:ascii="Arial" w:cs="Arial" w:eastAsia="Arial" w:hAnsi="Arial"/>
          <w:sz w:val="18"/>
          <w:szCs w:val="18"/>
          <w:color w:val="auto"/>
        </w:rPr>
      </w:pPr>
    </w:p>
    <w:p>
      <w:pPr>
        <w:ind w:firstLine="921"/>
        <w:spacing w:after="0" w:line="268" w:lineRule="auto"/>
        <w:tabs>
          <w:tab w:leader="none" w:pos="11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purchase, take, receive, subscribe for or otherwise acquire, own, hold, vote, use, employ, sell, mortgage, lend, pledge or otherwise dispose of, and otherwise use and deal in and with, shares or other interests in or obligations of domestic or foreign entities;</w:t>
      </w:r>
    </w:p>
    <w:p>
      <w:pPr>
        <w:spacing w:after="0" w:line="118" w:lineRule="exact"/>
        <w:rPr>
          <w:rFonts w:ascii="Arial" w:cs="Arial" w:eastAsia="Arial" w:hAnsi="Arial"/>
          <w:sz w:val="18"/>
          <w:szCs w:val="18"/>
          <w:color w:val="auto"/>
        </w:rPr>
      </w:pPr>
    </w:p>
    <w:p>
      <w:pPr>
        <w:ind w:left="1140" w:hanging="219"/>
        <w:spacing w:after="0"/>
        <w:tabs>
          <w:tab w:leader="none" w:pos="1140" w:val="left"/>
        </w:tabs>
        <w:numPr>
          <w:ilvl w:val="0"/>
          <w:numId w:val="287"/>
        </w:numPr>
        <w:rPr>
          <w:rFonts w:ascii="Arial" w:cs="Arial" w:eastAsia="Arial" w:hAnsi="Arial"/>
          <w:sz w:val="15"/>
          <w:szCs w:val="15"/>
          <w:color w:val="auto"/>
        </w:rPr>
      </w:pPr>
      <w:r>
        <w:rPr>
          <w:rFonts w:ascii="Arial" w:cs="Arial" w:eastAsia="Arial" w:hAnsi="Arial"/>
          <w:sz w:val="15"/>
          <w:szCs w:val="15"/>
          <w:color w:val="auto"/>
        </w:rPr>
        <w:t>lend money for any proper purpose, invest and reinvest its funds and take and hold real and personal property for the payment of funds so loaned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or invested;</w:t>
      </w:r>
    </w:p>
    <w:p>
      <w:pPr>
        <w:spacing w:after="0" w:line="151" w:lineRule="exact"/>
        <w:rPr>
          <w:rFonts w:ascii="Arial" w:cs="Arial" w:eastAsia="Arial" w:hAnsi="Arial"/>
          <w:sz w:val="15"/>
          <w:szCs w:val="15"/>
          <w:color w:val="auto"/>
        </w:rPr>
      </w:pPr>
    </w:p>
    <w:p>
      <w:pPr>
        <w:ind w:left="1160" w:hanging="239"/>
        <w:spacing w:after="0"/>
        <w:tabs>
          <w:tab w:leader="none" w:pos="11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sue and be sued, complain and defend and participate in administrative or other proceedings, in its name;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appoint employees, agents and officers of the Company, and define their duties and fix their compensation;</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indemnify any Person and obtain any and all types of insurance;</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cease its activities and cancel its insurance;</w:t>
      </w:r>
    </w:p>
    <w:p>
      <w:pPr>
        <w:spacing w:after="0" w:line="157"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negotiate, enter into, renegotiate, extend, renew, terminate, modify, amend, waive, execute, acknowledge or take any other action with respect to any lease, contract or security agreement in respect of any assets of the Company;</w:t>
      </w:r>
    </w:p>
    <w:p>
      <w:pPr>
        <w:spacing w:after="0" w:line="118" w:lineRule="exact"/>
        <w:rPr>
          <w:rFonts w:ascii="Arial" w:cs="Arial" w:eastAsia="Arial" w:hAnsi="Arial"/>
          <w:sz w:val="18"/>
          <w:szCs w:val="18"/>
          <w:color w:val="auto"/>
        </w:rPr>
      </w:pPr>
    </w:p>
    <w:p>
      <w:pPr>
        <w:ind w:right="240" w:firstLine="921"/>
        <w:spacing w:after="0" w:line="268" w:lineRule="auto"/>
        <w:tabs>
          <w:tab w:leader="none" w:pos="1123"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pay, collect, compromise, litigate, arbitrate or otherwise adjust or settle any and all other claims or demands of or against the Company or hold such proceeds against the payment of contingent liabilities; and</w:t>
      </w:r>
    </w:p>
    <w:p>
      <w:pPr>
        <w:spacing w:after="0" w:line="118" w:lineRule="exact"/>
        <w:rPr>
          <w:rFonts w:ascii="Arial" w:cs="Arial" w:eastAsia="Arial" w:hAnsi="Arial"/>
          <w:sz w:val="18"/>
          <w:szCs w:val="18"/>
          <w:color w:val="auto"/>
        </w:rPr>
      </w:pPr>
    </w:p>
    <w:p>
      <w:pPr>
        <w:ind w:right="320" w:firstLine="921"/>
        <w:spacing w:after="0" w:line="268" w:lineRule="auto"/>
        <w:tabs>
          <w:tab w:leader="none" w:pos="121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make, execute, acknowledge and file any and all documents or instruments necessary, convenient or incidental to the accomplishment of the purpose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CAPITAL CONTRIBUTIONS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Member shall not be required to make any additional Capital Contribution to the Company.</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79" w:right="279" w:bottom="1440" w:gutter="0" w:footer="0" w:header="0"/>
        </w:sectPr>
      </w:pPr>
    </w:p>
    <w:bookmarkStart w:id="333" w:name="page334"/>
    <w:bookmarkEnd w:id="33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PROFITS AND LOSSES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Profits and Losses</w:t>
      </w:r>
      <w:r>
        <w:rPr>
          <w:rFonts w:ascii="Arial" w:cs="Arial" w:eastAsia="Arial" w:hAnsi="Arial"/>
          <w:sz w:val="18"/>
          <w:szCs w:val="18"/>
          <w:color w:val="auto"/>
        </w:rPr>
        <w:t>. The Company’s profits and losses for any period shall be allocated to the Member.</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Tax Classification</w:t>
      </w:r>
      <w:r>
        <w:rPr>
          <w:rFonts w:ascii="Arial" w:cs="Arial" w:eastAsia="Arial" w:hAnsi="Arial"/>
          <w:sz w:val="16"/>
          <w:szCs w:val="16"/>
          <w:color w:val="auto"/>
        </w:rPr>
        <w:t xml:space="preserve">. So long as the Company has only one Member, it is intended that the Company be disregarded for federal and all relevant state income tax purposes and that the activities of the Company be deemed to be activities of the Member for such purposes, as provided for by Treasury Regulations Sections 301.7701-1, </w:t>
      </w:r>
      <w:r>
        <w:rPr>
          <w:rFonts w:ascii="Arial" w:cs="Arial" w:eastAsia="Arial" w:hAnsi="Arial"/>
          <w:sz w:val="16"/>
          <w:szCs w:val="16"/>
          <w:i w:val="1"/>
          <w:iCs w:val="1"/>
          <w:color w:val="auto"/>
        </w:rPr>
        <w:t>et seq</w:t>
      </w:r>
      <w:r>
        <w:rPr>
          <w:rFonts w:ascii="Arial" w:cs="Arial" w:eastAsia="Arial" w:hAnsi="Arial"/>
          <w:sz w:val="16"/>
          <w:szCs w:val="16"/>
          <w:color w:val="auto"/>
        </w:rPr>
        <w:t>., and comparable provisions of applicable state tax law. In the event that the Company becomes an entity that has more than one Member, it is intended that the Company be treated as a “partnership” for federal and all relevant state income tax purposes, and all available elections shall be made, and take all available actions shall be taken, to cause the Company to be so treated.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DISTRIBUTIONS</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Operating Distributions</w:t>
      </w:r>
      <w:r>
        <w:rPr>
          <w:rFonts w:ascii="Arial" w:cs="Arial" w:eastAsia="Arial" w:hAnsi="Arial"/>
          <w:sz w:val="18"/>
          <w:szCs w:val="18"/>
          <w:color w:val="auto"/>
        </w:rPr>
        <w:t>. Subject to Section 5.2, the Company shall from time to time distribute to the Member such amounts in cash and other assets as shall be determined by the Member.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Limitations on Distribution</w:t>
      </w:r>
      <w:r>
        <w:rPr>
          <w:rFonts w:ascii="Arial" w:cs="Arial" w:eastAsia="Arial" w:hAnsi="Arial"/>
          <w:sz w:val="18"/>
          <w:szCs w:val="18"/>
          <w:color w:val="auto"/>
        </w:rPr>
        <w:t>. Notwithstanding any provision to the contrary contained in this Agreement, the Company shall not make any distribution if such distribution would violate the NRS or other applicable law or would cause a breach or default under any agreement or instrument to which the Company is a party or by which it or its assets are bound, but instead shall make such distribution as soon as practicable such that the making of such distribution would not cause such violation, breach or default.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MEMBERSHIP</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The Member shall not be liable under a judgment, decree or order of a court, or in any other manner, for a debt, obligation or liability of the Company, except to the extent required by law or in an agreement signed by the Member. The Member shall not be required to loan any funds to the Company, nor shall the Member be required to make any contribution to the Company, nor shall the Member be subject to any liability to the Company or any third party, as a result of any deficit of the Company. However, nothing in this Agreement shall prevent the Member from making secured or unsecured loans to the Company by agreement with the Company.</w:t>
      </w:r>
    </w:p>
    <w:p>
      <w:pPr>
        <w:spacing w:after="0" w:line="12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Powers of the Member</w:t>
      </w:r>
      <w:r>
        <w:rPr>
          <w:rFonts w:ascii="Arial" w:cs="Arial" w:eastAsia="Arial" w:hAnsi="Arial"/>
          <w:sz w:val="18"/>
          <w:szCs w:val="18"/>
          <w:color w:val="auto"/>
        </w:rPr>
        <w:t>. The Member shall have full, exclusive and complete discretion to manage and control the business and affairs of the Company, to make all decisions affecting the business and affairs of the Company and to take all such actions as it deems necessary, appropriate or convenient to or for the furtherance of the purpose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9" w:right="259" w:bottom="1440" w:gutter="0" w:footer="0" w:header="0"/>
        </w:sectPr>
      </w:pPr>
    </w:p>
    <w:bookmarkStart w:id="334" w:name="page335"/>
    <w:bookmarkEnd w:id="334"/>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without limitation, the power and authority to execute all documents and instruments, perform all duties and powers, and do all things on behalf of the Company in all matters necessary, desirable, convenient or incidental to the purpose of the Company. The Member is an agent of the Company’s business and the actions of the Member taken in such capacity and in accordance with this Agreement shall bind the Company. The Member shall be the sole Person with the power to bind the Company except and to the extent that such power is expressly delegated to any other Person by the Member in this Agreement or in writing or by oral communication, and such delegation shall not cause the Member to cease to be the Member.</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Election of Officers</w:t>
      </w:r>
      <w:r>
        <w:rPr>
          <w:rFonts w:ascii="Arial" w:cs="Arial" w:eastAsia="Arial" w:hAnsi="Arial"/>
          <w:sz w:val="18"/>
          <w:szCs w:val="18"/>
          <w:color w:val="auto"/>
        </w:rPr>
        <w:t>. The Member in its sole discretion may, from time to time, appoint any individuals as officers with such duties, authorities, responsibilities and titles as the Member may deem appropriate. Such officers shall serve until their successors are duly appointed by the Member or until their earlier removal or resignation. Any officer appointed by the Member may be removed at any time by the Member and any vacancy in any office shall be filled by the Member.</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Designation of Authority</w:t>
      </w:r>
      <w:r>
        <w:rPr>
          <w:rFonts w:ascii="Arial" w:cs="Arial" w:eastAsia="Arial" w:hAnsi="Arial"/>
          <w:sz w:val="16"/>
          <w:szCs w:val="16"/>
          <w:color w:val="auto"/>
        </w:rPr>
        <w:t>. The Member may authorize, in a resolution or other writing, one or more Persons or one or more officers or employees of the Company who may, in the name and on behalf of the Company, and in lieu of or in addition to the Member, contract debts or incur liabilities, and sign contracts or agreements (including, without limitation, instruments and documents providing for the acquisition, mortgage or disposition of property of the Company), and may authorize the use of facsimile signatures of any such Persons, officers or employees.</w:t>
      </w:r>
    </w:p>
    <w:p>
      <w:pPr>
        <w:spacing w:after="0" w:line="9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Transfer of Interest</w:t>
      </w:r>
      <w:r>
        <w:rPr>
          <w:rFonts w:ascii="Arial" w:cs="Arial" w:eastAsia="Arial" w:hAnsi="Arial"/>
          <w:sz w:val="18"/>
          <w:szCs w:val="18"/>
          <w:color w:val="auto"/>
        </w:rPr>
        <w:t>. The Interest of the Member is personal property, and such Interest may be transferred or assigned, in whole or in part, in the sole discretion of the Member.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CONDUCT AND SEPARATENESS COVENANTS</w:t>
      </w:r>
    </w:p>
    <w:p>
      <w:pPr>
        <w:spacing w:after="0" w:line="15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shall conduct business in its own name and hold itself out as a separate entity, and correct any known misunderstanding regarding its separate identity.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DISSOLUTION OF THE COMPANY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 OF THE INTEREST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Dissolution</w:t>
      </w:r>
      <w:r>
        <w:rPr>
          <w:rFonts w:ascii="Arial" w:cs="Arial" w:eastAsia="Arial" w:hAnsi="Arial"/>
          <w:sz w:val="18"/>
          <w:szCs w:val="18"/>
          <w:color w:val="auto"/>
        </w:rPr>
        <w:t>. The Company shall be dissolved and its affairs wound up as determined by the Member.</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w:t>
      </w:r>
      <w:r>
        <w:rPr>
          <w:rFonts w:ascii="Arial" w:cs="Arial" w:eastAsia="Arial" w:hAnsi="Arial"/>
          <w:sz w:val="18"/>
          <w:szCs w:val="18"/>
          <w:color w:val="auto"/>
        </w:rPr>
        <w:t>. Subject to Section 6.6 and applicable law, the Member may not resign from the Company before the dissolution and winding up of the Company.</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Distribution on Dissolution and Liquidation</w:t>
      </w:r>
      <w:r>
        <w:rPr>
          <w:rFonts w:ascii="Arial" w:cs="Arial" w:eastAsia="Arial" w:hAnsi="Arial"/>
          <w:sz w:val="18"/>
          <w:szCs w:val="18"/>
          <w:color w:val="auto"/>
        </w:rPr>
        <w:t>. In the event of the dissolution of the Company for any reason, the business of the Company shall be continued to the extent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80" w:right="279" w:bottom="1440" w:gutter="0" w:footer="0" w:header="0"/>
        </w:sectPr>
      </w:pPr>
    </w:p>
    <w:bookmarkStart w:id="335" w:name="page336"/>
    <w:bookmarkEnd w:id="33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necessary to allow an orderly winding up of its affairs, including the liquidation and termination of the Company pursuant to the provisions of this Section 8.3, as promptly as practicable thereafter, and each of the following shall be accomplished:</w:t>
      </w:r>
    </w:p>
    <w:p>
      <w:pPr>
        <w:spacing w:after="0" w:line="37" w:lineRule="exact"/>
        <w:rPr>
          <w:sz w:val="20"/>
          <w:szCs w:val="20"/>
          <w:color w:val="auto"/>
        </w:rPr>
      </w:pPr>
    </w:p>
    <w:p>
      <w:pPr>
        <w:ind w:left="1160" w:hanging="239"/>
        <w:spacing w:after="0"/>
        <w:tabs>
          <w:tab w:leader="none" w:pos="11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Member shall oversee the winding up of the Company’s affairs;</w:t>
      </w:r>
    </w:p>
    <w:p>
      <w:pPr>
        <w:spacing w:after="0" w:line="157" w:lineRule="exact"/>
        <w:rPr>
          <w:rFonts w:ascii="Arial" w:cs="Arial" w:eastAsia="Arial" w:hAnsi="Arial"/>
          <w:sz w:val="18"/>
          <w:szCs w:val="18"/>
          <w:color w:val="auto"/>
        </w:rPr>
      </w:pPr>
    </w:p>
    <w:p>
      <w:pPr>
        <w:ind w:right="280" w:firstLine="921"/>
        <w:spacing w:after="0" w:line="268" w:lineRule="auto"/>
        <w:tabs>
          <w:tab w:leader="none" w:pos="116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assets of the Company shall be liquidated as determined by the Member, or the Member may determine not to sell all or any portion of the assets, in which event such assets shall be distributed in kind; and</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proceeds of sale and all other assets of the Company shall be applied and distributed as follows and in the following order of priority:</w:t>
      </w:r>
    </w:p>
    <w:p>
      <w:pPr>
        <w:spacing w:after="0" w:line="99" w:lineRule="exact"/>
        <w:rPr>
          <w:rFonts w:ascii="Arial" w:cs="Arial" w:eastAsia="Arial" w:hAnsi="Arial"/>
          <w:sz w:val="16"/>
          <w:szCs w:val="16"/>
          <w:color w:val="auto"/>
        </w:rPr>
      </w:pPr>
    </w:p>
    <w:p>
      <w:pPr>
        <w:ind w:left="1700" w:hanging="208"/>
        <w:spacing w:after="0"/>
        <w:tabs>
          <w:tab w:leader="none" w:pos="17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to the expenses of liquidation;</w:t>
      </w:r>
    </w:p>
    <w:p>
      <w:pPr>
        <w:spacing w:after="0" w:line="157" w:lineRule="exact"/>
        <w:rPr>
          <w:rFonts w:ascii="Arial" w:cs="Arial" w:eastAsia="Arial" w:hAnsi="Arial"/>
          <w:sz w:val="18"/>
          <w:szCs w:val="18"/>
          <w:color w:val="auto"/>
        </w:rPr>
      </w:pPr>
    </w:p>
    <w:p>
      <w:pPr>
        <w:ind w:left="1760" w:hanging="268"/>
        <w:spacing w:after="0"/>
        <w:tabs>
          <w:tab w:leader="none" w:pos="17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to the payment of the debts and liabilities of the Company, including any debts and liabilities owed to the Member; and</w:t>
      </w:r>
    </w:p>
    <w:p>
      <w:pPr>
        <w:spacing w:after="0" w:line="157" w:lineRule="exact"/>
        <w:rPr>
          <w:rFonts w:ascii="Arial" w:cs="Arial" w:eastAsia="Arial" w:hAnsi="Arial"/>
          <w:sz w:val="18"/>
          <w:szCs w:val="18"/>
          <w:color w:val="auto"/>
        </w:rPr>
      </w:pPr>
    </w:p>
    <w:p>
      <w:pPr>
        <w:ind w:left="1800" w:hanging="308"/>
        <w:spacing w:after="0"/>
        <w:tabs>
          <w:tab w:leader="none" w:pos="18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balance, if any, to the Member.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LIABILITY, EXCULPATION AND INDEMNIFICATION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Exculpation</w:t>
      </w:r>
      <w:r>
        <w:rPr>
          <w:rFonts w:ascii="Arial" w:cs="Arial" w:eastAsia="Arial" w:hAnsi="Arial"/>
          <w:sz w:val="18"/>
          <w:szCs w:val="18"/>
          <w:color w:val="auto"/>
        </w:rPr>
        <w:t>.</w:t>
      </w:r>
    </w:p>
    <w:p>
      <w:pPr>
        <w:spacing w:after="0" w:line="77" w:lineRule="exact"/>
        <w:rPr>
          <w:sz w:val="20"/>
          <w:szCs w:val="20"/>
          <w:color w:val="auto"/>
        </w:rPr>
      </w:pPr>
    </w:p>
    <w:p>
      <w:pPr>
        <w:ind w:right="80" w:firstLine="921"/>
        <w:spacing w:after="0" w:line="256" w:lineRule="auto"/>
        <w:tabs>
          <w:tab w:leader="none" w:pos="115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No Covered Person shall be liable to the Company for any loss, damage or claim incurred by reason of any act or omission performed or omitted by the Covered Person in good faith on behalf of the Company, except that the Covered Person shall be liable for any such loss, damage or claim if a final adjudication by a court of competent jurisdiction establishes that the Covered Person’s acts or omissions involved intentional misconduct, fraud or a knowing violation of the law and was material to the cause of action.</w:t>
      </w:r>
    </w:p>
    <w:p>
      <w:pPr>
        <w:spacing w:after="0" w:line="129" w:lineRule="exact"/>
        <w:rPr>
          <w:rFonts w:ascii="Arial" w:cs="Arial" w:eastAsia="Arial" w:hAnsi="Arial"/>
          <w:sz w:val="18"/>
          <w:szCs w:val="18"/>
          <w:color w:val="auto"/>
        </w:rPr>
      </w:pPr>
    </w:p>
    <w:p>
      <w:pPr>
        <w:jc w:val="both"/>
        <w:ind w:firstLine="921"/>
        <w:spacing w:after="0" w:line="298" w:lineRule="auto"/>
        <w:tabs>
          <w:tab w:leader="none" w:pos="1162"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including information, opinions, reports or statements as to the value and amount of the assets, liabilities, profits or losses or any other facts pertinent to the existence and amount of assets from which distributions to the Member might properly be paid.</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Fiduciary Duty</w:t>
      </w:r>
      <w:r>
        <w:rPr>
          <w:rFonts w:ascii="Arial" w:cs="Arial" w:eastAsia="Arial" w:hAnsi="Arial"/>
          <w:sz w:val="16"/>
          <w:szCs w:val="16"/>
          <w:color w:val="auto"/>
        </w:rPr>
        <w:t>. To the extent that, at law or in equity, a Covered Person has duties (including fiduciary duties) and liabilities relating thereto to the Company, then, to the fullest extent permitted by applicable law, the Covered Person acting under this Agreement shall not be liable to the Company or the Member for its good faith acts or omissions in reliance on the provisions of this Agreement. The provisions of this Agreement, to the extent that they restrict the duties and liabilities of a Covered Person otherwise existing at law or in equity, replace such other duties and liabilities of the Covered Person.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80" w:right="239" w:bottom="1440" w:gutter="0" w:footer="0" w:header="0"/>
        </w:sectPr>
      </w:pPr>
    </w:p>
    <w:bookmarkStart w:id="336" w:name="page337"/>
    <w:bookmarkEnd w:id="33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9.3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shall indemnify and hold harmless the Covered Person to the fullest extent permitted by NRS 86.411 to 86.451, inclusive.</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Determination of Right to Indemnification</w:t>
      </w:r>
      <w:r>
        <w:rPr>
          <w:rFonts w:ascii="Arial" w:cs="Arial" w:eastAsia="Arial" w:hAnsi="Arial"/>
          <w:sz w:val="18"/>
          <w:szCs w:val="18"/>
          <w:color w:val="auto"/>
        </w:rPr>
        <w:t>. Any indemnification under Section 9.3, unless ordered by a court or advanced pursuant to Section 9.5 below, shall be made by the Company only as authorized in the specific case upon a determination by the Member, in its sole discretion, that indemnification is proper in the circumstances.</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Advance Payment of Expenses</w:t>
      </w:r>
      <w:r>
        <w:rPr>
          <w:rFonts w:ascii="Arial" w:cs="Arial" w:eastAsia="Arial" w:hAnsi="Arial"/>
          <w:sz w:val="18"/>
          <w:szCs w:val="18"/>
          <w:color w:val="auto"/>
        </w:rPr>
        <w:t>. The expenses of the Member incurred in defending a civil or criminal action, suit or proceeding shall be paid by the Company as they are incurred and in advance of the final disposition of the action, suit or proceeding, upon receipt of an undertaking by or on behalf of the Member to repay the amount if it is ultimately determined by a court of competent jurisdiction that the Member is not entitled to be indemnified by the Company. The provisions of this section do not affect any rights to advancement of expenses to which personnel of the Company other than the Member may be entitled under any contract or otherwise by law.</w:t>
      </w:r>
    </w:p>
    <w:p>
      <w:pPr>
        <w:spacing w:after="0" w:line="12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Assets of the Company</w:t>
      </w:r>
      <w:r>
        <w:rPr>
          <w:rFonts w:ascii="Arial" w:cs="Arial" w:eastAsia="Arial" w:hAnsi="Arial"/>
          <w:sz w:val="18"/>
          <w:szCs w:val="18"/>
          <w:color w:val="auto"/>
        </w:rPr>
        <w:t>. Any indemnification under this Article IX shall be satisfied solely out of the assets of the Company. No debt shall be incurred by the Company or the Member in order to provide a source of funds for any indemnity, and the Member shall not have any liability (or any liability to make any additional Capital Contribution) on account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Membership Certificates</w:t>
      </w:r>
      <w:r>
        <w:rPr>
          <w:rFonts w:ascii="Arial" w:cs="Arial" w:eastAsia="Arial" w:hAnsi="Arial"/>
          <w:sz w:val="18"/>
          <w:szCs w:val="18"/>
          <w:color w:val="auto"/>
        </w:rPr>
        <w:t>. The Company shall issue a certificate to the Member to evidence the Interest in the Company. The Member or any officer of the Company may execute such certificate on behalf of the Company.</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Securities Under the UCC</w:t>
      </w:r>
      <w:r>
        <w:rPr>
          <w:rFonts w:ascii="Arial" w:cs="Arial" w:eastAsia="Arial" w:hAnsi="Arial"/>
          <w:sz w:val="16"/>
          <w:szCs w:val="16"/>
          <w:color w:val="auto"/>
        </w:rPr>
        <w:t>. The Interest of a Member shall be considered a “security” as defined in Section 104.8102(1)(o) of the Nevada UCC and Section 8102(a)(15) or other corresponding provisions of the UCC in effect in other applicable jurisdictions, and this statement shall constitute an express provision that each such Interest is a security governed by Article 8 of the UCC, within the meaning of Section 104.8103(3) of the Nevada UCC and Section 8103(c) or other corresponding provisions of the UCC in effect in other applicable jurisdictions, solely for the purposes of establishing the applicability thereto of the provisions of Article 8 governing securities. No Interest of the Member shall be considered a “security” for any other purpose, nor shall this statement be construed to suggest that any such Interest should otherwise be considered a “security.” The Company shall imprint or otherwise place, on any certificate representing the Interest a legend in substantially the following form (in addition to any other legend required by applicable law or otherwise):</w:t>
      </w:r>
    </w:p>
    <w:p>
      <w:pPr>
        <w:spacing w:after="0" w:line="24"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“THE OWNERSHIP INTEREST REPRESENTED BY THIS CERTIFICATE SHALL BE CONSIDERED A ‘SECURITY’ AS DEFINED IN SECTION 104.8102(1)(o) OF THE NEVADA UCC AND SECTION 8102(a)(15) OR OTHER CORRESPONDING PROVISIONS OF THE UCC IN ANY OTHER APPLICABLE STATE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80" w:right="279" w:bottom="1440" w:gutter="0" w:footer="0" w:header="0"/>
        </w:sectPr>
      </w:pPr>
    </w:p>
    <w:bookmarkStart w:id="337" w:name="page338"/>
    <w:bookmarkEnd w:id="337"/>
    <w:p>
      <w:pPr>
        <w:ind w:left="460"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JURISDICTION, AND THIS STATEMENT SHALL CONSTITUTE AN EXPRESS PROVISION THAT THE OWNERSHIP INTEREST REPRESENTED BY THIS CERTIFICATE IS A SECURITY GOVERNED BY ARTICLE 8 OF THE UCC, WITHIN THE MEANING OF SECTION 104.8103(3) OF THE NEVADA UCC AND SECTION 8103(c) OR OTHER CORRESPONDING PROVISIONS OF THE UCC IN ANY OTHER APPLICABLE STATE OR JURISDICTION, SOLELY FOR THE PURPOSES OF ESTABLISHING THE APPLICABILITY THERETO OF THE PROVISIONS OF ARTICLE 8 GOVERNING SECURITIES. THE OWNERSHIP INTEREST REPRESENTED BY THIS CERTIFICATE SHALL NOT BE CONSIDERED A ‘SECURITY’ FOR ANY OTHER PURPOSE, NOR SHALL THIS STATEMENT BE CONSTRUED TO SUGGEST THAT THE OWNERSHIP INTEREST REPRESENTED BY THIS CERTIFICATE SHOULD OTHERWISE BE CONSIDERED A ‘SECURITY.’ FOR PURPOSES HEREOF, ‘UCC’ SHALL MEAN THE UNIFORM COMMERCIAL CODE AS ENACTED AND IN EFFECT IN THE STATE OF NEVADA AND ANY OTHER APPLICABLE STATE OR JURISDICTION.”</w:t>
      </w:r>
    </w:p>
    <w:p>
      <w:pPr>
        <w:spacing w:after="0" w:line="13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may purchase and maintain insurance, to the extent and in such amounts as the Member shall, in its sole discretion, deem reasonable, on behalf of such Persons as the Member shall determine, against any liability that may be asserted against or expenses that may be incurred by any such Person in connection with the activities of the Company.</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Agreement, including any schedules or exhibits hereto, together with the Articles to the extent referenced herein, constitutes the complete and exclusive agreement and understanding of the Member with respect to the subject matter contained herein. This Agreement and the Articles replace and supersede all prior agreements, negotiations, statements, memoranda and understandings, whether written or oral, by the Member.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only by a writing signed by the Member.</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This Agreement, and the rights and obligations of the Member, shall be interpreted and enforced in accordance with and governed by the laws of the State of Nevada without regard to the conflict laws of that State.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headings in this Agreement are inserted for convenience only and are in no way intended to describe, interpret, define, or limit the scope, extent or intent of this Agreement or any provisions contained herein. In the interpretation of this Agreement, the singular may be read as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the neuter gender as the masculine or feminine, and</w:t>
      </w:r>
      <w:r>
        <w:rPr>
          <w:rFonts w:ascii="Arial" w:cs="Arial" w:eastAsia="Arial" w:hAnsi="Arial"/>
          <w:sz w:val="18"/>
          <w:szCs w:val="18"/>
          <w:i w:val="1"/>
          <w:iCs w:val="1"/>
          <w:color w:val="auto"/>
        </w:rPr>
        <w:t xml:space="preserve"> vice versa</w:t>
      </w:r>
      <w:r>
        <w:rPr>
          <w:rFonts w:ascii="Arial" w:cs="Arial" w:eastAsia="Arial" w:hAnsi="Arial"/>
          <w:sz w:val="18"/>
          <w:szCs w:val="18"/>
          <w:color w:val="auto"/>
        </w:rPr>
        <w:t>, and the future tense as the past or present, and</w:t>
      </w:r>
      <w:r>
        <w:rPr>
          <w:rFonts w:ascii="Arial" w:cs="Arial" w:eastAsia="Arial" w:hAnsi="Arial"/>
          <w:sz w:val="18"/>
          <w:szCs w:val="18"/>
          <w:i w:val="1"/>
          <w:iCs w:val="1"/>
          <w:color w:val="auto"/>
        </w:rPr>
        <w:t xml:space="preserve"> vice versa</w:t>
      </w:r>
      <w:r>
        <w:rPr>
          <w:rFonts w:ascii="Arial" w:cs="Arial" w:eastAsia="Arial" w:hAnsi="Arial"/>
          <w:sz w:val="18"/>
          <w:szCs w:val="18"/>
          <w:color w:val="auto"/>
        </w:rPr>
        <w:t>, all interchangeably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context may require in order to fully effectuate the intent of the Member and the transactions contemplated herein. Syntax shall yield to the substance of the terms and provisions hereof.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79" w:right="259" w:bottom="1440" w:gutter="0" w:footer="0" w:header="0"/>
        </w:sectPr>
      </w:pPr>
    </w:p>
    <w:bookmarkStart w:id="338" w:name="page339"/>
    <w:bookmarkEnd w:id="33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10.8 </w:t>
      </w:r>
      <w:r>
        <w:rPr>
          <w:rFonts w:ascii="Arial" w:cs="Arial" w:eastAsia="Arial" w:hAnsi="Arial"/>
          <w:sz w:val="18"/>
          <w:szCs w:val="18"/>
          <w:u w:val="single" w:color="auto"/>
          <w:color w:val="auto"/>
        </w:rPr>
        <w:t>Facsimile Copies</w:t>
      </w:r>
      <w:r>
        <w:rPr>
          <w:rFonts w:ascii="Arial" w:cs="Arial" w:eastAsia="Arial" w:hAnsi="Arial"/>
          <w:sz w:val="18"/>
          <w:szCs w:val="18"/>
          <w:color w:val="auto"/>
        </w:rPr>
        <w:t>. Facsimile copies of this Agreement or any approval or written consent of the Member, and facsimile signatures hereon or thereon, shall have the same force and effect as originals.</w:t>
      </w:r>
    </w:p>
    <w:p>
      <w:pPr>
        <w:spacing w:after="0" w:line="11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any application thereof, is held by a court of competent jurisdiction to be invalid, void, illegal or unenforceable to any extent, that provision, or application thereof, shall be deemed severable and the remainder of this Agreement, and all other applications of such provision, shall not be affected, impaired or invalidated thereby, and shall continue in full force and effect to the fullest extent permitted by law.</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Waivers</w:t>
      </w:r>
      <w:r>
        <w:rPr>
          <w:rFonts w:ascii="Arial" w:cs="Arial" w:eastAsia="Arial" w:hAnsi="Arial"/>
          <w:sz w:val="18"/>
          <w:szCs w:val="18"/>
          <w:color w:val="auto"/>
        </w:rPr>
        <w:t>. No waiver of any of the provisions of this Agreement shall be deemed, or shall constitute, a waiver of any other provision, whether or not similar, nor shall any waiver constitute a continuing waiver, and no waiver shall be binding unless evidenced by an instrument in writing and executed by the Member.</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adopted solely by and for the benefit of the Member and its successors and assigns, and, except as set forth in Article IX hereof, no other Person shall have any rights, interest or claims hereunder or be entitled to any benefits under or on account of this Agreement as a third party beneficiary or otherwise.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appears on the following page</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60"/>
          </w:cols>
          <w:pgMar w:left="240" w:top="279" w:right="39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Member has executed and adopted this Agreement as of the Effective Date.</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400"/>
        <w:spacing w:after="0"/>
        <w:tabs>
          <w:tab w:leader="none" w:pos="6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Holdings, LLC,</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800"/>
        <w:spacing w:after="0"/>
        <w:tabs>
          <w:tab w:leader="none" w:pos="722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240"/>
        <w:spacing w:after="0"/>
        <w:tabs>
          <w:tab w:leader="none" w:pos="7680" w:val="left"/>
        </w:tabs>
        <w:rPr>
          <w:sz w:val="20"/>
          <w:szCs w:val="20"/>
          <w:color w:val="auto"/>
        </w:rPr>
      </w:pPr>
      <w:r>
        <w:rPr>
          <w:rFonts w:ascii="Arial" w:cs="Arial" w:eastAsia="Arial" w:hAnsi="Arial"/>
          <w:sz w:val="16"/>
          <w:szCs w:val="16"/>
          <w:color w:val="auto"/>
        </w:rPr>
        <w:t>By:</w:t>
        <w:tab/>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4884420</wp:posOffset>
            </wp:positionH>
            <wp:positionV relativeFrom="paragraph">
              <wp:posOffset>94615</wp:posOffset>
            </wp:positionV>
            <wp:extent cx="20751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42"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Senior Vice President</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9759"/>
          </w:cols>
          <w:pgMar w:left="700" w:top="280" w:right="1440" w:bottom="1440" w:gutter="0" w:footer="0" w:header="0"/>
        </w:sectPr>
      </w:pPr>
    </w:p>
    <w:bookmarkStart w:id="340" w:name="page341"/>
    <w:bookmarkEnd w:id="340"/>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Member’s Name: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LLC</w:t>
      </w:r>
    </w:p>
    <w:p>
      <w:pPr>
        <w:spacing w:after="0" w:line="140" w:lineRule="exact"/>
        <w:rPr>
          <w:sz w:val="20"/>
          <w:szCs w:val="20"/>
          <w:color w:val="auto"/>
        </w:rPr>
      </w:pPr>
    </w:p>
    <w:p>
      <w:pPr>
        <w:sectPr>
          <w:pgSz w:w="11900" w:h="16838" w:orient="portrait"/>
          <w:cols w:equalWidth="0" w:num="2">
            <w:col w:w="3940" w:space="720"/>
            <w:col w:w="4359"/>
          </w:cols>
          <w:pgMar w:left="1440" w:top="280" w:right="1440"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Member’s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3131 Las Vegas Boulevard South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24" w:lineRule="exact"/>
        <w:rPr>
          <w:sz w:val="20"/>
          <w:szCs w:val="20"/>
          <w:color w:val="auto"/>
        </w:rPr>
      </w:pPr>
    </w:p>
    <w:p>
      <w:pPr>
        <w:sectPr>
          <w:pgSz w:w="11900" w:h="16838" w:orient="portrait"/>
          <w:cols w:equalWidth="0" w:num="2">
            <w:col w:w="3940" w:space="720"/>
            <w:col w:w="4359"/>
          </w:cols>
          <w:pgMar w:left="1440" w:top="280" w:right="1440" w:bottom="1440" w:gutter="0" w:footer="0" w:header="0"/>
          <w:type w:val="continuous"/>
        </w:sectPr>
      </w:pPr>
    </w:p>
    <w:p>
      <w:pPr>
        <w:ind w:left="1100"/>
        <w:spacing w:after="0"/>
        <w:rPr>
          <w:sz w:val="20"/>
          <w:szCs w:val="20"/>
          <w:color w:val="auto"/>
        </w:rPr>
      </w:pPr>
      <w:r>
        <w:rPr>
          <w:rFonts w:ascii="Arial" w:cs="Arial" w:eastAsia="Arial" w:hAnsi="Arial"/>
          <w:sz w:val="15"/>
          <w:szCs w:val="15"/>
          <w:color w:val="auto"/>
        </w:rPr>
        <w:t>Member’s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w:t>
      </w:r>
    </w:p>
    <w:p>
      <w:pPr>
        <w:spacing w:after="0" w:line="192" w:lineRule="exact"/>
        <w:rPr>
          <w:sz w:val="20"/>
          <w:szCs w:val="20"/>
          <w:color w:val="auto"/>
        </w:rPr>
      </w:pPr>
    </w:p>
    <w:p>
      <w:pPr>
        <w:sectPr>
          <w:pgSz w:w="11900" w:h="16838" w:orient="portrait"/>
          <w:cols w:equalWidth="0" w:num="2">
            <w:col w:w="3940" w:space="720"/>
            <w:col w:w="4359"/>
          </w:cols>
          <w:pgMar w:left="1440" w:top="280" w:right="1440"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- 1 -</w:t>
      </w:r>
    </w:p>
    <w:p>
      <w:pPr>
        <w:sectPr>
          <w:pgSz w:w="11900" w:h="16838" w:orient="portrait"/>
          <w:cols w:equalWidth="0" w:num="1">
            <w:col w:w="9019"/>
          </w:cols>
          <w:pgMar w:left="1440" w:top="280" w:right="1440" w:bottom="1440" w:gutter="0" w:footer="0" w:header="0"/>
          <w:type w:val="continuous"/>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ORGANIZATION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SUNRISE,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NAME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Company is Wynn Sunrise,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REGISTERED OFFICE AND RESIDENT AGENT</w:t>
      </w:r>
    </w:p>
    <w:p>
      <w:pPr>
        <w:spacing w:after="0" w:line="151"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Company’s resident agent and the address of the registered office where process may be served in the State of Nevada shall be Marc H. Rubinstein, 3131 Las Vegas Blvd. South, Las Vegas, Nevada 89109, or such other resident agent and registered office as the member shall, from time to time, determine.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 AND PAYMENT OF EXPENSES</w:t>
      </w:r>
    </w:p>
    <w:p>
      <w:pPr>
        <w:spacing w:after="0" w:line="1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to any other rights of indemnification permitted by the laws of the State of Nevada as may be provided for by the Company in these articles of organization, the Company’s operating agreement or any other agreement, the expenses of the member incurred in defending a civil or criminal action, suit or proceeding, involving alleged acts or omissions of such member in its capacity as a member of the Company, must be paid by the Company, or through insurance purchased and maintained by the Company or through other financial arrangements made by the Company as permitted by the laws of the State of Nevada, as they are incurred and in advance of the final disposition of the action, suit or proceeding, upon receipt of an unsecured undertaking by or on behalf of the member to repay the amount if it is ultimately determined by a court of competent jurisdiction that it is not entitled to be indemnified by the Company. Any repeal or modification of this Article III approved by the member of the Company shall be prospective only. In the event of any conflict between this Article III and any other article of the Company’s articles of organization, the terms and provisions of Article III shall control.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42" w:name="page343"/>
    <w:bookmarkEnd w:id="342"/>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IV</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MANAGEMENT</w:t>
      </w:r>
    </w:p>
    <w:p>
      <w:pPr>
        <w:spacing w:after="0" w:line="15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management of the Company shall be vested in its sole member. The name and address of the sole member of the Company is Wynn Las Vegas, LLC, 3131 Las Vegas Blvd. South, Las Vegas, Nevada 89109. The member may designate or authorize, by provision either in the Company’s operating agreement or in another writing, one or more persons, officers or employees of the Company who may, in the name and on behalf of the Company, and in lieu of or in addition to the member, contract debts or incur liabilities, and sign contracts or agreements (including, without limitation, instruments and documents providing for the acquisition, mortgage or disposition of property of the Company), and may authorize the use of facsimile signatures of any such persons, officers or employees.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9" w:right="27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t>Exhibit 3.13</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SUNRISE,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Nevada limited liability company</w:t>
      </w:r>
    </w:p>
    <w:p>
      <w:pPr>
        <w:spacing w:after="0" w:line="15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This First Amended and Restated Operating Agreement of Wynn Sunrise,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is adopted at Las Vegas, Nevada, effective as of December 14, 2004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Wynn Las Vegas, LLC, a Nevada limited liability company (“</w:t>
      </w:r>
      <w:r>
        <w:rPr>
          <w:rFonts w:ascii="Arial" w:cs="Arial" w:eastAsia="Arial" w:hAnsi="Arial"/>
          <w:sz w:val="18"/>
          <w:szCs w:val="18"/>
          <w:u w:val="single" w:color="auto"/>
          <w:color w:val="auto"/>
        </w:rPr>
        <w:t>WLV</w:t>
      </w:r>
      <w:r>
        <w:rPr>
          <w:rFonts w:ascii="Arial" w:cs="Arial" w:eastAsia="Arial" w:hAnsi="Arial"/>
          <w:sz w:val="18"/>
          <w:szCs w:val="18"/>
          <w:color w:val="auto"/>
        </w:rPr>
        <w:t>”), which constitutes the sole member of the Company, with reference to the recitals set forth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WLV adopted an operating agreement for the Company, effective as of July 15, 2004, the date of formation of the Company (the “</w:t>
      </w:r>
      <w:r>
        <w:rPr>
          <w:rFonts w:ascii="Arial" w:cs="Arial" w:eastAsia="Arial" w:hAnsi="Arial"/>
          <w:sz w:val="18"/>
          <w:szCs w:val="18"/>
          <w:u w:val="single" w:color="auto"/>
          <w:color w:val="auto"/>
        </w:rPr>
        <w:t>Original Operating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 As of the Effective Date, and pursuant to NRS 86.286(1), WLV desires to amend and restate, in its entirety, the Original Operating Agreement to provide for the conduct of the Company’s business and affairs on and after the Effective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WLV hereby agrees to and adopts the following: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“Act” means Chapter 86 of the NRS.</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“Affiliate” means with respect to a specified Person, any other Person who or which is (a) directly or indirectly controlling, controlled by or under common control with the specified Person, or (b) any member, stockholder, director, officer, manager, or comparable principal of, or relative or spouse of, the specified Person. For purposes of this definition, “control”, “controlling”, and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“Agreement” means this First Amended and Restated Operating Agreement, as amended from time to time.</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u w:val="single" w:color="auto"/>
          <w:color w:val="auto"/>
        </w:rPr>
        <w:t>Articles</w:t>
      </w:r>
      <w:r>
        <w:rPr>
          <w:rFonts w:ascii="Arial" w:cs="Arial" w:eastAsia="Arial" w:hAnsi="Arial"/>
          <w:sz w:val="18"/>
          <w:szCs w:val="18"/>
          <w:color w:val="auto"/>
        </w:rPr>
        <w:t>. “Articles” means the First Amended and Restated Articles of Organization of the Company as filed with the Secretary of State of Nevada, as amended from time to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344" w:name="page345"/>
    <w:bookmarkEnd w:id="344"/>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Contribution</w:t>
      </w:r>
      <w:r>
        <w:rPr>
          <w:rFonts w:ascii="Arial" w:cs="Arial" w:eastAsia="Arial" w:hAnsi="Arial"/>
          <w:sz w:val="18"/>
          <w:szCs w:val="18"/>
          <w:color w:val="auto"/>
        </w:rPr>
        <w:t>. “Capital Contribution” means a contribution to the capital of the Company in cash, property, or otherwise.</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means the Internal Revenue Code of 1986, as amended from time to time, or any corresponding United States federal tax statute enacted after the date of this Agreement. A reference to a specific section of the Code refers not only to such specific section but also to any corresponding provision of any United States federal tax statute enacted after the date of this Agreement, as such specific section or corresponding provision is in effect on the date of application of the provisions of this Agreement containing such reference.</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u w:val="single" w:color="auto"/>
          <w:color w:val="auto"/>
        </w:rPr>
        <w:t>Covered Person</w:t>
      </w:r>
      <w:r>
        <w:rPr>
          <w:rFonts w:ascii="Arial" w:cs="Arial" w:eastAsia="Arial" w:hAnsi="Arial"/>
          <w:sz w:val="18"/>
          <w:szCs w:val="18"/>
          <w:color w:val="auto"/>
        </w:rPr>
        <w:t>. “Covered Person” means (a) the Member, (b) any officer of the Company, (c) any manager or officer of the Member or the respective Affiliates of the Company or the Member, or (d) any Person who was, at the time of the act or omission in question, a Person described in any of clauses (a), (b) or (c) hereof.</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“Interest” means the entire ownership interest of the Member in the Company at any time, including the right of the Member to any and all benefits to which the Member may be entitled as provided under the Act and this Agreement.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Member</w:t>
      </w:r>
      <w:r>
        <w:rPr>
          <w:rFonts w:ascii="Arial" w:cs="Arial" w:eastAsia="Arial" w:hAnsi="Arial"/>
          <w:sz w:val="18"/>
          <w:szCs w:val="18"/>
          <w:color w:val="auto"/>
        </w:rPr>
        <w:t>. “Member” means the sole member of the Company. As of the Effective Date, the Member’s name, address and percentage Interest are as set forth on Schedule I attached 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NRS</w:t>
      </w:r>
      <w:r>
        <w:rPr>
          <w:rFonts w:ascii="Arial" w:cs="Arial" w:eastAsia="Arial" w:hAnsi="Arial"/>
          <w:sz w:val="18"/>
          <w:szCs w:val="18"/>
          <w:color w:val="auto"/>
        </w:rPr>
        <w:t>. “NRS” means the Nevada Revised Statutes, as amended from time to time.</w:t>
      </w:r>
    </w:p>
    <w:p>
      <w:pPr>
        <w:spacing w:after="0" w:line="15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“Person” means a natural person, any form of business or social organization and any other non-governmental legal entity including, but not limited to, a corporation, partnership, association, trust, unincorporated organization, estate or limited liability company.</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u w:val="single" w:color="auto"/>
          <w:color w:val="auto"/>
        </w:rPr>
        <w:t>Records Office</w:t>
      </w:r>
      <w:r>
        <w:rPr>
          <w:rFonts w:ascii="Arial" w:cs="Arial" w:eastAsia="Arial" w:hAnsi="Arial"/>
          <w:sz w:val="18"/>
          <w:szCs w:val="18"/>
          <w:color w:val="auto"/>
        </w:rPr>
        <w:t>. “Records Office” means an office of the Company in Nevada, which may but need not be a place of its business, at which it shall keep all records identified in NRS 86.241, except that none of the lists required to be maintained pursuant to NRS 86.241 need be maintained in alphabetical order, nor shall the Company be required to maintain at its Records Office copies of powers of attorney except those relating to the execution of the Articles and this Agreement.</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Treasury Regulations</w:t>
      </w:r>
      <w:r>
        <w:rPr>
          <w:rFonts w:ascii="Arial" w:cs="Arial" w:eastAsia="Arial" w:hAnsi="Arial"/>
          <w:sz w:val="18"/>
          <w:szCs w:val="18"/>
          <w:color w:val="auto"/>
        </w:rPr>
        <w:t>. “Treasury Regulations” means the federal income tax regulations promulgated by the U.S. Treasury Department under the Code and codified at Title 26 of the Code of Federal Regulations, as amended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UCC</w:t>
      </w:r>
      <w:r>
        <w:rPr>
          <w:rFonts w:ascii="Arial" w:cs="Arial" w:eastAsia="Arial" w:hAnsi="Arial"/>
          <w:sz w:val="18"/>
          <w:szCs w:val="18"/>
          <w:color w:val="auto"/>
        </w:rPr>
        <w:t>. “UCC” means the Uniform Commercial Code as enacted and in effect in the State of Nevada or any other applicable jurisdiction.</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INTRODUCTORY MATTERS</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Formation</w:t>
      </w:r>
      <w:r>
        <w:rPr>
          <w:rFonts w:ascii="Arial" w:cs="Arial" w:eastAsia="Arial" w:hAnsi="Arial"/>
          <w:sz w:val="18"/>
          <w:szCs w:val="18"/>
          <w:color w:val="auto"/>
        </w:rPr>
        <w:t>. Pursuant to the Act, the Company has been formed as a Nevada limited liability company under the laws of the State of Nevada. To the extent that the rights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80" w:right="259" w:bottom="1440" w:gutter="0" w:footer="0" w:header="0"/>
        </w:sectPr>
      </w:pPr>
    </w:p>
    <w:bookmarkStart w:id="345" w:name="page346"/>
    <w:bookmarkEnd w:id="34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of the Member are different by reason of any provision of this Agreement than they would be in the absence of such provision, this Agreement shall, to the extent permitted by the Act, control.</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Company is “Wynn Sunrise, LLC.” Subject to compliance with applicable law, the business and affairs of the Company may be conducted under that name or any other name that the Member deems appropriate or advisable.</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Records Office</w:t>
      </w:r>
      <w:r>
        <w:rPr>
          <w:rFonts w:ascii="Arial" w:cs="Arial" w:eastAsia="Arial" w:hAnsi="Arial"/>
          <w:sz w:val="18"/>
          <w:szCs w:val="18"/>
          <w:color w:val="auto"/>
        </w:rPr>
        <w:t>. The Company shall continuously maintain in the State of Nevada a Records Office. As of the date hereof, the Records Office is 3131 Las Vegas Boulevard South, Las Vegas, Nevada 89109. The Records Office may be changed to another location within the State of Nevada as the Member may from time to time determine.</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Company may establish and maintain other offices at any time and at any place or places as the Member may designate or as the business of the Company may require.</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Resident Agent and Registered Office</w:t>
      </w:r>
      <w:r>
        <w:rPr>
          <w:rFonts w:ascii="Arial" w:cs="Arial" w:eastAsia="Arial" w:hAnsi="Arial"/>
          <w:sz w:val="16"/>
          <w:szCs w:val="16"/>
          <w:color w:val="auto"/>
        </w:rPr>
        <w:t>. The resident agent of the Company for service of process shall be as set forth in the Articles or as changed by the Member from time to time. The Company shall have as its registered office in the State of Nevada the street address of its resident agent.</w:t>
      </w:r>
    </w:p>
    <w:p>
      <w:pPr>
        <w:spacing w:after="0" w:line="7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Purpose</w:t>
      </w:r>
      <w:r>
        <w:rPr>
          <w:rFonts w:ascii="Arial" w:cs="Arial" w:eastAsia="Arial" w:hAnsi="Arial"/>
          <w:sz w:val="16"/>
          <w:szCs w:val="16"/>
          <w:color w:val="auto"/>
        </w:rPr>
        <w:t>. Except as provided elsewhere in this Agreement, the Company is formed for the object and purpose of engaging in any lawful act or activity for which limited liability companies may be formed under the Act and engaging in any and all activities necessary or incidental to the foregoing.</w:t>
      </w:r>
    </w:p>
    <w:p>
      <w:pPr>
        <w:spacing w:after="0" w:line="7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Powers of the Company</w:t>
      </w:r>
      <w:r>
        <w:rPr>
          <w:rFonts w:ascii="Arial" w:cs="Arial" w:eastAsia="Arial" w:hAnsi="Arial"/>
          <w:sz w:val="18"/>
          <w:szCs w:val="18"/>
          <w:color w:val="auto"/>
        </w:rPr>
        <w:t>. Except as provided elsewhere in this Agreement, the Company shall have the power and authority to take any and all actions necessary, appropriate, advisable, convenient or incidental to or for the furtherance of the purpose set forth in Section 2.6, including, but not limited to, the power and authority to:</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 borrow money and issue evidences of indebtedness, and to secure the same by a mortgage, pledge or other lien on any or all of the assets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51" w:lineRule="exact"/>
        <w:rPr>
          <w:sz w:val="20"/>
          <w:szCs w:val="20"/>
          <w:color w:val="auto"/>
        </w:rPr>
      </w:pPr>
    </w:p>
    <w:p>
      <w:pPr>
        <w:ind w:right="600" w:firstLine="921"/>
        <w:spacing w:after="0" w:line="268" w:lineRule="auto"/>
        <w:tabs>
          <w:tab w:leader="none" w:pos="116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conduct its business and operations in any state, territory, district or possession of the United States or in any foreign country that may be necessary or convenient to the accomplishment of the purpose of the Company;</w:t>
      </w:r>
    </w:p>
    <w:p>
      <w:pPr>
        <w:spacing w:after="0" w:line="118" w:lineRule="exact"/>
        <w:rPr>
          <w:rFonts w:ascii="Arial" w:cs="Arial" w:eastAsia="Arial" w:hAnsi="Arial"/>
          <w:sz w:val="18"/>
          <w:szCs w:val="18"/>
          <w:color w:val="auto"/>
        </w:rPr>
      </w:pPr>
    </w:p>
    <w:p>
      <w:pPr>
        <w:ind w:right="440" w:firstLine="921"/>
        <w:spacing w:after="0" w:line="259" w:lineRule="auto"/>
        <w:tabs>
          <w:tab w:leader="none" w:pos="115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acquire, by purchase, lease, contribution of property or otherwise, and own, hold, maintain, finance, improve, lease, sell, convey, mortgage, transfer, demolish or dispose of any real or personal property that may be necessary, convenient or incidental to the accomplishment of the purpose of the Company;</w:t>
      </w:r>
    </w:p>
    <w:p>
      <w:pPr>
        <w:spacing w:after="0" w:line="126" w:lineRule="exact"/>
        <w:rPr>
          <w:rFonts w:ascii="Arial" w:cs="Arial" w:eastAsia="Arial" w:hAnsi="Arial"/>
          <w:sz w:val="18"/>
          <w:szCs w:val="18"/>
          <w:color w:val="auto"/>
        </w:rPr>
      </w:pPr>
    </w:p>
    <w:p>
      <w:pPr>
        <w:ind w:right="180" w:firstLine="921"/>
        <w:spacing w:after="0" w:line="268" w:lineRule="auto"/>
        <w:tabs>
          <w:tab w:leader="none" w:pos="116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enter into, perform and carry out contracts of any kind, including without limitation, contracts with the Member or any Affiliate of the Member that are necessary to, in connection with, convenient to, or incidental to the accomplishment of the purpose of the Company;</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80" w:right="259" w:bottom="1440" w:gutter="0" w:footer="0" w:header="0"/>
        </w:sectPr>
      </w:pPr>
    </w:p>
    <w:bookmarkStart w:id="346" w:name="page347"/>
    <w:bookmarkEnd w:id="346"/>
    <w:p>
      <w:pPr>
        <w:ind w:firstLine="921"/>
        <w:spacing w:after="0" w:line="268" w:lineRule="auto"/>
        <w:tabs>
          <w:tab w:leader="none" w:pos="1152" w:val="left"/>
        </w:tabs>
        <w:numPr>
          <w:ilvl w:val="0"/>
          <w:numId w:val="2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take, receive, subscribe for or otherwise acquire, own, hold, vote, use, employ, sell, mortgage, lend, pledge or otherwise dispose of, and otherwise use and deal in and with, shares or other interests in or obligations of domestic or foreign entities;</w:t>
      </w:r>
    </w:p>
    <w:p>
      <w:pPr>
        <w:spacing w:after="0" w:line="118" w:lineRule="exact"/>
        <w:rPr>
          <w:rFonts w:ascii="Arial" w:cs="Arial" w:eastAsia="Arial" w:hAnsi="Arial"/>
          <w:sz w:val="18"/>
          <w:szCs w:val="18"/>
          <w:color w:val="auto"/>
        </w:rPr>
      </w:pPr>
    </w:p>
    <w:p>
      <w:pPr>
        <w:ind w:left="1140" w:hanging="219"/>
        <w:spacing w:after="0"/>
        <w:tabs>
          <w:tab w:leader="none" w:pos="1140" w:val="left"/>
        </w:tabs>
        <w:numPr>
          <w:ilvl w:val="0"/>
          <w:numId w:val="291"/>
        </w:numPr>
        <w:rPr>
          <w:rFonts w:ascii="Arial" w:cs="Arial" w:eastAsia="Arial" w:hAnsi="Arial"/>
          <w:sz w:val="15"/>
          <w:szCs w:val="15"/>
          <w:color w:val="auto"/>
        </w:rPr>
      </w:pPr>
      <w:r>
        <w:rPr>
          <w:rFonts w:ascii="Arial" w:cs="Arial" w:eastAsia="Arial" w:hAnsi="Arial"/>
          <w:sz w:val="15"/>
          <w:szCs w:val="15"/>
          <w:color w:val="auto"/>
        </w:rPr>
        <w:t>lend money for any proper purpose, invest and reinvest its funds and take and hold real and personal property for the payment of funds so loaned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or invested;</w:t>
      </w:r>
    </w:p>
    <w:p>
      <w:pPr>
        <w:spacing w:after="0" w:line="151" w:lineRule="exact"/>
        <w:rPr>
          <w:rFonts w:ascii="Arial" w:cs="Arial" w:eastAsia="Arial" w:hAnsi="Arial"/>
          <w:sz w:val="15"/>
          <w:szCs w:val="15"/>
          <w:color w:val="auto"/>
        </w:rPr>
      </w:pPr>
    </w:p>
    <w:p>
      <w:pPr>
        <w:ind w:left="1160" w:hanging="239"/>
        <w:spacing w:after="0"/>
        <w:tabs>
          <w:tab w:leader="none" w:pos="11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sue and be sued, complain and defend and participate in administrative or other proceedings, in its name;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appoint employees, agents and officers of the Company, and define their duties and fix their compensation;</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indemnify any Person and obtain any and all types of insurance;</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cease its activities and cancel its insurance;</w:t>
      </w:r>
    </w:p>
    <w:p>
      <w:pPr>
        <w:spacing w:after="0" w:line="157"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negotiate, enter into, renegotiate, extend, renew, terminate, modify, amend, waive, execute, acknowledge or take any other action with respect to any lease, contract or security agreement in respect of any assets of the Company;</w:t>
      </w:r>
    </w:p>
    <w:p>
      <w:pPr>
        <w:spacing w:after="0" w:line="118" w:lineRule="exact"/>
        <w:rPr>
          <w:rFonts w:ascii="Arial" w:cs="Arial" w:eastAsia="Arial" w:hAnsi="Arial"/>
          <w:sz w:val="18"/>
          <w:szCs w:val="18"/>
          <w:color w:val="auto"/>
        </w:rPr>
      </w:pPr>
    </w:p>
    <w:p>
      <w:pPr>
        <w:ind w:right="240" w:firstLine="921"/>
        <w:spacing w:after="0" w:line="268" w:lineRule="auto"/>
        <w:tabs>
          <w:tab w:leader="none" w:pos="112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pay, collect, compromise, litigate, arbitrate or otherwise adjust or settle any and all other claims or demands of or against the Company or hold such proceeds against the payment of contingent liabilities; and</w:t>
      </w:r>
    </w:p>
    <w:p>
      <w:pPr>
        <w:spacing w:after="0" w:line="118" w:lineRule="exact"/>
        <w:rPr>
          <w:rFonts w:ascii="Arial" w:cs="Arial" w:eastAsia="Arial" w:hAnsi="Arial"/>
          <w:sz w:val="18"/>
          <w:szCs w:val="18"/>
          <w:color w:val="auto"/>
        </w:rPr>
      </w:pPr>
    </w:p>
    <w:p>
      <w:pPr>
        <w:ind w:right="320" w:firstLine="921"/>
        <w:spacing w:after="0" w:line="268" w:lineRule="auto"/>
        <w:tabs>
          <w:tab w:leader="none" w:pos="121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make, execute, acknowledge and file any and all documents or instruments necessary, convenient or incidental to the accomplishment of the purpose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CAPITAL CONTRIBUTIONS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Member shall not be required to make any additional Capital Contribution to the Company.</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PROFITS AND LOSSES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Profits and Losses</w:t>
      </w:r>
      <w:r>
        <w:rPr>
          <w:rFonts w:ascii="Arial" w:cs="Arial" w:eastAsia="Arial" w:hAnsi="Arial"/>
          <w:sz w:val="18"/>
          <w:szCs w:val="18"/>
          <w:color w:val="auto"/>
        </w:rPr>
        <w:t>. The Company’s profits and losses for any period shall be allocated to the Member.</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Tax Classification</w:t>
      </w:r>
      <w:r>
        <w:rPr>
          <w:rFonts w:ascii="Arial" w:cs="Arial" w:eastAsia="Arial" w:hAnsi="Arial"/>
          <w:sz w:val="16"/>
          <w:szCs w:val="16"/>
          <w:color w:val="auto"/>
        </w:rPr>
        <w:t xml:space="preserve">. So long as the Company has only one Member, it is intended that the Company be disregarded for federal and all relevant state income tax purposes and that the activities of the Company be deemed to be activities of the Member for such purposes, as provided for by Treasury Regulations Sections 301.7701-1, </w:t>
      </w:r>
      <w:r>
        <w:rPr>
          <w:rFonts w:ascii="Arial" w:cs="Arial" w:eastAsia="Arial" w:hAnsi="Arial"/>
          <w:sz w:val="16"/>
          <w:szCs w:val="16"/>
          <w:i w:val="1"/>
          <w:iCs w:val="1"/>
          <w:color w:val="auto"/>
        </w:rPr>
        <w:t>et seq</w:t>
      </w:r>
      <w:r>
        <w:rPr>
          <w:rFonts w:ascii="Arial" w:cs="Arial" w:eastAsia="Arial" w:hAnsi="Arial"/>
          <w:sz w:val="16"/>
          <w:szCs w:val="16"/>
          <w:color w:val="auto"/>
        </w:rPr>
        <w:t>., and comparable provisions of applicable state tax law. In the event that the Company becomes an entity that has more than one Member, it is intended that the Company be treated as a “partnership” for federal and all relevant state income tax purposes, and all available elections shall be made, and take all available actions shall be taken, to cause the Company to be so treated.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80" w:right="279" w:bottom="1440" w:gutter="0" w:footer="0" w:header="0"/>
        </w:sectPr>
      </w:pPr>
    </w:p>
    <w:bookmarkStart w:id="347" w:name="page348"/>
    <w:bookmarkEnd w:id="34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DISTRIBUTIONS</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Operating Distributions</w:t>
      </w:r>
      <w:r>
        <w:rPr>
          <w:rFonts w:ascii="Arial" w:cs="Arial" w:eastAsia="Arial" w:hAnsi="Arial"/>
          <w:sz w:val="18"/>
          <w:szCs w:val="18"/>
          <w:color w:val="auto"/>
        </w:rPr>
        <w:t>. Subject to Section 5.2, the Company shall from time to time distribute to the Member such amounts in cash and other assets as shall be determined by the Member.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Limitations on Distribution</w:t>
      </w:r>
      <w:r>
        <w:rPr>
          <w:rFonts w:ascii="Arial" w:cs="Arial" w:eastAsia="Arial" w:hAnsi="Arial"/>
          <w:sz w:val="18"/>
          <w:szCs w:val="18"/>
          <w:color w:val="auto"/>
        </w:rPr>
        <w:t>. Notwithstanding any provision to the contrary contained in this Agreement, the Company shall not make any distribution if such distribution would violate the NRS or other applicable law or would cause a breach or default under any agreement or instrument to which the Company is a party or by which it or its assets are bound, but instead shall make such distribution as soon as practicable such that the making of such distribution would not cause such violation, breach or default.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MEMBERSHIP</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The Member shall not be liable under a judgment, decree or order of a court, or in any other manner, for a debt, obligation or liability of the Company, except to the extent required by law or in an agreement signed by the Member. The Member shall not be required to loan any funds to the Company, nor shall the Member be required to make any contribution to the Company, nor shall the Member be subject to any liability to the Company or any third party, as a result of any deficit of the Company. However, nothing in this Agreement shall prevent the Member from making secured or unsecured loans to the Company by agreement with the Company.</w:t>
      </w:r>
    </w:p>
    <w:p>
      <w:pPr>
        <w:spacing w:after="0" w:line="1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Powers of the Member</w:t>
      </w:r>
      <w:r>
        <w:rPr>
          <w:rFonts w:ascii="Arial" w:cs="Arial" w:eastAsia="Arial" w:hAnsi="Arial"/>
          <w:sz w:val="15"/>
          <w:szCs w:val="15"/>
          <w:color w:val="auto"/>
        </w:rPr>
        <w:t>. The Member shall have full, exclusive and complete discretion to manage and control the business and affairs of the Company, to make all decisions affecting the business and affairs of the Company and to take all such actions as it deems necessary, appropriate or convenient to or for the furtherance of the purpose of the Company, including, without limitation, the power and authority to execute all documents and instruments, perform all duties and powers, and do all things on behalf of the Company in all matters necessary, desirable, convenient or incidental to the purpose of the Company. The Member is an agent of the Company’s business and the actions of the Member taken in such capacity and in accordance with this Agreement shall bind the Company. The Member shall be the sole Person with the power to bind the Company except and to the extent that such power is expressly delegated to any other Person by the Member in this Agreement or in writing or by oral communication, and such delegation shall not cause the Member to cease to be the Member.</w:t>
      </w:r>
    </w:p>
    <w:p>
      <w:pPr>
        <w:spacing w:after="0" w:line="9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Election of Officers</w:t>
      </w:r>
      <w:r>
        <w:rPr>
          <w:rFonts w:ascii="Arial" w:cs="Arial" w:eastAsia="Arial" w:hAnsi="Arial"/>
          <w:sz w:val="18"/>
          <w:szCs w:val="18"/>
          <w:color w:val="auto"/>
        </w:rPr>
        <w:t>. The Member in its sole discretion may, from time to time, appoint any individuals as officers with such duties, authorities, responsibilities and titles as the Member may deem appropriate. Such officers shall serve until their successors are duly appointed by the Member or until their earlier removal or resignation. Any officer appointed by the Member may be removed at any time by the Member and any vacancy in any office shall be filled by the Member.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9" w:right="259" w:bottom="1440" w:gutter="0" w:footer="0" w:header="0"/>
        </w:sectPr>
      </w:pPr>
    </w:p>
    <w:bookmarkStart w:id="348" w:name="page349"/>
    <w:bookmarkEnd w:id="348"/>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Arial" w:cs="Arial" w:eastAsia="Arial" w:hAnsi="Arial"/>
          <w:sz w:val="16"/>
          <w:szCs w:val="16"/>
          <w:u w:val="single" w:color="auto"/>
          <w:color w:val="auto"/>
        </w:rPr>
        <w:t>Designation of Authority</w:t>
      </w:r>
      <w:r>
        <w:rPr>
          <w:rFonts w:ascii="Arial" w:cs="Arial" w:eastAsia="Arial" w:hAnsi="Arial"/>
          <w:sz w:val="16"/>
          <w:szCs w:val="16"/>
          <w:color w:val="auto"/>
        </w:rPr>
        <w:t>. The Member may authorize, in a resolution or other writing, one or more Persons or one or more officers or employees of the Company who may, in the name and on behalf of the Company, and in lieu of or in addition to the Member, contract debts or incur liabilities, and sign contracts or agreements (including, without limitation, instruments and documents providing for the acquisition, mortgage or disposition of property of the Company), and may authorize the use of facsimile signatures of any such Persons, officers or employees.</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Transfer of Interest</w:t>
      </w:r>
      <w:r>
        <w:rPr>
          <w:rFonts w:ascii="Arial" w:cs="Arial" w:eastAsia="Arial" w:hAnsi="Arial"/>
          <w:sz w:val="18"/>
          <w:szCs w:val="18"/>
          <w:color w:val="auto"/>
        </w:rPr>
        <w:t>. The Interest of the Member is personal property, and such Interest may be transferred or assigned, in whole or in part, in the sole discretion of the Member.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CONDUCT AND SEPARATENESS COVENANTS</w:t>
      </w:r>
    </w:p>
    <w:p>
      <w:pPr>
        <w:spacing w:after="0" w:line="15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shall conduct business in its own name and hold itself out as a separate entity, and correct any known misunderstanding regarding its separate identity.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DISSOLUTION OF THE COMPANY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 OF THE INTEREST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Dissolution</w:t>
      </w:r>
      <w:r>
        <w:rPr>
          <w:rFonts w:ascii="Arial" w:cs="Arial" w:eastAsia="Arial" w:hAnsi="Arial"/>
          <w:sz w:val="18"/>
          <w:szCs w:val="18"/>
          <w:color w:val="auto"/>
        </w:rPr>
        <w:t>. The Company shall be dissolved and its affairs wound up as determined by the Member.</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w:t>
      </w:r>
      <w:r>
        <w:rPr>
          <w:rFonts w:ascii="Arial" w:cs="Arial" w:eastAsia="Arial" w:hAnsi="Arial"/>
          <w:sz w:val="18"/>
          <w:szCs w:val="18"/>
          <w:color w:val="auto"/>
        </w:rPr>
        <w:t>. Subject to Section 6.6 and applicable law, the Member may not resign from the Company before the dissolution and winding up of the Company.</w:t>
      </w:r>
    </w:p>
    <w:p>
      <w:pPr>
        <w:spacing w:after="0" w:line="118"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Distribution on Dissolution and Liquidation</w:t>
      </w:r>
      <w:r>
        <w:rPr>
          <w:rFonts w:ascii="Arial" w:cs="Arial" w:eastAsia="Arial" w:hAnsi="Arial"/>
          <w:sz w:val="16"/>
          <w:szCs w:val="16"/>
          <w:color w:val="auto"/>
        </w:rPr>
        <w:t>. In the event of the dissolution of the Company for any reason, the business of the Company shall be continued to the extent necessary to allow an orderly winding up of its affairs, including the liquidation and termination of the Company pursuant to the provisions of this Section 8.3, as promptly as practicable thereafter, and each of the following shall be accomplished:</w:t>
      </w:r>
    </w:p>
    <w:p>
      <w:pPr>
        <w:spacing w:after="0" w:line="12" w:lineRule="exact"/>
        <w:rPr>
          <w:sz w:val="20"/>
          <w:szCs w:val="20"/>
          <w:color w:val="auto"/>
        </w:rPr>
      </w:pPr>
    </w:p>
    <w:p>
      <w:pPr>
        <w:ind w:left="1160" w:hanging="239"/>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Member shall oversee the winding up of the Company’s affairs;</w:t>
      </w:r>
    </w:p>
    <w:p>
      <w:pPr>
        <w:spacing w:after="0" w:line="157"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assets of the Company shall be liquidated as determined by the Member, or the Member may determine not to sell all or any portion of the assets, in which event such assets shall be distributed in kind; and</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proceeds of sale and all other assets of the Company shall be applied and distributed as follows and in the following order of priority:</w:t>
      </w:r>
    </w:p>
    <w:p>
      <w:pPr>
        <w:spacing w:after="0" w:line="99" w:lineRule="exact"/>
        <w:rPr>
          <w:rFonts w:ascii="Arial" w:cs="Arial" w:eastAsia="Arial" w:hAnsi="Arial"/>
          <w:sz w:val="16"/>
          <w:szCs w:val="16"/>
          <w:color w:val="auto"/>
        </w:rPr>
      </w:pPr>
    </w:p>
    <w:p>
      <w:pPr>
        <w:ind w:left="1700" w:hanging="208"/>
        <w:spacing w:after="0"/>
        <w:tabs>
          <w:tab w:leader="none" w:pos="17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to the expenses of liquidation;</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2"/>
          <w:numId w:val="29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00"/>
          </w:cols>
          <w:pgMar w:left="240" w:top="280" w:right="259" w:bottom="1440" w:gutter="0" w:footer="0" w:header="0"/>
        </w:sectPr>
      </w:pPr>
    </w:p>
    <w:bookmarkStart w:id="349" w:name="page350"/>
    <w:bookmarkEnd w:id="349"/>
    <w:p>
      <w:pPr>
        <w:ind w:left="1760" w:hanging="268"/>
        <w:spacing w:after="0"/>
        <w:tabs>
          <w:tab w:leader="none" w:pos="17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payment of the debts and liabilities of the Company, including any debts and liabilities owed to the Member; and</w:t>
      </w:r>
    </w:p>
    <w:p>
      <w:pPr>
        <w:spacing w:after="0" w:line="157" w:lineRule="exact"/>
        <w:rPr>
          <w:rFonts w:ascii="Arial" w:cs="Arial" w:eastAsia="Arial" w:hAnsi="Arial"/>
          <w:sz w:val="18"/>
          <w:szCs w:val="18"/>
          <w:color w:val="auto"/>
        </w:rPr>
      </w:pPr>
    </w:p>
    <w:p>
      <w:pPr>
        <w:ind w:left="1800" w:hanging="308"/>
        <w:spacing w:after="0"/>
        <w:tabs>
          <w:tab w:leader="none" w:pos="18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balance, if any, to the Member.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LIABILITY, EXCULPATION AND INDEMNIFICATION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Exculpation</w:t>
      </w:r>
      <w:r>
        <w:rPr>
          <w:rFonts w:ascii="Arial" w:cs="Arial" w:eastAsia="Arial" w:hAnsi="Arial"/>
          <w:sz w:val="18"/>
          <w:szCs w:val="18"/>
          <w:color w:val="auto"/>
        </w:rPr>
        <w:t>.</w:t>
      </w:r>
    </w:p>
    <w:p>
      <w:pPr>
        <w:spacing w:after="0" w:line="77" w:lineRule="exact"/>
        <w:rPr>
          <w:sz w:val="20"/>
          <w:szCs w:val="20"/>
          <w:color w:val="auto"/>
        </w:rPr>
      </w:pPr>
    </w:p>
    <w:p>
      <w:pPr>
        <w:ind w:right="80" w:firstLine="921"/>
        <w:spacing w:after="0" w:line="256" w:lineRule="auto"/>
        <w:tabs>
          <w:tab w:leader="none" w:pos="115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No Covered Person shall be liable to the Company for any loss, damage or claim incurred by reason of any act or omission performed or omitted by the Covered Person in good faith on behalf of the Company, except that the Covered Person shall be liable for any such loss, damage or claim if a final adjudication by a court of competent jurisdiction establishes that the Covered Person’s acts or omissions involved intentional misconduct, fraud or a knowing violation of the law and was material to the cause of action.</w:t>
      </w:r>
    </w:p>
    <w:p>
      <w:pPr>
        <w:spacing w:after="0" w:line="129" w:lineRule="exact"/>
        <w:rPr>
          <w:rFonts w:ascii="Arial" w:cs="Arial" w:eastAsia="Arial" w:hAnsi="Arial"/>
          <w:sz w:val="18"/>
          <w:szCs w:val="18"/>
          <w:color w:val="auto"/>
        </w:rPr>
      </w:pPr>
    </w:p>
    <w:p>
      <w:pPr>
        <w:jc w:val="both"/>
        <w:ind w:firstLine="921"/>
        <w:spacing w:after="0" w:line="298" w:lineRule="auto"/>
        <w:tabs>
          <w:tab w:leader="none" w:pos="116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including information, opinions, reports or statements as to the value and amount of the assets, liabilities, profits or losses or any other facts pertinent to the existence and amount of assets from which distributions to the Member might properly be paid.</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Fiduciary Duty</w:t>
      </w:r>
      <w:r>
        <w:rPr>
          <w:rFonts w:ascii="Arial" w:cs="Arial" w:eastAsia="Arial" w:hAnsi="Arial"/>
          <w:sz w:val="16"/>
          <w:szCs w:val="16"/>
          <w:color w:val="auto"/>
        </w:rPr>
        <w:t>. To the extent that, at law or in equity, a Covered Person has duties (including fiduciary duties) and liabilities relating thereto to the Company, then, to the fullest extent permitted by applicable law, the Covered Person acting under this Agreement shall not be liable to the Company or the Member for its good faith acts or omissions in reliance on the provisions of this Agreement. The provisions of this Agreement, to the extent that they restrict the duties and liabilities of a Covered Person otherwise existing at law or in equity, replace such other duties and liabilities of the Covered Person.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shall indemnify and hold harmless the Covered Person to the fullest extent permitted by NRS 86.411 to 86.451, inclusive.</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Determination of Right to Indemnification</w:t>
      </w:r>
      <w:r>
        <w:rPr>
          <w:rFonts w:ascii="Arial" w:cs="Arial" w:eastAsia="Arial" w:hAnsi="Arial"/>
          <w:sz w:val="18"/>
          <w:szCs w:val="18"/>
          <w:color w:val="auto"/>
        </w:rPr>
        <w:t>. Any indemnification under Section 9.3, unless ordered by a court or advanced pursuant to Section 9.5 below, shall be made by the Company only as authorized in the specific case upon a determination by the Member, in its sole discretion, that indemnification is proper in the circumstances.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Advance Payment of Expenses</w:t>
      </w:r>
      <w:r>
        <w:rPr>
          <w:rFonts w:ascii="Arial" w:cs="Arial" w:eastAsia="Arial" w:hAnsi="Arial"/>
          <w:sz w:val="18"/>
          <w:szCs w:val="18"/>
          <w:color w:val="auto"/>
        </w:rPr>
        <w:t>. The expenses of the Member incurred in defending a civil or criminal action, suit or proceeding shall be paid by the Company as they are incurred and in advance of the final disposition of the action, suit or proceeding, upon receipt of an undertaking by or on behalf of the Member to repay the amount if it is ultimately determined by a court of competent jurisdiction that the Member is not entitled to be indemnified by the Company. The provisions of this section do not affect any rights to advancement of expenses to which personnel of the Company other than the Member may be entitled under any contract or otherwise by law.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80" w:right="239" w:bottom="1440" w:gutter="0" w:footer="0" w:header="0"/>
        </w:sectPr>
      </w:pPr>
    </w:p>
    <w:bookmarkStart w:id="350" w:name="page351"/>
    <w:bookmarkEnd w:id="350"/>
    <w:p>
      <w:pPr>
        <w:jc w:val="both"/>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9.6 </w:t>
      </w:r>
      <w:r>
        <w:rPr>
          <w:rFonts w:ascii="Arial" w:cs="Arial" w:eastAsia="Arial" w:hAnsi="Arial"/>
          <w:sz w:val="18"/>
          <w:szCs w:val="18"/>
          <w:u w:val="single" w:color="auto"/>
          <w:color w:val="auto"/>
        </w:rPr>
        <w:t>Assets of the Company</w:t>
      </w:r>
      <w:r>
        <w:rPr>
          <w:rFonts w:ascii="Arial" w:cs="Arial" w:eastAsia="Arial" w:hAnsi="Arial"/>
          <w:sz w:val="18"/>
          <w:szCs w:val="18"/>
          <w:color w:val="auto"/>
        </w:rPr>
        <w:t>. Any indemnification under this Article IX shall be satisfied solely out of the assets of the Company. No debt shall be incurred by the Company or the Member in order to provide a source of funds for any indemnity, and the Member shall not have any liability (or any liability to make any additional Capital Contribution) on account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Membership Certificates</w:t>
      </w:r>
      <w:r>
        <w:rPr>
          <w:rFonts w:ascii="Arial" w:cs="Arial" w:eastAsia="Arial" w:hAnsi="Arial"/>
          <w:sz w:val="18"/>
          <w:szCs w:val="18"/>
          <w:color w:val="auto"/>
        </w:rPr>
        <w:t>. The Company shall issue a certificate to the Member to evidence the Interest in the Company. The Member or any officer of the Company may execute such certificate on behalf of the Company.</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Securities Under the UCC</w:t>
      </w:r>
      <w:r>
        <w:rPr>
          <w:rFonts w:ascii="Arial" w:cs="Arial" w:eastAsia="Arial" w:hAnsi="Arial"/>
          <w:sz w:val="16"/>
          <w:szCs w:val="16"/>
          <w:color w:val="auto"/>
        </w:rPr>
        <w:t>. The Interest of a Member shall be considered a “security” as defined in Section 104.8102(1)(o) of the Nevada UCC and Section 8102(a)(15) or other corresponding provisions of the UCC in effect in other applicable jurisdictions, and this statement shall constitute an express provision that each such Interest is a security governed by Article 8 of the UCC, within the meaning of Section 104.8103(3) of the Nevada UCC and Section 8103(c) or other corresponding provisions of the UCC in effect in other applicable jurisdictions, solely for the purposes of establishing the applicability thereto of the provisions of Article 8 governing securities. No Interest of the Member shall be considered a “security” for any other purpose, nor shall this statement be construed to suggest that any such Interest should otherwise be considered a “security.” The Company shall imprint or otherwise place, on any certificate representing the Interest a legend in substantially the following form (in addition to any other legend required by applicable law or otherwise):</w:t>
      </w:r>
    </w:p>
    <w:p>
      <w:pPr>
        <w:spacing w:after="0" w:line="24" w:lineRule="exact"/>
        <w:rPr>
          <w:sz w:val="20"/>
          <w:szCs w:val="20"/>
          <w:color w:val="auto"/>
        </w:rPr>
      </w:pPr>
    </w:p>
    <w:p>
      <w:pPr>
        <w:ind w:left="460" w:right="60"/>
        <w:spacing w:after="0" w:line="287" w:lineRule="auto"/>
        <w:rPr>
          <w:sz w:val="20"/>
          <w:szCs w:val="20"/>
          <w:color w:val="auto"/>
        </w:rPr>
      </w:pPr>
      <w:r>
        <w:rPr>
          <w:rFonts w:ascii="Arial" w:cs="Arial" w:eastAsia="Arial" w:hAnsi="Arial"/>
          <w:sz w:val="16"/>
          <w:szCs w:val="16"/>
          <w:color w:val="auto"/>
        </w:rPr>
        <w:t>“THE OWNERSHIP INTEREST REPRESENTED BY THIS CERTIFICATE SHALL BE CONSIDERED A ‘SECURITY’ AS DEFINED IN SECTION 104.8102(1)(o) OF THE NEVADA UCC AND SECTION 8102(a)(15) OR OTHER CORRESPONDING PROVISIONS OF THE UCC IN ANY OTHER APPLICABLE STATE OR JURISDICTION, AND THIS STATEMENT SHALL CONSTITUTE AN EXPRESS PROVISION THAT THE OWNERSHIP INTEREST REPRESENTED BY THIS CERTIFICATE IS A SECURITY GOVERNED BY ARTICLE 8 OF THE UCC, WITHIN THE MEANING OF SECTION 104.8103(3) OF THE NEVADA UCC AND SECTION 8103(c) OR OTHER CORRESPONDING PROVISIONS OF THE UCC IN ANY OTHER APPLICABLE STATE OR JURISDICTION, SOLELY FOR THE PURPOSES OF ESTABLISHING THE APPLICABILITY THERETO OF THE PROVISIONS OF ARTICLE 8 GOVERNING SECURITIES. THE OWNERSHIP INTEREST REPRESENTED BY THIS CERTIFICATE SHALL NOT BE CONSIDERED A ‘SECURITY’ FOR ANY OTHER PURPOSE, NOR SHALL THIS STATEMENT BE CONSTRUED TO SUGGEST THAT THE OWNERSHIP INTEREST REPRESENTED BY THIS CERTIFICATE SHOULD OTHERWISE BE CONSIDERED A ‘SECURITY.’ FOR PURPOSES HEREOF, ‘UCC’ SHALL MEAN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79" w:right="279" w:bottom="1440" w:gutter="0" w:footer="0" w:header="0"/>
        </w:sectPr>
      </w:pPr>
    </w:p>
    <w:bookmarkStart w:id="351" w:name="page352"/>
    <w:bookmarkEnd w:id="351"/>
    <w:p>
      <w:pPr>
        <w:ind w:left="46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UNIFORM COMMERCIAL CODE AS ENACTED AND IN EFFECT IN THE STATE OF NEVADA AND ANY OTHER APPLICABLE STATE OR JURISDICTION.”</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may purchase and maintain insurance, to the extent and in such amounts as the Member shall, in its sole discretion, deem reasonable, on behalf of such Persons as the Member shall determine, against any liability that may be asserted against or expenses that may be incurred by any such Person in connection with the activities of the Company.</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Agreement, including any schedules or exhibits hereto, together with the Articles to the extent referenced herein, constitutes the complete and exclusive agreement and understanding of the Member with respect to the subject matter contained herein. This Agreement and the Articles replace and supersede all prior agreements, negotiations, statements, memoranda and understandings, whether written or oral, by the Member.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only by a writing signed by the Member.</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This Agreement, and the rights and obligations of the Member, shall be interpreted and enforced in accordance with and governed by the laws of the State of Nevada without regard to the conflict laws of that State.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headings in this Agreement are inserted for convenience only and are in no way intended to describe, interpret, define, or limit the scope, extent or intent of this Agreement or any provisions contained herein. In the interpretation of this Agreement, the singular may be read as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the neuter gender as the masculine or feminine, and</w:t>
      </w:r>
      <w:r>
        <w:rPr>
          <w:rFonts w:ascii="Arial" w:cs="Arial" w:eastAsia="Arial" w:hAnsi="Arial"/>
          <w:sz w:val="18"/>
          <w:szCs w:val="18"/>
          <w:i w:val="1"/>
          <w:iCs w:val="1"/>
          <w:color w:val="auto"/>
        </w:rPr>
        <w:t xml:space="preserve"> vice versa</w:t>
      </w:r>
      <w:r>
        <w:rPr>
          <w:rFonts w:ascii="Arial" w:cs="Arial" w:eastAsia="Arial" w:hAnsi="Arial"/>
          <w:sz w:val="18"/>
          <w:szCs w:val="18"/>
          <w:color w:val="auto"/>
        </w:rPr>
        <w:t>, and the future tense as the past or present, and</w:t>
      </w:r>
      <w:r>
        <w:rPr>
          <w:rFonts w:ascii="Arial" w:cs="Arial" w:eastAsia="Arial" w:hAnsi="Arial"/>
          <w:sz w:val="18"/>
          <w:szCs w:val="18"/>
          <w:i w:val="1"/>
          <w:iCs w:val="1"/>
          <w:color w:val="auto"/>
        </w:rPr>
        <w:t xml:space="preserve"> vice versa</w:t>
      </w:r>
      <w:r>
        <w:rPr>
          <w:rFonts w:ascii="Arial" w:cs="Arial" w:eastAsia="Arial" w:hAnsi="Arial"/>
          <w:sz w:val="18"/>
          <w:szCs w:val="18"/>
          <w:color w:val="auto"/>
        </w:rPr>
        <w:t>, all interchangeably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context may require in order to fully effectuate the intent of the Member and the transactions contemplated herein. Syntax shall yield to the substance of the terms and provisions hereof.</w:t>
      </w:r>
    </w:p>
    <w:p>
      <w:pPr>
        <w:spacing w:after="0" w:line="12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Facsimile Copies</w:t>
      </w:r>
      <w:r>
        <w:rPr>
          <w:rFonts w:ascii="Arial" w:cs="Arial" w:eastAsia="Arial" w:hAnsi="Arial"/>
          <w:sz w:val="18"/>
          <w:szCs w:val="18"/>
          <w:color w:val="auto"/>
        </w:rPr>
        <w:t>. Facsimile copies of this Agreement or any approval or written consent of the Member, and facsimile signatures hereon or thereon, shall have the same force and effect as originals.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any application thereof, is held by a court of competent jurisdiction to be invalid, void, illegal or unenforceable to any extent, that provision, or application thereof, shall be deemed severable and the remainder of this Agreement, and all other applications of such provision, shall not be affected, impaired or invalidated thereby, and shall continue in full force and effect to the fullest extent permitted by law.</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Waivers</w:t>
      </w:r>
      <w:r>
        <w:rPr>
          <w:rFonts w:ascii="Arial" w:cs="Arial" w:eastAsia="Arial" w:hAnsi="Arial"/>
          <w:sz w:val="18"/>
          <w:szCs w:val="18"/>
          <w:color w:val="auto"/>
        </w:rPr>
        <w:t>. No waiver of any of the provisions of this Agreement shall be deemed, or shall constitute, a waiver of any other provision, whether or not similar, nor shall any waiver constitute a continuing waiver, and no waiver shall be binding unless evidenced by an instrument in writing and executed by the Member.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80" w:right="259" w:bottom="1440" w:gutter="0" w:footer="0" w:header="0"/>
        </w:sectPr>
      </w:pPr>
    </w:p>
    <w:bookmarkStart w:id="352" w:name="page353"/>
    <w:bookmarkEnd w:id="352"/>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10.11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adopted solely by and for the benefit of the Member and its successors and assigns, and, except as set forth in Article IX hereof, no other Person shall have any rights, interest or claims hereunder or be entitled to any benefits under or on account of this Agreement as a third party beneficiary or otherwise.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appears on the following page</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40"/>
          </w:cols>
          <w:pgMar w:left="240" w:top="279" w:right="41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the Member has executed and adopted this Agreement as of the Effective Date.</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8"/>
          <w:szCs w:val="18"/>
          <w:color w:val="auto"/>
        </w:rPr>
        <w:t>By:</w:t>
        <w:tab/>
        <w:t>Wynn Resorts Holdings,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320"/>
        <w:spacing w:after="0"/>
        <w:tabs>
          <w:tab w:leader="none" w:pos="7760" w:val="left"/>
        </w:tabs>
        <w:rPr>
          <w:sz w:val="20"/>
          <w:szCs w:val="20"/>
          <w:color w:val="auto"/>
        </w:rPr>
      </w:pPr>
      <w:r>
        <w:rPr>
          <w:rFonts w:ascii="Arial" w:cs="Arial" w:eastAsia="Arial" w:hAnsi="Arial"/>
          <w:sz w:val="16"/>
          <w:szCs w:val="16"/>
          <w:color w:val="auto"/>
        </w:rPr>
        <w:t>By:</w:t>
        <w:tab/>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4935855</wp:posOffset>
            </wp:positionH>
            <wp:positionV relativeFrom="paragraph">
              <wp:posOffset>94615</wp:posOffset>
            </wp:positionV>
            <wp:extent cx="202374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4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Senior Vice President</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9759"/>
          </w:cols>
          <w:pgMar w:left="700" w:top="280" w:right="1440" w:bottom="1440" w:gutter="0" w:footer="0" w:header="0"/>
        </w:sectPr>
      </w:pPr>
    </w:p>
    <w:bookmarkStart w:id="354" w:name="page355"/>
    <w:bookmarkEnd w:id="354"/>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Member’s Name: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LLC</w:t>
      </w:r>
    </w:p>
    <w:p>
      <w:pPr>
        <w:spacing w:after="0" w:line="140" w:lineRule="exact"/>
        <w:rPr>
          <w:sz w:val="20"/>
          <w:szCs w:val="20"/>
          <w:color w:val="auto"/>
        </w:rPr>
      </w:pPr>
    </w:p>
    <w:p>
      <w:pPr>
        <w:sectPr>
          <w:pgSz w:w="11900" w:h="16838" w:orient="portrait"/>
          <w:cols w:equalWidth="0" w:num="2">
            <w:col w:w="3940" w:space="720"/>
            <w:col w:w="4359"/>
          </w:cols>
          <w:pgMar w:left="1440" w:top="280" w:right="1440"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Member’s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3131 Las Vegas Boulevard South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24" w:lineRule="exact"/>
        <w:rPr>
          <w:sz w:val="20"/>
          <w:szCs w:val="20"/>
          <w:color w:val="auto"/>
        </w:rPr>
      </w:pPr>
    </w:p>
    <w:p>
      <w:pPr>
        <w:sectPr>
          <w:pgSz w:w="11900" w:h="16838" w:orient="portrait"/>
          <w:cols w:equalWidth="0" w:num="2">
            <w:col w:w="3940" w:space="720"/>
            <w:col w:w="4359"/>
          </w:cols>
          <w:pgMar w:left="1440" w:top="280" w:right="1440" w:bottom="1440" w:gutter="0" w:footer="0" w:header="0"/>
          <w:type w:val="continuous"/>
        </w:sectPr>
      </w:pPr>
    </w:p>
    <w:p>
      <w:pPr>
        <w:ind w:left="1100"/>
        <w:spacing w:after="0"/>
        <w:rPr>
          <w:sz w:val="20"/>
          <w:szCs w:val="20"/>
          <w:color w:val="auto"/>
        </w:rPr>
      </w:pPr>
      <w:r>
        <w:rPr>
          <w:rFonts w:ascii="Arial" w:cs="Arial" w:eastAsia="Arial" w:hAnsi="Arial"/>
          <w:sz w:val="15"/>
          <w:szCs w:val="15"/>
          <w:color w:val="auto"/>
        </w:rPr>
        <w:t>Member’s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w:t>
      </w:r>
    </w:p>
    <w:p>
      <w:pPr>
        <w:spacing w:after="0" w:line="192" w:lineRule="exact"/>
        <w:rPr>
          <w:sz w:val="20"/>
          <w:szCs w:val="20"/>
          <w:color w:val="auto"/>
        </w:rPr>
      </w:pPr>
    </w:p>
    <w:p>
      <w:pPr>
        <w:sectPr>
          <w:pgSz w:w="11900" w:h="16838" w:orient="portrait"/>
          <w:cols w:equalWidth="0" w:num="2">
            <w:col w:w="3940" w:space="720"/>
            <w:col w:w="4359"/>
          </w:cols>
          <w:pgMar w:left="1440" w:top="280" w:right="1440"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- 1 -</w:t>
      </w:r>
    </w:p>
    <w:p>
      <w:pPr>
        <w:sectPr>
          <w:pgSz w:w="11900" w:h="16838" w:orient="portrait"/>
          <w:cols w:equalWidth="0" w:num="1">
            <w:col w:w="9019"/>
          </w:cols>
          <w:pgMar w:left="1440" w:top="280" w:right="1440" w:bottom="1440" w:gutter="0" w:footer="0" w:header="0"/>
          <w:type w:val="continuous"/>
        </w:sectPr>
      </w:pPr>
    </w:p>
    <w:bookmarkStart w:id="355" w:name="page356"/>
    <w:bookmarkEnd w:id="355"/>
    <w:p>
      <w:pPr>
        <w:jc w:val="right"/>
        <w:spacing w:after="0"/>
        <w:rPr>
          <w:sz w:val="20"/>
          <w:szCs w:val="20"/>
          <w:color w:val="auto"/>
        </w:rPr>
      </w:pPr>
      <w:r>
        <w:rPr>
          <w:rFonts w:ascii="Arial" w:cs="Arial" w:eastAsia="Arial" w:hAnsi="Arial"/>
          <w:sz w:val="18"/>
          <w:szCs w:val="18"/>
          <w:b w:val="1"/>
          <w:bCs w:val="1"/>
          <w:color w:val="auto"/>
        </w:rPr>
        <w:t>Exhibit 3.14</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ARTICLES OF ORGANIZATION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TRAVEL, LLC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Nevada Revised Statutes Sections 86.221 and 86.226, the undersigned does hereby declare and certify that:</w:t>
      </w:r>
    </w:p>
    <w:p>
      <w:pPr>
        <w:spacing w:after="0" w:line="77" w:lineRule="exact"/>
        <w:rPr>
          <w:sz w:val="20"/>
          <w:szCs w:val="20"/>
          <w:color w:val="auto"/>
        </w:rPr>
      </w:pPr>
    </w:p>
    <w:p>
      <w:pPr>
        <w:ind w:left="640" w:hanging="176"/>
        <w:spacing w:after="0"/>
        <w:tabs>
          <w:tab w:leader="none" w:pos="6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name of the limited liability company is World Travel, LLC, a Nevada limited liability company (the “Company”).</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Company is managed by its member.</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Articles of Organization of the Company shall be amended and restated as set forth below.</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effective date of these Second Amended and Restated Articles of Organization shall be December 14,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NAME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Company is World Travel,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REGISTERED OFFICE AND RESIDENT AGENT</w:t>
      </w:r>
    </w:p>
    <w:p>
      <w:pPr>
        <w:spacing w:after="0" w:line="151"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The Company’s resident agent and the address of the registered office where process may be served in the State of Nevada is currently Marc H. Rubinstein, 3131 Las Vegas Boulevard South, Las Vegas, Nevada 89109, or such other resident agent and registered office as the member shall, from time to time, determine.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 AND PAYMENT OF EXPENSES</w:t>
      </w:r>
    </w:p>
    <w:p>
      <w:pPr>
        <w:spacing w:after="0" w:line="1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any other rights of indemnification permitted by the laws of the State of Nevada as may be provided for by the Company in these articles of organization, the Company’s operating agreement or any other agreement, the expenses of the member incurred in defending a civil or criminal action, suit or proceeding, involving alleged acts or omissions of such member in its capacity as a member of the Company, must be paid by the Company, or through insurance purchased and maintained by the Company or through other financial arrangements made by the Company as permitted by the laws of the State of Nevada, as they are incurred and in advance of the final disposition of the action, suit or proceeding, upon receipt of an unsecured undertaking by or on behalf of the member to repay the amount if it is ultimately determined by a court of competent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56" w:name="page357"/>
    <w:bookmarkEnd w:id="356"/>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jurisdiction that it is not entitled to be indemnified by the Company. Any repeal or modification of this Article III approved by the member of the Company shall be prospective only. In the event of any conflict between this Article III and any other article of the Company’s articles of organization, the terms and provisions of Article III shall control.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IV</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MANAGEMENT</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management of the Company shall be vested in its sole member. The name and address of the sole member of the Company is Wynn Las Vegas, LLC, 3131 Las Vegas Boulevard South, Las Vegas, Nevada 89109. The member may designate or authorize, by provision either in the Company’s operating agreement or in another writing, one or more persons, officers or employees of the Company who may, in the name and on behalf of the Company, and in lieu of or in addition to the member, contract debts or incur liabilities, and sign contracts or agreements (including, without limitation, instruments and documents providing for the acquisition, mortgage or disposition of property of the Company), and may authorize the use of facsimile signatures of any such persons, officers or employees.</w:t>
      </w:r>
    </w:p>
    <w:p>
      <w:pPr>
        <w:spacing w:after="0" w:line="13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V</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ORGANIZER</w:t>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name and post office box or street address of the organizer of the Company was Marc Rubinstein, 3145 Las Vegas Blvd. South, Las Vegas, Nevada 89109.</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appears on the following page</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357" w:name="page358"/>
    <w:bookmarkEnd w:id="35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sole member of the Company has hereunto executed these Second Amended and Restated Articles of Organization as of the 14th day of December, 2004.</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  Valvino Lamore, LLC,</w:t>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80010</wp:posOffset>
            </wp:positionV>
            <wp:extent cx="196405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19"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240" w:top="280" w:right="95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3.15</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Nevada limited liability company</w:t>
      </w:r>
    </w:p>
    <w:p>
      <w:pPr>
        <w:spacing w:after="0" w:line="1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Second Amended and Restated Operating Agreement of World Travel,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is adopted at Las Vegas, Nevada, effective as of December 14, 2004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Wynn Las Vegas, LLC, a Nevada limited liability company (“</w:t>
      </w:r>
      <w:r>
        <w:rPr>
          <w:rFonts w:ascii="Arial" w:cs="Arial" w:eastAsia="Arial" w:hAnsi="Arial"/>
          <w:sz w:val="18"/>
          <w:szCs w:val="18"/>
          <w:u w:val="single" w:color="auto"/>
          <w:color w:val="auto"/>
        </w:rPr>
        <w:t>WLV</w:t>
      </w:r>
      <w:r>
        <w:rPr>
          <w:rFonts w:ascii="Arial" w:cs="Arial" w:eastAsia="Arial" w:hAnsi="Arial"/>
          <w:sz w:val="18"/>
          <w:szCs w:val="18"/>
          <w:color w:val="auto"/>
        </w:rPr>
        <w:t>”), which constitutes the sole member of the Company, with reference to the recitals set forth below.</w:t>
      </w:r>
    </w:p>
    <w:p>
      <w:pPr>
        <w:spacing w:after="0" w:line="127"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R E C I T A L 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On January 21, 2002, the Company’s initial member, Stephen A. Wynn (“</w:t>
      </w:r>
      <w:r>
        <w:rPr>
          <w:rFonts w:ascii="Arial" w:cs="Arial" w:eastAsia="Arial" w:hAnsi="Arial"/>
          <w:sz w:val="18"/>
          <w:szCs w:val="18"/>
          <w:u w:val="single" w:color="auto"/>
          <w:color w:val="auto"/>
        </w:rPr>
        <w:t>Wynn</w:t>
      </w:r>
      <w:r>
        <w:rPr>
          <w:rFonts w:ascii="Arial" w:cs="Arial" w:eastAsia="Arial" w:hAnsi="Arial"/>
          <w:sz w:val="18"/>
          <w:szCs w:val="18"/>
          <w:color w:val="auto"/>
        </w:rPr>
        <w:t>”), adopted an operating agreement for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On May 30, 2002, Wynn assigned his 100% member’s interest in the Company to Valvino Lamore, LLC, a Nevada limited liability company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Valvino</w:t>
      </w:r>
      <w:r>
        <w:rPr>
          <w:rFonts w:ascii="Arial" w:cs="Arial" w:eastAsia="Arial" w:hAnsi="Arial"/>
          <w:sz w:val="16"/>
          <w:szCs w:val="16"/>
          <w:color w:val="auto"/>
        </w:rPr>
        <w:t>”), and Valvino became subject to and bound by the Company’s operating agreement by executing and adopting a First Amendment to Operating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of the Company, dated May 30, 2002;</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 On October 17, 2002, Valvino contributed and assigned its 100% member’s interest in the Company to Wynn Resorts Holdings, LLC, a Nevada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and immediately thereafter, Holdings transferred its 100% interest in the Company to WLV;</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 On October 17, 2002, WLV adopted a First Amended and Restated Operating Agreement of the Company (the “</w:t>
      </w:r>
      <w:r>
        <w:rPr>
          <w:rFonts w:ascii="Arial" w:cs="Arial" w:eastAsia="Arial" w:hAnsi="Arial"/>
          <w:sz w:val="16"/>
          <w:szCs w:val="16"/>
          <w:u w:val="single" w:color="auto"/>
          <w:color w:val="auto"/>
        </w:rPr>
        <w:t>Current Operating Agreement</w:t>
      </w:r>
      <w:r>
        <w:rPr>
          <w:rFonts w:ascii="Arial" w:cs="Arial" w:eastAsia="Arial" w:hAnsi="Arial"/>
          <w:sz w:val="16"/>
          <w:szCs w:val="16"/>
          <w:color w:val="auto"/>
        </w:rPr>
        <w:t>”); and</w:t>
      </w:r>
    </w:p>
    <w:p>
      <w:pPr>
        <w:spacing w:after="0" w:line="18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 As of the Effective Date, and pursuant to NRS 86.286(1), WLV desires to amend and restate, in its entirety, the Current Operating Agreement to provide for the conduct of the Company’s business and affairs on and after the Effective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WLV hereby agrees to and adopts the following: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“Act” means Chapter 86 of the NRS.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“Affiliate” means with respect to a specified Person, any other Person who or which is (a) directly or indirectly controlling, controlled by or under common control with the specified Person, or (b) any member, stockholder, director, officer, manager, or comparable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359" w:name="page360"/>
    <w:bookmarkEnd w:id="359"/>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principal of, or relative or spouse of, the specified Person. For purposes of this definition, “control”, “controlling”, and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“Agreement” means this Second Amended and Restated Operating Agreement, as amended from time to time.</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u w:val="single" w:color="auto"/>
          <w:color w:val="auto"/>
        </w:rPr>
        <w:t>Articles</w:t>
      </w:r>
      <w:r>
        <w:rPr>
          <w:rFonts w:ascii="Arial" w:cs="Arial" w:eastAsia="Arial" w:hAnsi="Arial"/>
          <w:sz w:val="18"/>
          <w:szCs w:val="18"/>
          <w:color w:val="auto"/>
        </w:rPr>
        <w:t>. “Articles” means the Second Amended and Restated Articles of Organization of the Company as filed with the Secretary of State of Nevada, as amended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Capital Contribution</w:t>
      </w:r>
      <w:r>
        <w:rPr>
          <w:rFonts w:ascii="Arial" w:cs="Arial" w:eastAsia="Arial" w:hAnsi="Arial"/>
          <w:sz w:val="18"/>
          <w:szCs w:val="18"/>
          <w:color w:val="auto"/>
        </w:rPr>
        <w:t>. “Capital Contribution” means a contribution to the capital of the Company in cash, property, or otherwise.</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means the Internal Revenue Code of 1986, as amended from time to time, or any corresponding United States federal tax statute enacted after the date of this Agreement. A reference to a specific section of the Code refers not only to such specific section but also to any corresponding provision of any United States federal tax statute enacted after the date of this Agreement, as such specific section or corresponding provision is in effect on the date of application of the provisions of this Agreement containing such reference.</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u w:val="single" w:color="auto"/>
          <w:color w:val="auto"/>
        </w:rPr>
        <w:t>Covered Person</w:t>
      </w:r>
      <w:r>
        <w:rPr>
          <w:rFonts w:ascii="Arial" w:cs="Arial" w:eastAsia="Arial" w:hAnsi="Arial"/>
          <w:sz w:val="18"/>
          <w:szCs w:val="18"/>
          <w:color w:val="auto"/>
        </w:rPr>
        <w:t>. “Covered Person” means (a) the Member, (b) any officer of the Company, (c) any manager or officer of the Member or the respective Affiliates of the Company or the Member, or (d) any Person who was, at the time of the act or omission in question, a Person described in any of clauses (a), (b) or (c) hereof.</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“Interest” means the entire ownership interest of the Member in the Company at any time, including the right of the Member to any and all benefits to which the Member may be entitled as provided under the Act and this Agreement.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Member</w:t>
      </w:r>
      <w:r>
        <w:rPr>
          <w:rFonts w:ascii="Arial" w:cs="Arial" w:eastAsia="Arial" w:hAnsi="Arial"/>
          <w:sz w:val="18"/>
          <w:szCs w:val="18"/>
          <w:color w:val="auto"/>
        </w:rPr>
        <w:t>. “Member” means the sole member of the Company. As of the Effective Date, the Member’s name, address and percentage Interest are as set forth on Schedule I attached 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NRS</w:t>
      </w:r>
      <w:r>
        <w:rPr>
          <w:rFonts w:ascii="Arial" w:cs="Arial" w:eastAsia="Arial" w:hAnsi="Arial"/>
          <w:sz w:val="18"/>
          <w:szCs w:val="18"/>
          <w:color w:val="auto"/>
        </w:rPr>
        <w:t>. “NRS” means the Nevada Revised Statutes, as amended from time to time.</w:t>
      </w:r>
    </w:p>
    <w:p>
      <w:pPr>
        <w:spacing w:after="0" w:line="15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“Person” means a natural person, any form of business or social organization and any other non-governmental legal entity including, but not limited to, a corporation, partnership, association, trust, unincorporated organization, estate or limited liability company.</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u w:val="single" w:color="auto"/>
          <w:color w:val="auto"/>
        </w:rPr>
        <w:t>Records Office</w:t>
      </w:r>
      <w:r>
        <w:rPr>
          <w:rFonts w:ascii="Arial" w:cs="Arial" w:eastAsia="Arial" w:hAnsi="Arial"/>
          <w:sz w:val="18"/>
          <w:szCs w:val="18"/>
          <w:color w:val="auto"/>
        </w:rPr>
        <w:t>. “Records Office” means an office of the Company in Nevada, which may but need not be a place of its business, at which it shall keep all records identified in NRS 86.241, except that none of the lists required to be maintained pursuant to NRS 86.241 need be maintained in alphabetical order, nor shall the Company be required to maintain at its Records Office copies of powers of attorney except those relating to the execution of the Articles and this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80" w:right="259" w:bottom="1440" w:gutter="0" w:footer="0" w:header="0"/>
        </w:sectPr>
      </w:pPr>
    </w:p>
    <w:bookmarkStart w:id="360" w:name="page361"/>
    <w:bookmarkEnd w:id="360"/>
    <w:p>
      <w:pPr>
        <w:ind w:right="6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Treasury Regulations</w:t>
      </w:r>
      <w:r>
        <w:rPr>
          <w:rFonts w:ascii="Arial" w:cs="Arial" w:eastAsia="Arial" w:hAnsi="Arial"/>
          <w:sz w:val="18"/>
          <w:szCs w:val="18"/>
          <w:color w:val="auto"/>
        </w:rPr>
        <w:t>. “Treasury Regulations” means the federal income tax regulations promulgated by the U.S. Treasury Department under the Code and codified at Title 26 of the Code of Federal Regulations, as amended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UCC</w:t>
      </w:r>
      <w:r>
        <w:rPr>
          <w:rFonts w:ascii="Arial" w:cs="Arial" w:eastAsia="Arial" w:hAnsi="Arial"/>
          <w:sz w:val="18"/>
          <w:szCs w:val="18"/>
          <w:color w:val="auto"/>
        </w:rPr>
        <w:t>. “UCC” means the Uniform Commercial Code as enacted and in effect in the State of Nevada or any other applicable jurisdiction.</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INTRODUCTORY MATTERS</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Formation</w:t>
      </w:r>
      <w:r>
        <w:rPr>
          <w:rFonts w:ascii="Arial" w:cs="Arial" w:eastAsia="Arial" w:hAnsi="Arial"/>
          <w:sz w:val="18"/>
          <w:szCs w:val="18"/>
          <w:color w:val="auto"/>
        </w:rPr>
        <w:t>. Pursuant to the Act, the Company has been formed as a Nevada limited liability company under the laws of the State of Nevada. To the extent that the rights or obligations of the Member are different by reason of any provision of this Agreement than they would be in the absence of such provision, this Agreement shall, to the extent permitted by the Act, control.</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Company is “World Travel, LLC.” Subject to compliance with applicable law, the business and affairs of the Company may be conducted under that name or any other name that the Member deems appropriate or advisable.</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Records Office</w:t>
      </w:r>
      <w:r>
        <w:rPr>
          <w:rFonts w:ascii="Arial" w:cs="Arial" w:eastAsia="Arial" w:hAnsi="Arial"/>
          <w:sz w:val="18"/>
          <w:szCs w:val="18"/>
          <w:color w:val="auto"/>
        </w:rPr>
        <w:t>. The Company shall continuously maintain in the State of Nevada a Records Office. As of the date hereof, the Records Office is 3131 Las Vegas Boulevard South, Las Vegas, Nevada 89109. The Records Office may be changed to another location within the State of Nevada as the Member may from time to time determine.</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Company may establish and maintain other offices at any time and at any place or places as the Member may designate or as the business of the Company may require.</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Resident Agent and Registered Office</w:t>
      </w:r>
      <w:r>
        <w:rPr>
          <w:rFonts w:ascii="Arial" w:cs="Arial" w:eastAsia="Arial" w:hAnsi="Arial"/>
          <w:sz w:val="16"/>
          <w:szCs w:val="16"/>
          <w:color w:val="auto"/>
        </w:rPr>
        <w:t>. The resident agent of the Company for service of process shall be as set forth in the Articles or as changed by the Member from time to time. The Company shall have as its registered office in the State of Nevada the street address of its resident agent.</w:t>
      </w:r>
    </w:p>
    <w:p>
      <w:pPr>
        <w:spacing w:after="0" w:line="7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Purpose</w:t>
      </w:r>
      <w:r>
        <w:rPr>
          <w:rFonts w:ascii="Arial" w:cs="Arial" w:eastAsia="Arial" w:hAnsi="Arial"/>
          <w:sz w:val="16"/>
          <w:szCs w:val="16"/>
          <w:color w:val="auto"/>
        </w:rPr>
        <w:t>. Except as provided elsewhere in this Agreement, the Company is formed for the object and purpose of engaging in any lawful act or activity for which limited liability companies may be formed under the Act and engaging in any and all activities necessary or incidental to the foregoing.</w:t>
      </w:r>
    </w:p>
    <w:p>
      <w:pPr>
        <w:spacing w:after="0" w:line="7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Powers of the Company</w:t>
      </w:r>
      <w:r>
        <w:rPr>
          <w:rFonts w:ascii="Arial" w:cs="Arial" w:eastAsia="Arial" w:hAnsi="Arial"/>
          <w:sz w:val="18"/>
          <w:szCs w:val="18"/>
          <w:color w:val="auto"/>
        </w:rPr>
        <w:t>. Except as provided elsewhere in this Agreement, the Company shall have the power and authority to take any and all actions necessary, appropriate, advisable, convenient or incidental to or for the furtherance of the purpose set forth in Section 2.6, including, but not limited to, the power and authority to:</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 borrow money and issue evidences of indebtedness, and to secure the same by a mortgage, pledge or other lien on any or all of the assets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9" w:right="259" w:bottom="1440" w:gutter="0" w:footer="0" w:header="0"/>
        </w:sectPr>
      </w:pPr>
    </w:p>
    <w:bookmarkStart w:id="361" w:name="page362"/>
    <w:bookmarkEnd w:id="361"/>
    <w:p>
      <w:pPr>
        <w:ind w:right="580" w:firstLine="921"/>
        <w:spacing w:after="0" w:line="268" w:lineRule="auto"/>
        <w:tabs>
          <w:tab w:leader="none" w:pos="1162" w:val="left"/>
        </w:tabs>
        <w:numPr>
          <w:ilvl w:val="0"/>
          <w:numId w:val="2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conduct its business and operations in any state, territory, district or possession of the United States or in any foreign country that may be necessary or convenient to the accomplishment of the purpose of the Company;</w:t>
      </w:r>
    </w:p>
    <w:p>
      <w:pPr>
        <w:spacing w:after="0" w:line="118" w:lineRule="exact"/>
        <w:rPr>
          <w:rFonts w:ascii="Arial" w:cs="Arial" w:eastAsia="Arial" w:hAnsi="Arial"/>
          <w:sz w:val="18"/>
          <w:szCs w:val="18"/>
          <w:color w:val="auto"/>
        </w:rPr>
      </w:pPr>
    </w:p>
    <w:p>
      <w:pPr>
        <w:ind w:right="420" w:firstLine="921"/>
        <w:spacing w:after="0" w:line="259" w:lineRule="auto"/>
        <w:tabs>
          <w:tab w:leader="none" w:pos="115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acquire, by purchase, lease, contribution of property or otherwise, and own, hold, maintain, finance, improve, lease, sell, convey, mortgage, transfer, demolish or dispose of any real or personal property that may be necessary, convenient or incidental to the accomplishment of the purpose of the Company;</w:t>
      </w:r>
    </w:p>
    <w:p>
      <w:pPr>
        <w:spacing w:after="0" w:line="126" w:lineRule="exact"/>
        <w:rPr>
          <w:rFonts w:ascii="Arial" w:cs="Arial" w:eastAsia="Arial" w:hAnsi="Arial"/>
          <w:sz w:val="18"/>
          <w:szCs w:val="18"/>
          <w:color w:val="auto"/>
        </w:rPr>
      </w:pPr>
    </w:p>
    <w:p>
      <w:pPr>
        <w:ind w:right="160" w:firstLine="921"/>
        <w:spacing w:after="0" w:line="268" w:lineRule="auto"/>
        <w:tabs>
          <w:tab w:leader="none" w:pos="116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enter into, perform and carry out contracts of any kind, including without limitation, contracts with the Member or any Affiliate of the Member that are necessary to, in connection with, convenient to, or incidental to the accomplishment of the purpose of the Company;</w:t>
      </w:r>
    </w:p>
    <w:p>
      <w:pPr>
        <w:spacing w:after="0" w:line="118" w:lineRule="exact"/>
        <w:rPr>
          <w:rFonts w:ascii="Arial" w:cs="Arial" w:eastAsia="Arial" w:hAnsi="Arial"/>
          <w:sz w:val="18"/>
          <w:szCs w:val="18"/>
          <w:color w:val="auto"/>
        </w:rPr>
      </w:pPr>
    </w:p>
    <w:p>
      <w:pPr>
        <w:ind w:firstLine="921"/>
        <w:spacing w:after="0" w:line="268" w:lineRule="auto"/>
        <w:tabs>
          <w:tab w:leader="none" w:pos="115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purchase, take, receive, subscribe for or otherwise acquire, own, hold, vote, use, employ, sell, mortgage, lend, pledge or otherwise dispose of, and otherwise use and deal in and with, shares or other interests in or obligations of domestic or foreign entities;</w:t>
      </w:r>
    </w:p>
    <w:p>
      <w:pPr>
        <w:spacing w:after="0" w:line="118" w:lineRule="exact"/>
        <w:rPr>
          <w:rFonts w:ascii="Arial" w:cs="Arial" w:eastAsia="Arial" w:hAnsi="Arial"/>
          <w:sz w:val="18"/>
          <w:szCs w:val="18"/>
          <w:color w:val="auto"/>
        </w:rPr>
      </w:pPr>
    </w:p>
    <w:p>
      <w:pPr>
        <w:ind w:left="1140" w:hanging="219"/>
        <w:spacing w:after="0"/>
        <w:tabs>
          <w:tab w:leader="none" w:pos="114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lend money for any proper purpose, invest and reinvest its funds and take and hold real and personal property for the payment of funds so loaned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or invested;</w:t>
      </w:r>
    </w:p>
    <w:p>
      <w:pPr>
        <w:spacing w:after="0" w:line="151" w:lineRule="exact"/>
        <w:rPr>
          <w:rFonts w:ascii="Arial" w:cs="Arial" w:eastAsia="Arial" w:hAnsi="Arial"/>
          <w:sz w:val="15"/>
          <w:szCs w:val="15"/>
          <w:color w:val="auto"/>
        </w:rPr>
      </w:pPr>
    </w:p>
    <w:p>
      <w:pPr>
        <w:ind w:left="1160" w:hanging="239"/>
        <w:spacing w:after="0"/>
        <w:tabs>
          <w:tab w:leader="none" w:pos="11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sue and be sued, complain and defend and participate in administrative or other proceedings, in its name;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appoint employees, agents and officers of the Company, and define their duties and fix their compensation;</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indemnify any Person and obtain any and all types of insurance;</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cease its activities and cancel its insurance;</w:t>
      </w:r>
    </w:p>
    <w:p>
      <w:pPr>
        <w:spacing w:after="0" w:line="157"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negotiate, enter into, renegotiate, extend, renew, terminate, modify, amend, waive, execute, acknowledge or take any other action with respect to any lease, contract or security agreement in respect of any assets of the Company;</w:t>
      </w:r>
    </w:p>
    <w:p>
      <w:pPr>
        <w:spacing w:after="0" w:line="118" w:lineRule="exact"/>
        <w:rPr>
          <w:rFonts w:ascii="Arial" w:cs="Arial" w:eastAsia="Arial" w:hAnsi="Arial"/>
          <w:sz w:val="18"/>
          <w:szCs w:val="18"/>
          <w:color w:val="auto"/>
        </w:rPr>
      </w:pPr>
    </w:p>
    <w:p>
      <w:pPr>
        <w:ind w:right="240" w:firstLine="921"/>
        <w:spacing w:after="0" w:line="268" w:lineRule="auto"/>
        <w:tabs>
          <w:tab w:leader="none" w:pos="112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pay, collect, compromise, litigate, arbitrate or otherwise adjust or settle any and all other claims or demands of or against the Company or hold such proceeds against the payment of contingent liabilities; and</w:t>
      </w:r>
    </w:p>
    <w:p>
      <w:pPr>
        <w:spacing w:after="0" w:line="118" w:lineRule="exact"/>
        <w:rPr>
          <w:rFonts w:ascii="Arial" w:cs="Arial" w:eastAsia="Arial" w:hAnsi="Arial"/>
          <w:sz w:val="18"/>
          <w:szCs w:val="18"/>
          <w:color w:val="auto"/>
        </w:rPr>
      </w:pPr>
    </w:p>
    <w:p>
      <w:pPr>
        <w:ind w:right="320" w:firstLine="921"/>
        <w:spacing w:after="0" w:line="268" w:lineRule="auto"/>
        <w:tabs>
          <w:tab w:leader="none" w:pos="121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make, execute, acknowledge and file any and all documents or instruments necessary, convenient or incidental to the accomplishment of the purpose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CAPITAL CONTRIBUTIONS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Member shall not be required to make any additional Capital Contribution to the Company.</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80" w:right="279" w:bottom="1440" w:gutter="0" w:footer="0" w:header="0"/>
        </w:sectPr>
      </w:pPr>
    </w:p>
    <w:bookmarkStart w:id="362" w:name="page363"/>
    <w:bookmarkEnd w:id="36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PROFITS AND LOSSES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Profits and Losses</w:t>
      </w:r>
      <w:r>
        <w:rPr>
          <w:rFonts w:ascii="Arial" w:cs="Arial" w:eastAsia="Arial" w:hAnsi="Arial"/>
          <w:sz w:val="18"/>
          <w:szCs w:val="18"/>
          <w:color w:val="auto"/>
        </w:rPr>
        <w:t>. The Company’s profits and losses for any period shall be allocated to the Member.</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Tax Classification</w:t>
      </w:r>
      <w:r>
        <w:rPr>
          <w:rFonts w:ascii="Arial" w:cs="Arial" w:eastAsia="Arial" w:hAnsi="Arial"/>
          <w:sz w:val="16"/>
          <w:szCs w:val="16"/>
          <w:color w:val="auto"/>
        </w:rPr>
        <w:t xml:space="preserve">. So long as the Company has only one Member, it is intended that the Company be disregarded for federal and all relevant state income tax purposes and that the activities of the Company be deemed to be activities of the Member for such purposes, as provided for by Treasury Regulations Sections 301.7701-1, </w:t>
      </w:r>
      <w:r>
        <w:rPr>
          <w:rFonts w:ascii="Arial" w:cs="Arial" w:eastAsia="Arial" w:hAnsi="Arial"/>
          <w:sz w:val="16"/>
          <w:szCs w:val="16"/>
          <w:i w:val="1"/>
          <w:iCs w:val="1"/>
          <w:color w:val="auto"/>
        </w:rPr>
        <w:t>et seq</w:t>
      </w:r>
      <w:r>
        <w:rPr>
          <w:rFonts w:ascii="Arial" w:cs="Arial" w:eastAsia="Arial" w:hAnsi="Arial"/>
          <w:sz w:val="16"/>
          <w:szCs w:val="16"/>
          <w:color w:val="auto"/>
        </w:rPr>
        <w:t>., and comparable provisions of applicable state tax law. In the event that the Company becomes an entity that has more than one Member, it is intended that the Company be treated as a “partnership” for federal and all relevant state income tax purposes, and all available elections shall be made, and take all available actions shall be taken, to cause the Company to be so treated.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DISTRIBUTIONS</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Operating Distributions</w:t>
      </w:r>
      <w:r>
        <w:rPr>
          <w:rFonts w:ascii="Arial" w:cs="Arial" w:eastAsia="Arial" w:hAnsi="Arial"/>
          <w:sz w:val="18"/>
          <w:szCs w:val="18"/>
          <w:color w:val="auto"/>
        </w:rPr>
        <w:t>. Subject to Section 5.2, the Company shall from time to time distribute to the Member such amounts in cash and other assets as shall be determined by the Member.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Limitations on Distribution</w:t>
      </w:r>
      <w:r>
        <w:rPr>
          <w:rFonts w:ascii="Arial" w:cs="Arial" w:eastAsia="Arial" w:hAnsi="Arial"/>
          <w:sz w:val="18"/>
          <w:szCs w:val="18"/>
          <w:color w:val="auto"/>
        </w:rPr>
        <w:t>. Notwithstanding any provision to the contrary contained in this Agreement, the Company shall not make any distribution if such distribution would violate the NRS or other applicable law or would cause a breach or default under any agreement or instrument to which the Company is a party or by which it or its assets are bound, but instead shall make such distribution as soon as practicable such that the making of such distribution would not cause such violation, breach or default.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MEMBERSHIP</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The Member shall not be liable under a judgment, decree or order of a court, or in any other manner, for a debt, obligation or liability of the Company, except to the extent required by law or in an agreement signed by the Member. The Member shall not be required to loan any funds to the Company, nor shall the Member be required to make any contribution to the Company, nor shall the Member be subject to any liability to the Company or any third party, as a result of any deficit of the Company. However, nothing in this Agreement shall prevent the Member from making secured or unsecured loans to the Company by agreement with the Company.</w:t>
      </w:r>
    </w:p>
    <w:p>
      <w:pPr>
        <w:spacing w:after="0" w:line="12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Powers of the Member</w:t>
      </w:r>
      <w:r>
        <w:rPr>
          <w:rFonts w:ascii="Arial" w:cs="Arial" w:eastAsia="Arial" w:hAnsi="Arial"/>
          <w:sz w:val="18"/>
          <w:szCs w:val="18"/>
          <w:color w:val="auto"/>
        </w:rPr>
        <w:t>. The Member shall have full, exclusive and complete discretion to manage and control the business and affairs of the Company, to make all decisions affecting the business and affairs of the Company and to take all such actions as it deems necessary, appropriate or convenient to or for the furtherance of the purpose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80" w:right="259" w:bottom="1440" w:gutter="0" w:footer="0" w:header="0"/>
        </w:sectPr>
      </w:pPr>
    </w:p>
    <w:bookmarkStart w:id="363" w:name="page364"/>
    <w:bookmarkEnd w:id="363"/>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without limitation, the power and authority to execute all documents and instruments, perform all duties and powers, and do all things on behalf of the Company in all matters necessary, desirable, convenient or incidental to the purpose of the Company. The Member is an agent of the Company’s business and the actions of the Member taken in such capacity and in accordance with this Agreement shall bind the Company. The Member shall be the sole Person with the power to bind the Company except and to the extent that such power is expressly delegated to any other Person by the Member in this Agreement or in writing or by oral communication, and such delegation shall not cause the Member to cease to be the Member.</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Election of Officers</w:t>
      </w:r>
      <w:r>
        <w:rPr>
          <w:rFonts w:ascii="Arial" w:cs="Arial" w:eastAsia="Arial" w:hAnsi="Arial"/>
          <w:sz w:val="18"/>
          <w:szCs w:val="18"/>
          <w:color w:val="auto"/>
        </w:rPr>
        <w:t>. The Member in its sole discretion may, from time to time, appoint any individuals as officers with such duties, authorities, responsibilities and titles as the Member may deem appropriate. Such officers shall serve until their successors are duly appointed by the Member or until their earlier removal or resignation. Any officer appointed by the Member may be removed at any time by the Member and any vacancy in any office shall be filled by the Member.</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Designation of Authority</w:t>
      </w:r>
      <w:r>
        <w:rPr>
          <w:rFonts w:ascii="Arial" w:cs="Arial" w:eastAsia="Arial" w:hAnsi="Arial"/>
          <w:sz w:val="16"/>
          <w:szCs w:val="16"/>
          <w:color w:val="auto"/>
        </w:rPr>
        <w:t>. The Member may authorize, in a resolution or other writing, one or more Persons or one or more officers or employees of the Company who may, in the name and on behalf of the Company, and in lieu of or in addition to the Member, contract debts or incur liabilities, and sign contracts or agreements (including, without limitation, instruments and documents providing for the acquisition, mortgage or disposition of property of the Company), and may authorize the use of facsimile signatures of any such Persons, officers or employees.</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Transfer of Interest</w:t>
      </w:r>
      <w:r>
        <w:rPr>
          <w:rFonts w:ascii="Arial" w:cs="Arial" w:eastAsia="Arial" w:hAnsi="Arial"/>
          <w:sz w:val="18"/>
          <w:szCs w:val="18"/>
          <w:color w:val="auto"/>
        </w:rPr>
        <w:t>. The Interest of the Member is personal property, and such Interest may be transferred or assigned, in whole or in part, in the sole discretion of the Member.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CONDUCT AND SEPARATENESS COVENANTS</w:t>
      </w:r>
    </w:p>
    <w:p>
      <w:pPr>
        <w:spacing w:after="0" w:line="15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shall conduct business in its own name and hold itself out as a separate entity, and correct any known misunderstanding regarding its separate identity.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DISSOLUTION OF THE COMPANY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 OF THE INTEREST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Dissolution</w:t>
      </w:r>
      <w:r>
        <w:rPr>
          <w:rFonts w:ascii="Arial" w:cs="Arial" w:eastAsia="Arial" w:hAnsi="Arial"/>
          <w:sz w:val="18"/>
          <w:szCs w:val="18"/>
          <w:color w:val="auto"/>
        </w:rPr>
        <w:t>. The Company shall be dissolved and its affairs wound up as determined by the Member.</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w:t>
      </w:r>
      <w:r>
        <w:rPr>
          <w:rFonts w:ascii="Arial" w:cs="Arial" w:eastAsia="Arial" w:hAnsi="Arial"/>
          <w:sz w:val="18"/>
          <w:szCs w:val="18"/>
          <w:color w:val="auto"/>
        </w:rPr>
        <w:t>. Subject to Section 6.6 and applicable law, the Member may not resign from the Company before the dissolution and winding up of the Company.</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Distribution on Dissolution and Liquidation</w:t>
      </w:r>
      <w:r>
        <w:rPr>
          <w:rFonts w:ascii="Arial" w:cs="Arial" w:eastAsia="Arial" w:hAnsi="Arial"/>
          <w:sz w:val="18"/>
          <w:szCs w:val="18"/>
          <w:color w:val="auto"/>
        </w:rPr>
        <w:t>. In the event of the dissolution of the Company for any reason, the business of the Company shall be continued to the extent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280" w:right="259" w:bottom="1440" w:gutter="0" w:footer="0" w:header="0"/>
        </w:sectPr>
      </w:pPr>
    </w:p>
    <w:bookmarkStart w:id="364" w:name="page365"/>
    <w:bookmarkEnd w:id="364"/>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necessary to allow an orderly winding up of its affairs, including the liquidation and termination of the Company pursuant to the provisions of this Section 8.3, as promptly as practicable thereafter, and each of the following shall be accomplished:</w:t>
      </w:r>
    </w:p>
    <w:p>
      <w:pPr>
        <w:spacing w:after="0" w:line="118" w:lineRule="exact"/>
        <w:rPr>
          <w:sz w:val="20"/>
          <w:szCs w:val="20"/>
          <w:color w:val="auto"/>
        </w:rPr>
      </w:pPr>
    </w:p>
    <w:p>
      <w:pPr>
        <w:ind w:left="1160" w:hanging="239"/>
        <w:spacing w:after="0"/>
        <w:tabs>
          <w:tab w:leader="none" w:pos="11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Member shall oversee the winding up of the Company’s affairs;</w:t>
      </w:r>
    </w:p>
    <w:p>
      <w:pPr>
        <w:spacing w:after="0" w:line="157" w:lineRule="exact"/>
        <w:rPr>
          <w:rFonts w:ascii="Arial" w:cs="Arial" w:eastAsia="Arial" w:hAnsi="Arial"/>
          <w:sz w:val="18"/>
          <w:szCs w:val="18"/>
          <w:color w:val="auto"/>
        </w:rPr>
      </w:pPr>
    </w:p>
    <w:p>
      <w:pPr>
        <w:ind w:right="280" w:firstLine="921"/>
        <w:spacing w:after="0" w:line="268" w:lineRule="auto"/>
        <w:tabs>
          <w:tab w:leader="none" w:pos="116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assets of the Company shall be liquidated as determined by the Member, or the Member may determine not to sell all or any portion of the assets, in which event such assets shall be distributed in kind; and</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proceeds of sale and all other assets of the Company shall be applied and distributed as follows and in the following order of priority:</w:t>
      </w:r>
    </w:p>
    <w:p>
      <w:pPr>
        <w:spacing w:after="0" w:line="99" w:lineRule="exact"/>
        <w:rPr>
          <w:rFonts w:ascii="Arial" w:cs="Arial" w:eastAsia="Arial" w:hAnsi="Arial"/>
          <w:sz w:val="16"/>
          <w:szCs w:val="16"/>
          <w:color w:val="auto"/>
        </w:rPr>
      </w:pPr>
    </w:p>
    <w:p>
      <w:pPr>
        <w:ind w:left="1700" w:hanging="208"/>
        <w:spacing w:after="0"/>
        <w:tabs>
          <w:tab w:leader="none" w:pos="17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to the expenses of liquidation;</w:t>
      </w:r>
    </w:p>
    <w:p>
      <w:pPr>
        <w:spacing w:after="0" w:line="157" w:lineRule="exact"/>
        <w:rPr>
          <w:rFonts w:ascii="Arial" w:cs="Arial" w:eastAsia="Arial" w:hAnsi="Arial"/>
          <w:sz w:val="18"/>
          <w:szCs w:val="18"/>
          <w:color w:val="auto"/>
        </w:rPr>
      </w:pPr>
    </w:p>
    <w:p>
      <w:pPr>
        <w:ind w:left="1760" w:hanging="268"/>
        <w:spacing w:after="0"/>
        <w:tabs>
          <w:tab w:leader="none" w:pos="176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to the payment of the debts and liabilities of the Company, including any debts and liabilities owed to the Member; and</w:t>
      </w:r>
    </w:p>
    <w:p>
      <w:pPr>
        <w:spacing w:after="0" w:line="157" w:lineRule="exact"/>
        <w:rPr>
          <w:rFonts w:ascii="Arial" w:cs="Arial" w:eastAsia="Arial" w:hAnsi="Arial"/>
          <w:sz w:val="18"/>
          <w:szCs w:val="18"/>
          <w:color w:val="auto"/>
        </w:rPr>
      </w:pPr>
    </w:p>
    <w:p>
      <w:pPr>
        <w:ind w:left="1800" w:hanging="308"/>
        <w:spacing w:after="0"/>
        <w:tabs>
          <w:tab w:leader="none" w:pos="18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balance, if any, to the Member.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LIABILITY, EXCULPATION AND INDEMNIFICATION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Exculpation</w:t>
      </w:r>
      <w:r>
        <w:rPr>
          <w:rFonts w:ascii="Arial" w:cs="Arial" w:eastAsia="Arial" w:hAnsi="Arial"/>
          <w:sz w:val="18"/>
          <w:szCs w:val="18"/>
          <w:color w:val="auto"/>
        </w:rPr>
        <w:t>.</w:t>
      </w:r>
    </w:p>
    <w:p>
      <w:pPr>
        <w:spacing w:after="0" w:line="77" w:lineRule="exact"/>
        <w:rPr>
          <w:sz w:val="20"/>
          <w:szCs w:val="20"/>
          <w:color w:val="auto"/>
        </w:rPr>
      </w:pPr>
    </w:p>
    <w:p>
      <w:pPr>
        <w:ind w:right="80" w:firstLine="921"/>
        <w:spacing w:after="0" w:line="256" w:lineRule="auto"/>
        <w:tabs>
          <w:tab w:leader="none" w:pos="115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 Covered Person shall be liable to the Company for any loss, damage or claim incurred by reason of any act or omission performed or omitted by the Covered Person in good faith on behalf of the Company, except that the Covered Person shall be liable for any such loss, damage or claim if a final adjudication by a court of competent jurisdiction establishes that the Covered Person’s acts or omissions involved intentional misconduct, fraud or a knowing violation of the law and was material to the cause of action.</w:t>
      </w:r>
    </w:p>
    <w:p>
      <w:pPr>
        <w:spacing w:after="0" w:line="129" w:lineRule="exact"/>
        <w:rPr>
          <w:rFonts w:ascii="Arial" w:cs="Arial" w:eastAsia="Arial" w:hAnsi="Arial"/>
          <w:sz w:val="18"/>
          <w:szCs w:val="18"/>
          <w:color w:val="auto"/>
        </w:rPr>
      </w:pPr>
    </w:p>
    <w:p>
      <w:pPr>
        <w:jc w:val="both"/>
        <w:ind w:firstLine="921"/>
        <w:spacing w:after="0" w:line="298" w:lineRule="auto"/>
        <w:tabs>
          <w:tab w:leader="none" w:pos="1162"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including information, opinions, reports or statements as to the value and amount of the assets, liabilities, profits or losses or any other facts pertinent to the existence and amount of assets from which distributions to the Member might properly be paid.</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Fiduciary Duty</w:t>
      </w:r>
      <w:r>
        <w:rPr>
          <w:rFonts w:ascii="Arial" w:cs="Arial" w:eastAsia="Arial" w:hAnsi="Arial"/>
          <w:sz w:val="16"/>
          <w:szCs w:val="16"/>
          <w:color w:val="auto"/>
        </w:rPr>
        <w:t>. To the extent that, at law or in equity, a Covered Person has duties (including fiduciary duties) and liabilities relating thereto to the Company, then, to the fullest extent permitted by applicable law, the Covered Person acting under this Agreement shall not be liable to the Company or the Member for its good faith acts or omissions in reliance on the provisions of this Agreement. The provisions of this Agreement, to the extent that they restrict the duties and liabilities of a Covered Person otherwise existing at law or in equity, replace such other duties and liabilities of the Covered Person.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80" w:right="239" w:bottom="1440" w:gutter="0" w:footer="0" w:header="0"/>
        </w:sectPr>
      </w:pPr>
    </w:p>
    <w:bookmarkStart w:id="365" w:name="page366"/>
    <w:bookmarkEnd w:id="36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9.3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shall indemnify and hold harmless the Covered Person to the fullest extent permitted by NRS 86.411 to 86.451, inclusive.</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Determination of Right to Indemnification</w:t>
      </w:r>
      <w:r>
        <w:rPr>
          <w:rFonts w:ascii="Arial" w:cs="Arial" w:eastAsia="Arial" w:hAnsi="Arial"/>
          <w:sz w:val="18"/>
          <w:szCs w:val="18"/>
          <w:color w:val="auto"/>
        </w:rPr>
        <w:t>. Any indemnification under Section 9.3, unless ordered by a court or advanced pursuant to Section 9.5 below, shall be made by the Company only as authorized in the specific case upon a determination by the Member, in its sole discretion, that indemnification is proper in the circumstances.</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Advance Payment of Expenses</w:t>
      </w:r>
      <w:r>
        <w:rPr>
          <w:rFonts w:ascii="Arial" w:cs="Arial" w:eastAsia="Arial" w:hAnsi="Arial"/>
          <w:sz w:val="18"/>
          <w:szCs w:val="18"/>
          <w:color w:val="auto"/>
        </w:rPr>
        <w:t>. The expenses of the Member incurred in defending a civil or criminal action, suit or proceeding shall be paid by the Company as they are incurred and in advance of the final disposition of the action, suit or proceeding, upon receipt of an undertaking by or on behalf of the Member to repay the amount if it is ultimately determined by a court of competent jurisdiction that the Member is not entitled to be indemnified by the Company. The provisions of this section do not affect any rights to advancement of expenses to which personnel of the Company other than the Member may be entitled under any contract or otherwise by law.</w:t>
      </w:r>
    </w:p>
    <w:p>
      <w:pPr>
        <w:spacing w:after="0" w:line="12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Assets of the Company</w:t>
      </w:r>
      <w:r>
        <w:rPr>
          <w:rFonts w:ascii="Arial" w:cs="Arial" w:eastAsia="Arial" w:hAnsi="Arial"/>
          <w:sz w:val="18"/>
          <w:szCs w:val="18"/>
          <w:color w:val="auto"/>
        </w:rPr>
        <w:t>. Any indemnification under this Article IX shall be satisfied solely out of the assets of the Company. No debt shall be incurred by the Company or the Member in order to provide a source of funds for any indemnity, and the Member shall not have any liability (or any liability to make any additional Capital Contribution) on account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Membership Certificates</w:t>
      </w:r>
      <w:r>
        <w:rPr>
          <w:rFonts w:ascii="Arial" w:cs="Arial" w:eastAsia="Arial" w:hAnsi="Arial"/>
          <w:sz w:val="18"/>
          <w:szCs w:val="18"/>
          <w:color w:val="auto"/>
        </w:rPr>
        <w:t>. The Company shall issue a certificate to the Member to evidence the Interest in the Company. The Member or any officer of the Company may execute such certificate on behalf of the Company.</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Securities Under the UCC</w:t>
      </w:r>
      <w:r>
        <w:rPr>
          <w:rFonts w:ascii="Arial" w:cs="Arial" w:eastAsia="Arial" w:hAnsi="Arial"/>
          <w:sz w:val="16"/>
          <w:szCs w:val="16"/>
          <w:color w:val="auto"/>
        </w:rPr>
        <w:t>. The Interest of a Member shall be considered a “security” as defined in Section 104.8102(1)(o) of the Nevada UCC and Section 8102(a)(15) or other corresponding provisions of the UCC in effect in other applicable jurisdictions, and this statement shall constitute an express provision that each such Interest is a security governed by Article 8 of the UCC, within the meaning of Section 104.8103(3) of the Nevada UCC and Section 8103(c) or other corresponding provisions of the UCC in effect in other applicable jurisdictions, solely for the purposes of establishing the applicability thereto of the provisions of Article 8 governing securities. No Interest of the Member shall be considered a “security” for any other purpose, nor shall this statement be construed to suggest that any such Interest should otherwise be considered a “security.” The Company shall imprint or otherwise place, on any certificate representing the Interest a legend in substantially the following form (in addition to any other legend required by applicable law or otherwise):</w:t>
      </w:r>
    </w:p>
    <w:p>
      <w:pPr>
        <w:spacing w:after="0" w:line="24"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“THE OWNERSHIP INTEREST REPRESENTED BY THIS CERTIFICATE SHALL BE CONSIDERED A ‘SECURITY’ AS DEFINED IN SECTION 104.8102(1)(o) OF THE NEVADA UCC AND SECTION 8102(a)(15) OR OTHER CORRESPONDING PROVISIONS OF THE UCC IN ANY OTHER APPLICABLE STATE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79" w:right="279" w:bottom="1440" w:gutter="0" w:footer="0" w:header="0"/>
        </w:sectPr>
      </w:pPr>
    </w:p>
    <w:bookmarkStart w:id="366" w:name="page367"/>
    <w:bookmarkEnd w:id="366"/>
    <w:p>
      <w:pPr>
        <w:ind w:left="460" w:right="4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JURISDICTION, AND THIS STATEMENT SHALL CONSTITUTE AN EXPRESS PROVISION THAT THE OWNERSHIP INTEREST REPRESENTED BY THIS CERTIFICATE IS A SECURITY GOVERNED BY ARTICLE 8 OF THE UCC, WITHIN THE MEANING OF SECTION 104.8103(3) OF THE NEVADA UCC AND SECTION 8103(c) OR OTHER CORRESPONDING PROVISIONS OF THE UCC IN ANY OTHER APPLICABLE STATE OR JURISDICTION, SOLELY FOR THE PURPOSES OF ESTABLISHING THE APPLICABILITY THERETO OF THE PROVISIONS OF ARTICLE 8 GOVERNING SECURITIES. THE OWNERSHIP INTEREST REPRESENTED BY THIS CERTIFICATE SHALL NOT BE CONSIDERED A ‘SECURITY’ FOR ANY OTHER PURPOSE, NOR SHALL THIS STATEMENT BE CONSTRUED TO SUGGEST THAT THE OWNERSHIP INTEREST REPRESENTED BY THIS CERTIFICATE SHOULD OTHERWISE BE CONSIDERED A ‘SECURITY.’ FOR PURPOSES HEREOF, ‘UCC’ SHALL MEAN THE UNIFORM COMMERCIAL CODE AS ENACTED AND IN EFFECT IN THE STATE OF NEVADA AND ANY OTHER APPLICABLE STATE OR JURISDICTION.”</w:t>
      </w:r>
    </w:p>
    <w:p>
      <w:pPr>
        <w:spacing w:after="0" w:line="13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may purchase and maintain insurance, to the extent and in such amounts as the Member shall, in its sole discretion, deem reasonable, on behalf of such Persons as the Member shall determine, against any liability that may be asserted against or expenses that may be incurred by any such Person in connection with the activities of the Company.</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Agreement, including any schedules or exhibits hereto, together with the Articles to the extent referenced herein, constitutes the complete and exclusive agreement and understanding of the Member with respect to the subject matter contained herein. This Agreement and the Articles replace and supersede all prior agreements, negotiations, statements, memoranda and understandings, whether written or oral, by the Member.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only by a writing signed by the Member.</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This Agreement, and the rights and obligations of the Member, shall be interpreted and enforced in accordance with and governed by the laws of the State of Nevada without regard to the conflict laws of that State.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headings in this Agreement are inserted for convenience only and are in no way intended to describe, interpret, define, or limit the scope, extent or intent of this Agreement or any provisions contained herein. In the interpretation of this Agreement, the singular may be read as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the neuter gender as the masculine or feminine, and</w:t>
      </w:r>
      <w:r>
        <w:rPr>
          <w:rFonts w:ascii="Arial" w:cs="Arial" w:eastAsia="Arial" w:hAnsi="Arial"/>
          <w:sz w:val="18"/>
          <w:szCs w:val="18"/>
          <w:i w:val="1"/>
          <w:iCs w:val="1"/>
          <w:color w:val="auto"/>
        </w:rPr>
        <w:t xml:space="preserve"> vice versa</w:t>
      </w:r>
      <w:r>
        <w:rPr>
          <w:rFonts w:ascii="Arial" w:cs="Arial" w:eastAsia="Arial" w:hAnsi="Arial"/>
          <w:sz w:val="18"/>
          <w:szCs w:val="18"/>
          <w:color w:val="auto"/>
        </w:rPr>
        <w:t>, and the future tense as the past or present, and</w:t>
      </w:r>
      <w:r>
        <w:rPr>
          <w:rFonts w:ascii="Arial" w:cs="Arial" w:eastAsia="Arial" w:hAnsi="Arial"/>
          <w:sz w:val="18"/>
          <w:szCs w:val="18"/>
          <w:i w:val="1"/>
          <w:iCs w:val="1"/>
          <w:color w:val="auto"/>
        </w:rPr>
        <w:t xml:space="preserve"> vice versa</w:t>
      </w:r>
      <w:r>
        <w:rPr>
          <w:rFonts w:ascii="Arial" w:cs="Arial" w:eastAsia="Arial" w:hAnsi="Arial"/>
          <w:sz w:val="18"/>
          <w:szCs w:val="18"/>
          <w:color w:val="auto"/>
        </w:rPr>
        <w:t>, all interchangeably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context may require in order to fully effectuate the intent of the Member and the transactions contemplated herein. Syntax shall yield to the substance of the terms and provisions hereof.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79" w:right="259" w:bottom="1440" w:gutter="0" w:footer="0" w:header="0"/>
        </w:sectPr>
      </w:pPr>
    </w:p>
    <w:bookmarkStart w:id="367" w:name="page368"/>
    <w:bookmarkEnd w:id="36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10.8 </w:t>
      </w:r>
      <w:r>
        <w:rPr>
          <w:rFonts w:ascii="Arial" w:cs="Arial" w:eastAsia="Arial" w:hAnsi="Arial"/>
          <w:sz w:val="18"/>
          <w:szCs w:val="18"/>
          <w:u w:val="single" w:color="auto"/>
          <w:color w:val="auto"/>
        </w:rPr>
        <w:t>Facsimile Copies</w:t>
      </w:r>
      <w:r>
        <w:rPr>
          <w:rFonts w:ascii="Arial" w:cs="Arial" w:eastAsia="Arial" w:hAnsi="Arial"/>
          <w:sz w:val="18"/>
          <w:szCs w:val="18"/>
          <w:color w:val="auto"/>
        </w:rPr>
        <w:t>. Facsimile copies of this Agreement or any approval or written consent of the Member, and facsimile signatures hereon or thereon, shall have the same force and effect as originals.</w:t>
      </w:r>
    </w:p>
    <w:p>
      <w:pPr>
        <w:spacing w:after="0" w:line="11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any application thereof, is held by a court of competent jurisdiction to be invalid, void, illegal or unenforceable to any extent, that provision, or application thereof, shall be deemed severable and the remainder of this Agreement, and all other applications of such provision, shall not be affected, impaired or invalidated thereby, and shall continue in full force and effect to the fullest extent permitted by law.</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Waivers</w:t>
      </w:r>
      <w:r>
        <w:rPr>
          <w:rFonts w:ascii="Arial" w:cs="Arial" w:eastAsia="Arial" w:hAnsi="Arial"/>
          <w:sz w:val="18"/>
          <w:szCs w:val="18"/>
          <w:color w:val="auto"/>
        </w:rPr>
        <w:t>. No waiver of any of the provisions of this Agreement shall be deemed, or shall constitute, a waiver of any other provision, whether or not similar, nor shall any waiver constitute a continuing waiver, and no waiver shall be binding unless evidenced by an instrument in writing and executed by the Member.</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adopted solely by and for the benefit of the Member and its successors and assigns, and, except as set forth in Article IX hereof, no other Person shall have any rights, interest or claims hereunder or be entitled to any benefits under or on account of this Agreement as a third party beneficiary or otherwise.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appears on the following page</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60"/>
          </w:cols>
          <w:pgMar w:left="240" w:top="280" w:right="39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Member has executed and adopted this Agreement as of the Effective Date.</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80010</wp:posOffset>
            </wp:positionV>
            <wp:extent cx="216090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Senior Vice President</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9759"/>
          </w:cols>
          <w:pgMar w:left="700" w:top="280" w:right="1440" w:bottom="1440" w:gutter="0" w:footer="0" w:header="0"/>
        </w:sectPr>
      </w:pPr>
    </w:p>
    <w:bookmarkStart w:id="369" w:name="page370"/>
    <w:bookmarkEnd w:id="369"/>
    <w:p>
      <w:pPr>
        <w:ind w:left="52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I</w:t>
      </w:r>
    </w:p>
    <w:p>
      <w:pPr>
        <w:sectPr>
          <w:pgSz w:w="11900" w:h="16838" w:orient="portrait"/>
          <w:cols w:equalWidth="0" w:num="1">
            <w:col w:w="10219"/>
          </w:cols>
          <w:pgMar w:left="240" w:top="280" w:right="1440"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Member’s Name: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LLC</w:t>
      </w:r>
    </w:p>
    <w:p>
      <w:pPr>
        <w:spacing w:after="0" w:line="140" w:lineRule="exact"/>
        <w:rPr>
          <w:sz w:val="20"/>
          <w:szCs w:val="20"/>
          <w:color w:val="auto"/>
        </w:rPr>
      </w:pPr>
    </w:p>
    <w:p>
      <w:pPr>
        <w:sectPr>
          <w:pgSz w:w="11900" w:h="16838" w:orient="portrait"/>
          <w:cols w:equalWidth="0" w:num="2">
            <w:col w:w="5000" w:space="720"/>
            <w:col w:w="449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Member’s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3131 Las Vegas Boulevard South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24" w:lineRule="exact"/>
        <w:rPr>
          <w:sz w:val="20"/>
          <w:szCs w:val="20"/>
          <w:color w:val="auto"/>
        </w:rPr>
      </w:pPr>
    </w:p>
    <w:p>
      <w:pPr>
        <w:sectPr>
          <w:pgSz w:w="11900" w:h="16838" w:orient="portrait"/>
          <w:cols w:equalWidth="0" w:num="2">
            <w:col w:w="5000" w:space="720"/>
            <w:col w:w="449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Member’s Interest:</w:t>
      </w:r>
    </w:p>
    <w:p>
      <w:pPr>
        <w:spacing w:after="0" w:line="20" w:lineRule="exact"/>
        <w:rPr>
          <w:sz w:val="20"/>
          <w:szCs w:val="20"/>
          <w:color w:val="auto"/>
        </w:rPr>
      </w:pPr>
      <w:r>
        <w:rPr>
          <w:sz w:val="20"/>
          <w:szCs w:val="20"/>
          <w:color w:val="auto"/>
        </w:rPr>
        <w:br w:type="column"/>
      </w:r>
    </w:p>
    <w:p>
      <w:pPr>
        <w:jc w:val="center"/>
        <w:ind w:right="4079"/>
        <w:spacing w:after="0"/>
        <w:rPr>
          <w:sz w:val="20"/>
          <w:szCs w:val="20"/>
          <w:color w:val="auto"/>
        </w:rPr>
      </w:pPr>
      <w:r>
        <w:rPr>
          <w:rFonts w:ascii="Arial" w:cs="Arial" w:eastAsia="Arial" w:hAnsi="Arial"/>
          <w:sz w:val="16"/>
          <w:szCs w:val="16"/>
          <w:color w:val="auto"/>
        </w:rPr>
        <w:t>100%</w:t>
      </w:r>
    </w:p>
    <w:p>
      <w:pPr>
        <w:spacing w:after="0" w:line="181" w:lineRule="exact"/>
        <w:rPr>
          <w:sz w:val="20"/>
          <w:szCs w:val="20"/>
          <w:color w:val="auto"/>
        </w:rPr>
      </w:pPr>
    </w:p>
    <w:p>
      <w:pPr>
        <w:sectPr>
          <w:pgSz w:w="11900" w:h="16838" w:orient="portrait"/>
          <w:cols w:equalWidth="0" w:num="2">
            <w:col w:w="5000" w:space="720"/>
            <w:col w:w="4499"/>
          </w:cols>
          <w:pgMar w:left="240" w:top="280" w:right="1440" w:bottom="1440" w:gutter="0" w:footer="0" w:header="0"/>
          <w:type w:val="continuous"/>
        </w:sectPr>
      </w:pPr>
    </w:p>
    <w:p>
      <w:pPr>
        <w:ind w:left="5560"/>
        <w:spacing w:after="0"/>
        <w:rPr>
          <w:sz w:val="20"/>
          <w:szCs w:val="20"/>
          <w:color w:val="auto"/>
        </w:rPr>
      </w:pPr>
      <w:r>
        <w:rPr>
          <w:rFonts w:ascii="Arial" w:cs="Arial" w:eastAsia="Arial" w:hAnsi="Arial"/>
          <w:sz w:val="16"/>
          <w:szCs w:val="16"/>
          <w:color w:val="auto"/>
        </w:rPr>
        <w:t>- 1 -</w:t>
      </w:r>
    </w:p>
    <w:p>
      <w:pPr>
        <w:sectPr>
          <w:pgSz w:w="11900" w:h="16838" w:orient="portrait"/>
          <w:cols w:equalWidth="0" w:num="1">
            <w:col w:w="10219"/>
          </w:cols>
          <w:pgMar w:left="240" w:top="280" w:right="1440" w:bottom="1440" w:gutter="0" w:footer="0" w:header="0"/>
          <w:type w:val="continuous"/>
        </w:sectPr>
      </w:pPr>
    </w:p>
    <w:bookmarkStart w:id="370" w:name="page371"/>
    <w:bookmarkEnd w:id="370"/>
    <w:p>
      <w:pPr>
        <w:jc w:val="right"/>
        <w:spacing w:after="0"/>
        <w:rPr>
          <w:sz w:val="20"/>
          <w:szCs w:val="20"/>
          <w:color w:val="auto"/>
        </w:rPr>
      </w:pPr>
      <w:r>
        <w:rPr>
          <w:rFonts w:ascii="Arial" w:cs="Arial" w:eastAsia="Arial" w:hAnsi="Arial"/>
          <w:sz w:val="18"/>
          <w:szCs w:val="18"/>
          <w:b w:val="1"/>
          <w:bCs w:val="1"/>
          <w:color w:val="auto"/>
        </w:rPr>
        <w:t>Exhibit 3.16</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AMENDED AND RESTATED ARTICLES OF ORGANIZATION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SHOW PERFORMERS, LLC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Nevada Revised Statutes Sections 86.221 and 86.226, the undersigned does hereby declare and certify that:</w:t>
      </w:r>
    </w:p>
    <w:p>
      <w:pPr>
        <w:spacing w:after="0" w:line="77" w:lineRule="exact"/>
        <w:rPr>
          <w:sz w:val="20"/>
          <w:szCs w:val="20"/>
          <w:color w:val="auto"/>
        </w:rPr>
      </w:pPr>
    </w:p>
    <w:p>
      <w:pPr>
        <w:ind w:left="640" w:hanging="176"/>
        <w:spacing w:after="0"/>
        <w:tabs>
          <w:tab w:leader="none" w:pos="6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name of the limited liability company is Wynn Show Performers, LLC, a Nevada limited liability company (the “Company”).</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Company is managed by its member.</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Articles of Organization of the Company shall be amended and restated as set forth below.</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effective date of these First Amended and Restated Articles of Organization shall be December 14,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NAME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Company is Wynn Show Performers,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REGISTERED OFFICE AND RESIDENT AGENT</w:t>
      </w:r>
    </w:p>
    <w:p>
      <w:pPr>
        <w:spacing w:after="0" w:line="151"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The Company’s resident agent and the address of the registered office where process may be served in the State of Nevada is currently Marc H. Rubinstein, 3131 Las Vegas Boulevard South, Las Vegas, Nevada 89109, or such other resident agent and registered office as the member shall, from time to time, determine.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 AND PAYMENT OF EXPENSES</w:t>
      </w:r>
    </w:p>
    <w:p>
      <w:pPr>
        <w:spacing w:after="0" w:line="1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any other rights of indemnification permitted by the laws of the State of Nevada as may be provided for by the Company in these articles of organization, the Company’s operating agreement or any other agreement, the expenses of the member incurred in defending a civil or criminal action, suit or proceeding, involving alleged acts or omissions of such member in its capacity as a member of the Company, must be paid by the Company, or through insurance purchased and maintained by the Company or through other financial arrangements made by the Company as permitted by the laws of the State of Nevada, as they are incurred and in advance of the final disposition of the action, suit or proceeding, upon receipt of an unsecured undertaking by or on behalf of the member to repay the amount if it is ultimately determined by a court of competent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71" w:name="page372"/>
    <w:bookmarkEnd w:id="371"/>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jurisdiction that it is not entitled to be indemnified by the Company. Any repeal or modification of this Article III approved by the member of the Company shall be prospective only. In the event of any conflict between this Article III and any other article of the Company’s articles of organization, the terms and provisions of Article III shall control.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IV</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MANAGEMENT</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management of the Company shall be vested in its sole member. The name and address of the sole member of the Company is Wynn Las Vegas, LLC, 3131 Las Vegas Boulevard South, Las Vegas, Nevada 89109. The member may designate or authorize, by provision either in the Company’s operating agreement or in another writing, one or more persons, officers or employees of the Company who may, in the name and on behalf of the Company, and in lieu of or in addition to the member, contract debts or incur liabilities, and sign contracts or agreements (including, without limitation, instruments and documents providing for the acquisition, mortgage or disposition of property of the Company), and may authorize the use of facsimile signatures of any such persons, officers or employees.</w:t>
      </w:r>
    </w:p>
    <w:p>
      <w:pPr>
        <w:spacing w:after="0" w:line="13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V</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ORGANIZER</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name and post office box or street address of the organizer of the Company was Kathryn S. Lever, Schreck Brignone, 300 South Fourth Street, Suite 1200, Las Vegas, Nevada 89101.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appears on the following page</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9" w:right="299" w:bottom="1440" w:gutter="0" w:footer="0" w:header="0"/>
        </w:sectPr>
      </w:pPr>
    </w:p>
    <w:bookmarkStart w:id="372" w:name="page373"/>
    <w:bookmarkEnd w:id="37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sole member of the Company has hereunto executed these First Amended and Restated Articles of Organization as of the 14th day of December, 2004.</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Valvino Lamore, LLC,</w:t>
      </w:r>
    </w:p>
    <w:p>
      <w:pPr>
        <w:spacing w:after="0" w:line="1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80010</wp:posOffset>
            </wp:positionV>
            <wp:extent cx="191262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1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Senior Vice President</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240" w:top="280" w:right="1159"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b w:val="1"/>
          <w:bCs w:val="1"/>
          <w:color w:val="auto"/>
        </w:rPr>
        <w:t>Exhibit 3.17</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Nevada limited liability company</w:t>
      </w:r>
    </w:p>
    <w:p>
      <w:pPr>
        <w:spacing w:after="0" w:line="15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This First Amended and Restated Operating Agreement of Wynn Show Performers,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is adopted at Las Vegas, Nevada, effective as of December 14, 2004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Wynn Las Vegas, LLC, a Nevada limited liability company (“</w:t>
      </w:r>
      <w:r>
        <w:rPr>
          <w:rFonts w:ascii="Arial" w:cs="Arial" w:eastAsia="Arial" w:hAnsi="Arial"/>
          <w:sz w:val="18"/>
          <w:szCs w:val="18"/>
          <w:u w:val="single" w:color="auto"/>
          <w:color w:val="auto"/>
        </w:rPr>
        <w:t>WLV</w:t>
      </w:r>
      <w:r>
        <w:rPr>
          <w:rFonts w:ascii="Arial" w:cs="Arial" w:eastAsia="Arial" w:hAnsi="Arial"/>
          <w:sz w:val="18"/>
          <w:szCs w:val="18"/>
          <w:color w:val="auto"/>
        </w:rPr>
        <w:t>”), which constitutes the sole member of the Company, with reference to the recitals set forth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15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 WLV adopted an operating agreement for the Company, effective as of December 4, 2003, the date of formation of the Company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Operating Agreement</w:t>
      </w:r>
      <w:r>
        <w:rPr>
          <w:rFonts w:ascii="Arial" w:cs="Arial" w:eastAsia="Arial" w:hAnsi="Arial"/>
          <w:sz w:val="18"/>
          <w:szCs w:val="18"/>
          <w:color w:val="auto"/>
        </w:rPr>
        <w:t>”); and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 As of the Effective Date, and pursuant to NRS 86.286(1), WLV desires to amend and restate, in its entirety, the Original Operating Agreement to provide for the conduct of the Company’s business and affairs on and after the Effective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WLV hereby agrees to and adopts the following:</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“Act” means Chapter 86 of the NRS.</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“Affiliate” means with respect to a specified Person, any other Person who or which is (a) directly or indirectly controlling, controlled by or under common control with the specified Person, or (b) any member, stockholder, director, officer, manager, or comparable principal of, or relative or spouse of, the specified Person. For purposes of this definition, “control”, “controlling”, and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“Agreement” means this First Amended and Restated Operating Agreement, as amended from time to time.</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u w:val="single" w:color="auto"/>
          <w:color w:val="auto"/>
        </w:rPr>
        <w:t>Articles</w:t>
      </w:r>
      <w:r>
        <w:rPr>
          <w:rFonts w:ascii="Arial" w:cs="Arial" w:eastAsia="Arial" w:hAnsi="Arial"/>
          <w:sz w:val="18"/>
          <w:szCs w:val="18"/>
          <w:color w:val="auto"/>
        </w:rPr>
        <w:t>. “Articles” means the First Amended and Restated Articles of Organization of the Company as filed with the Secretary of State of Nevada, as amended from time to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374" w:name="page375"/>
    <w:bookmarkEnd w:id="374"/>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Capital Contribution</w:t>
      </w:r>
      <w:r>
        <w:rPr>
          <w:rFonts w:ascii="Arial" w:cs="Arial" w:eastAsia="Arial" w:hAnsi="Arial"/>
          <w:sz w:val="18"/>
          <w:szCs w:val="18"/>
          <w:color w:val="auto"/>
        </w:rPr>
        <w:t>. “Capital Contribution” means a contribution to the capital of the Company in cash, property, or otherwise.</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means the Internal Revenue Code of 1986, as amended from time to time, or any corresponding United States federal tax statute enacted after the date of this Agreement. A reference to a specific section of the Code refers not only to such specific section but also to any corresponding provision of any United States federal tax statute enacted after the date of this Agreement, as such specific section or corresponding provision is in effect on the date of application of the provisions of this Agreement containing such reference.</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u w:val="single" w:color="auto"/>
          <w:color w:val="auto"/>
        </w:rPr>
        <w:t>Covered Person</w:t>
      </w:r>
      <w:r>
        <w:rPr>
          <w:rFonts w:ascii="Arial" w:cs="Arial" w:eastAsia="Arial" w:hAnsi="Arial"/>
          <w:sz w:val="18"/>
          <w:szCs w:val="18"/>
          <w:color w:val="auto"/>
        </w:rPr>
        <w:t>. “Covered Person” means (a) the Member, (b) any officer of the Company, (c) any manager or officer of the Member or the respective Affiliates of the Company or the Member, or (d) any Person who was, at the time of the act or omission in question, a Person described in any of clauses (a), (b) or (c) hereof.</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“Interest” means the entire ownership interest of the Member in the Company at any time, including the right of the Member to any and all benefits to which the Member may be entitled as provided under the Act and this Agreement.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Member</w:t>
      </w:r>
      <w:r>
        <w:rPr>
          <w:rFonts w:ascii="Arial" w:cs="Arial" w:eastAsia="Arial" w:hAnsi="Arial"/>
          <w:sz w:val="18"/>
          <w:szCs w:val="18"/>
          <w:color w:val="auto"/>
        </w:rPr>
        <w:t>. “Member” means the sole member of the Company. As of the Effective Date, the Member’s name, address and percentage Interest are as set forth on Schedule I attached 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NRS</w:t>
      </w:r>
      <w:r>
        <w:rPr>
          <w:rFonts w:ascii="Arial" w:cs="Arial" w:eastAsia="Arial" w:hAnsi="Arial"/>
          <w:sz w:val="18"/>
          <w:szCs w:val="18"/>
          <w:color w:val="auto"/>
        </w:rPr>
        <w:t>. “NRS” means the Nevada Revised Statutes, as amended from time to time.</w:t>
      </w:r>
    </w:p>
    <w:p>
      <w:pPr>
        <w:spacing w:after="0" w:line="15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“Person” means a natural person, any form of business or social organization and any other non-governmental legal entity including, but not limited to, a corporation, partnership, association, trust, unincorporated organization, estate or limited liability company.</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u w:val="single" w:color="auto"/>
          <w:color w:val="auto"/>
        </w:rPr>
        <w:t>Records Office</w:t>
      </w:r>
      <w:r>
        <w:rPr>
          <w:rFonts w:ascii="Arial" w:cs="Arial" w:eastAsia="Arial" w:hAnsi="Arial"/>
          <w:sz w:val="18"/>
          <w:szCs w:val="18"/>
          <w:color w:val="auto"/>
        </w:rPr>
        <w:t>. “Records Office” means an office of the Company in Nevada, which may but need not be a place of its business, at which it shall keep all records identified in NRS 86.241, except that none of the lists required to be maintained pursuant to NRS 86.241 need be maintained in alphabetical order, nor shall the Company be required to maintain at its Records Office copies of powers of attorney except those relating to the execution of the Articles and this Agreement.</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Treasury Regulations</w:t>
      </w:r>
      <w:r>
        <w:rPr>
          <w:rFonts w:ascii="Arial" w:cs="Arial" w:eastAsia="Arial" w:hAnsi="Arial"/>
          <w:sz w:val="18"/>
          <w:szCs w:val="18"/>
          <w:color w:val="auto"/>
        </w:rPr>
        <w:t>. “Treasury Regulations” means the federal income tax regulations promulgated by the U.S. Treasury Department under the Code and codified at Title 26 of the Code of Federal Regulations, as amended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UCC</w:t>
      </w:r>
      <w:r>
        <w:rPr>
          <w:rFonts w:ascii="Arial" w:cs="Arial" w:eastAsia="Arial" w:hAnsi="Arial"/>
          <w:sz w:val="18"/>
          <w:szCs w:val="18"/>
          <w:color w:val="auto"/>
        </w:rPr>
        <w:t>. “UCC” means the Uniform Commercial Code as enacted and in effect in the State of Nevada or any other applicable jurisdiction.</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INTRODUCTORY MATTERS</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Formation</w:t>
      </w:r>
      <w:r>
        <w:rPr>
          <w:rFonts w:ascii="Arial" w:cs="Arial" w:eastAsia="Arial" w:hAnsi="Arial"/>
          <w:sz w:val="18"/>
          <w:szCs w:val="18"/>
          <w:color w:val="auto"/>
        </w:rPr>
        <w:t>. Pursuant to the Act, the Company has been formed as a Nevada limited liability company under the laws of the State of Nevada. To the extent that the rights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80" w:right="259" w:bottom="1440" w:gutter="0" w:footer="0" w:header="0"/>
        </w:sectPr>
      </w:pPr>
    </w:p>
    <w:bookmarkStart w:id="375" w:name="page376"/>
    <w:bookmarkEnd w:id="37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obligations of the Member are different by reason of any provision of this Agreement than they would be in the absence of such provision, this Agreement shall, to the extent permitted by the Act, control.</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Company is “Wynn Show Performers, LLC.” Subject to compliance with applicable law, the business and affairs of the Company may be conducted under that name or any other name that the Member deems appropriate or advisable.</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Records Office</w:t>
      </w:r>
      <w:r>
        <w:rPr>
          <w:rFonts w:ascii="Arial" w:cs="Arial" w:eastAsia="Arial" w:hAnsi="Arial"/>
          <w:sz w:val="18"/>
          <w:szCs w:val="18"/>
          <w:color w:val="auto"/>
        </w:rPr>
        <w:t>. The Company shall continuously maintain in the State of Nevada a Records Office. As of the date hereof, the Records Office is 3131 Las Vegas Boulevard South, Las Vegas, Nevada 89109. The Records Office may be changed to another location within the State of Nevada as the Member may from time to time determine.</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Company may establish and maintain other offices at any time and at any place or places as the Member may designate or as the business of the Company may require.</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Resident Agent and Registered Office</w:t>
      </w:r>
      <w:r>
        <w:rPr>
          <w:rFonts w:ascii="Arial" w:cs="Arial" w:eastAsia="Arial" w:hAnsi="Arial"/>
          <w:sz w:val="16"/>
          <w:szCs w:val="16"/>
          <w:color w:val="auto"/>
        </w:rPr>
        <w:t>. The resident agent of the Company for service of process shall be as set forth in the Articles or as changed by the Member from time to time. The Company shall have as its registered office in the State of Nevada the street address of its resident agent.</w:t>
      </w:r>
    </w:p>
    <w:p>
      <w:pPr>
        <w:spacing w:after="0" w:line="7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Purpose</w:t>
      </w:r>
      <w:r>
        <w:rPr>
          <w:rFonts w:ascii="Arial" w:cs="Arial" w:eastAsia="Arial" w:hAnsi="Arial"/>
          <w:sz w:val="16"/>
          <w:szCs w:val="16"/>
          <w:color w:val="auto"/>
        </w:rPr>
        <w:t>. Except as provided elsewhere in this Agreement, the Company is formed for the object and purpose of engaging in any lawful act or activity for which limited liability companies may be formed under the Act and engaging in any and all activities necessary or incidental to the foregoing.</w:t>
      </w:r>
    </w:p>
    <w:p>
      <w:pPr>
        <w:spacing w:after="0" w:line="7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Powers of the Company</w:t>
      </w:r>
      <w:r>
        <w:rPr>
          <w:rFonts w:ascii="Arial" w:cs="Arial" w:eastAsia="Arial" w:hAnsi="Arial"/>
          <w:sz w:val="18"/>
          <w:szCs w:val="18"/>
          <w:color w:val="auto"/>
        </w:rPr>
        <w:t>. Except as provided elsewhere in this Agreement, the Company shall have the power and authority to take any and all actions necessary, appropriate, advisable, convenient or incidental to or for the furtherance of the purpose set forth in Section 2.6, including, but not limited to, the power and authority to:</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 borrow money and issue evidences of indebtedness, and to secure the same by a mortgage, pledge or other lien on any or all of the assets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51" w:lineRule="exact"/>
        <w:rPr>
          <w:sz w:val="20"/>
          <w:szCs w:val="20"/>
          <w:color w:val="auto"/>
        </w:rPr>
      </w:pPr>
    </w:p>
    <w:p>
      <w:pPr>
        <w:ind w:right="540" w:firstLine="921"/>
        <w:spacing w:after="0" w:line="268" w:lineRule="auto"/>
        <w:tabs>
          <w:tab w:leader="none" w:pos="116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conduct its business and operations in any state, territory, district or possession of the United States or in any foreign country that may be necessary or convenient to the accomplishment of the purpose of the Company;</w:t>
      </w:r>
    </w:p>
    <w:p>
      <w:pPr>
        <w:spacing w:after="0" w:line="118" w:lineRule="exact"/>
        <w:rPr>
          <w:rFonts w:ascii="Arial" w:cs="Arial" w:eastAsia="Arial" w:hAnsi="Arial"/>
          <w:sz w:val="18"/>
          <w:szCs w:val="18"/>
          <w:color w:val="auto"/>
        </w:rPr>
      </w:pPr>
    </w:p>
    <w:p>
      <w:pPr>
        <w:ind w:right="380" w:firstLine="921"/>
        <w:spacing w:after="0" w:line="259" w:lineRule="auto"/>
        <w:tabs>
          <w:tab w:leader="none" w:pos="115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acquire, by purchase, lease, contribution of property or otherwise, and own, hold, maintain, finance, improve, lease, sell, convey, mortgage, transfer, demolish or dispose of any real or personal property that may be necessary, convenient or incidental to the accomplishment of the purpose of the Company;</w:t>
      </w:r>
    </w:p>
    <w:p>
      <w:pPr>
        <w:spacing w:after="0" w:line="126" w:lineRule="exact"/>
        <w:rPr>
          <w:rFonts w:ascii="Arial" w:cs="Arial" w:eastAsia="Arial" w:hAnsi="Arial"/>
          <w:sz w:val="18"/>
          <w:szCs w:val="18"/>
          <w:color w:val="auto"/>
        </w:rPr>
      </w:pPr>
    </w:p>
    <w:p>
      <w:pPr>
        <w:ind w:right="120" w:firstLine="921"/>
        <w:spacing w:after="0" w:line="268" w:lineRule="auto"/>
        <w:tabs>
          <w:tab w:leader="none" w:pos="116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enter into, perform and carry out contracts of any kind, including without limitation, contracts with the Member or any Affiliate of the Member that are necessary to, in connection with, convenient to, or incidental to the accomplishment of the purpose of the Company;</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40"/>
          </w:cols>
          <w:pgMar w:left="240" w:top="279" w:right="319" w:bottom="1440" w:gutter="0" w:footer="0" w:header="0"/>
        </w:sectPr>
      </w:pPr>
    </w:p>
    <w:bookmarkStart w:id="376" w:name="page377"/>
    <w:bookmarkEnd w:id="376"/>
    <w:p>
      <w:pPr>
        <w:ind w:firstLine="921"/>
        <w:spacing w:after="0" w:line="268" w:lineRule="auto"/>
        <w:tabs>
          <w:tab w:leader="none" w:pos="1152" w:val="left"/>
        </w:tabs>
        <w:numPr>
          <w:ilvl w:val="0"/>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take, receive, subscribe for or otherwise acquire, own, hold, vote, use, employ, sell, mortgage, lend, pledge or otherwise dispose of, and otherwise use and deal in and with, shares or other interests in or obligations of domestic or foreign entities;</w:t>
      </w:r>
    </w:p>
    <w:p>
      <w:pPr>
        <w:spacing w:after="0" w:line="118" w:lineRule="exact"/>
        <w:rPr>
          <w:rFonts w:ascii="Arial" w:cs="Arial" w:eastAsia="Arial" w:hAnsi="Arial"/>
          <w:sz w:val="18"/>
          <w:szCs w:val="18"/>
          <w:color w:val="auto"/>
        </w:rPr>
      </w:pPr>
    </w:p>
    <w:p>
      <w:pPr>
        <w:ind w:left="1140" w:hanging="219"/>
        <w:spacing w:after="0"/>
        <w:tabs>
          <w:tab w:leader="none" w:pos="1140" w:val="left"/>
        </w:tabs>
        <w:numPr>
          <w:ilvl w:val="0"/>
          <w:numId w:val="301"/>
        </w:numPr>
        <w:rPr>
          <w:rFonts w:ascii="Arial" w:cs="Arial" w:eastAsia="Arial" w:hAnsi="Arial"/>
          <w:sz w:val="15"/>
          <w:szCs w:val="15"/>
          <w:color w:val="auto"/>
        </w:rPr>
      </w:pPr>
      <w:r>
        <w:rPr>
          <w:rFonts w:ascii="Arial" w:cs="Arial" w:eastAsia="Arial" w:hAnsi="Arial"/>
          <w:sz w:val="15"/>
          <w:szCs w:val="15"/>
          <w:color w:val="auto"/>
        </w:rPr>
        <w:t>lend money for any proper purpose, invest and reinvest its funds and take and hold real and personal property for the payment of funds so loaned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or invested;</w:t>
      </w:r>
    </w:p>
    <w:p>
      <w:pPr>
        <w:spacing w:after="0" w:line="151" w:lineRule="exact"/>
        <w:rPr>
          <w:rFonts w:ascii="Arial" w:cs="Arial" w:eastAsia="Arial" w:hAnsi="Arial"/>
          <w:sz w:val="15"/>
          <w:szCs w:val="15"/>
          <w:color w:val="auto"/>
        </w:rPr>
      </w:pPr>
    </w:p>
    <w:p>
      <w:pPr>
        <w:ind w:left="1160" w:hanging="239"/>
        <w:spacing w:after="0"/>
        <w:tabs>
          <w:tab w:leader="none" w:pos="11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sue and be sued, complain and defend and participate in administrative or other proceedings, in its name;</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appoint employees, agents and officers of the Company, and define their duties and fix their compensation;</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indemnify any Person and obtain any and all types of insurance;</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cease its activities and cancel its insurance;</w:t>
      </w:r>
    </w:p>
    <w:p>
      <w:pPr>
        <w:spacing w:after="0" w:line="157"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negotiate, enter into, renegotiate, extend, renew, terminate, modify, amend, waive, execute, acknowledge or take any other action with respect to any lease, contract or security agreement in respect of any assets of the Company;</w:t>
      </w:r>
    </w:p>
    <w:p>
      <w:pPr>
        <w:spacing w:after="0" w:line="118" w:lineRule="exact"/>
        <w:rPr>
          <w:rFonts w:ascii="Arial" w:cs="Arial" w:eastAsia="Arial" w:hAnsi="Arial"/>
          <w:sz w:val="18"/>
          <w:szCs w:val="18"/>
          <w:color w:val="auto"/>
        </w:rPr>
      </w:pPr>
    </w:p>
    <w:p>
      <w:pPr>
        <w:ind w:right="240" w:firstLine="921"/>
        <w:spacing w:after="0" w:line="268" w:lineRule="auto"/>
        <w:tabs>
          <w:tab w:leader="none" w:pos="112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pay, collect, compromise, litigate, arbitrate or otherwise adjust or settle any and all other claims or demands of or against the Company or hold such proceeds against the payment of contingent liabilities; and</w:t>
      </w:r>
    </w:p>
    <w:p>
      <w:pPr>
        <w:spacing w:after="0" w:line="118" w:lineRule="exact"/>
        <w:rPr>
          <w:rFonts w:ascii="Arial" w:cs="Arial" w:eastAsia="Arial" w:hAnsi="Arial"/>
          <w:sz w:val="18"/>
          <w:szCs w:val="18"/>
          <w:color w:val="auto"/>
        </w:rPr>
      </w:pPr>
    </w:p>
    <w:p>
      <w:pPr>
        <w:ind w:right="320" w:firstLine="921"/>
        <w:spacing w:after="0" w:line="268" w:lineRule="auto"/>
        <w:tabs>
          <w:tab w:leader="none" w:pos="121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make, execute, acknowledge and file any and all documents or instruments necessary, convenient or incidental to the accomplishment of the purpose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CAPITAL CONTRIBUTIONS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Member shall not be required to make any additional Capital Contribution to the Company.</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PROFITS AND LOSSES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Profits and Losses</w:t>
      </w:r>
      <w:r>
        <w:rPr>
          <w:rFonts w:ascii="Arial" w:cs="Arial" w:eastAsia="Arial" w:hAnsi="Arial"/>
          <w:sz w:val="18"/>
          <w:szCs w:val="18"/>
          <w:color w:val="auto"/>
        </w:rPr>
        <w:t>. The Company’s profits and losses for any period shall be allocated to the Member.</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Tax Classification</w:t>
      </w:r>
      <w:r>
        <w:rPr>
          <w:rFonts w:ascii="Arial" w:cs="Arial" w:eastAsia="Arial" w:hAnsi="Arial"/>
          <w:sz w:val="16"/>
          <w:szCs w:val="16"/>
          <w:color w:val="auto"/>
        </w:rPr>
        <w:t xml:space="preserve">. So long as the Company has only one Member, it is intended that the Company be disregarded for federal and all relevant state income tax purposes and that the activities of the Company be deemed to be activities of the Member for such purposes, as provided for by Treasury Regulations Sections 301.7701-1, </w:t>
      </w:r>
      <w:r>
        <w:rPr>
          <w:rFonts w:ascii="Arial" w:cs="Arial" w:eastAsia="Arial" w:hAnsi="Arial"/>
          <w:sz w:val="16"/>
          <w:szCs w:val="16"/>
          <w:i w:val="1"/>
          <w:iCs w:val="1"/>
          <w:color w:val="auto"/>
        </w:rPr>
        <w:t>et seq</w:t>
      </w:r>
      <w:r>
        <w:rPr>
          <w:rFonts w:ascii="Arial" w:cs="Arial" w:eastAsia="Arial" w:hAnsi="Arial"/>
          <w:sz w:val="16"/>
          <w:szCs w:val="16"/>
          <w:color w:val="auto"/>
        </w:rPr>
        <w:t>., and comparable provisions of applicable state tax law. In the event that the Company becomes an entity that has more than one Member, it is intended that the Company be treated as a “partnership” for federal and all relevant state income tax purposes, and all available elections shall be made, and take all available actions shall be taken, to cause the Company to be so treated.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80" w:right="279" w:bottom="1440" w:gutter="0" w:footer="0" w:header="0"/>
        </w:sectPr>
      </w:pPr>
    </w:p>
    <w:bookmarkStart w:id="377" w:name="page378"/>
    <w:bookmarkEnd w:id="37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DISTRIBUTIONS</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Operating Distributions</w:t>
      </w:r>
      <w:r>
        <w:rPr>
          <w:rFonts w:ascii="Arial" w:cs="Arial" w:eastAsia="Arial" w:hAnsi="Arial"/>
          <w:sz w:val="18"/>
          <w:szCs w:val="18"/>
          <w:color w:val="auto"/>
        </w:rPr>
        <w:t>. Subject to Section 5.2, the Company shall from time to time distribute to the Member such amounts in cash and other assets as shall be determined by the Member.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Limitations on Distribution</w:t>
      </w:r>
      <w:r>
        <w:rPr>
          <w:rFonts w:ascii="Arial" w:cs="Arial" w:eastAsia="Arial" w:hAnsi="Arial"/>
          <w:sz w:val="18"/>
          <w:szCs w:val="18"/>
          <w:color w:val="auto"/>
        </w:rPr>
        <w:t>. Notwithstanding any provision to the contrary contained in this Agreement, the Company shall not make any distribution if such distribution would violate the NRS or other applicable law or would cause a breach or default under any agreement or instrument to which the Company is a party or by which it or its assets are bound, but instead shall make such distribution as soon as practicable such that the making of such distribution would not cause such violation, breach or default.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MEMBERSHIP</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The Member shall not be liable under a judgment, decree or order of a court, or in any other manner, for a debt, obligation or liability of the Company, except to the extent required by law or in an agreement signed by the Member. The Member shall not be required to loan any funds to the Company, nor shall the Member be required to make any contribution to the Company, nor shall the Member be subject to any liability to the Company or any third party, as a result of any deficit of the Company. However, nothing in this Agreement shall prevent the Member from making secured or unsecured loans to the Company by agreement with the Company.</w:t>
      </w:r>
    </w:p>
    <w:p>
      <w:pPr>
        <w:spacing w:after="0" w:line="1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Powers of the Member</w:t>
      </w:r>
      <w:r>
        <w:rPr>
          <w:rFonts w:ascii="Arial" w:cs="Arial" w:eastAsia="Arial" w:hAnsi="Arial"/>
          <w:sz w:val="15"/>
          <w:szCs w:val="15"/>
          <w:color w:val="auto"/>
        </w:rPr>
        <w:t>. The Member shall have full, exclusive and complete discretion to manage and control the business and affairs of the Company, to make all decisions affecting the business and affairs of the Company and to take all such actions as it deems necessary, appropriate or convenient to or for the furtherance of the purpose of the Company, including, without limitation, the power and authority to execute all documents and instruments, perform all duties and powers, and do all things on behalf of the Company in all matters necessary, desirable, convenient or incidental to the purpose of the Company. The Member is an agent of the Company’s business and the actions of the Member taken in such capacity and in accordance with this Agreement shall bind the Company. The Member shall be the sole Person with the power to bind the Company except and to the extent that such power is expressly delegated to any other Person by the Member in this Agreement or in writing or by oral communication, and such delegation shall not cause the Member to cease to be the Member.</w:t>
      </w:r>
    </w:p>
    <w:p>
      <w:pPr>
        <w:spacing w:after="0" w:line="9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Election of Officers</w:t>
      </w:r>
      <w:r>
        <w:rPr>
          <w:rFonts w:ascii="Arial" w:cs="Arial" w:eastAsia="Arial" w:hAnsi="Arial"/>
          <w:sz w:val="18"/>
          <w:szCs w:val="18"/>
          <w:color w:val="auto"/>
        </w:rPr>
        <w:t>. The Member in its sole discretion may, from time to time, appoint any individuals as officers with such duties, authorities, responsibilities and titles as the Member may deem appropriate. Such officers shall serve until their successors are duly appointed by the Member or until their earlier removal or resignation. Any officer appointed by the Member may be removed at any time by the Member and any vacancy in any office shall be filled by the Member.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9" w:right="259" w:bottom="1440" w:gutter="0" w:footer="0" w:header="0"/>
        </w:sectPr>
      </w:pPr>
    </w:p>
    <w:bookmarkStart w:id="378" w:name="page379"/>
    <w:bookmarkEnd w:id="378"/>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Arial" w:cs="Arial" w:eastAsia="Arial" w:hAnsi="Arial"/>
          <w:sz w:val="16"/>
          <w:szCs w:val="16"/>
          <w:u w:val="single" w:color="auto"/>
          <w:color w:val="auto"/>
        </w:rPr>
        <w:t>Designation of Authority</w:t>
      </w:r>
      <w:r>
        <w:rPr>
          <w:rFonts w:ascii="Arial" w:cs="Arial" w:eastAsia="Arial" w:hAnsi="Arial"/>
          <w:sz w:val="16"/>
          <w:szCs w:val="16"/>
          <w:color w:val="auto"/>
        </w:rPr>
        <w:t>. The Member may authorize, in a resolution or other writing, one or more Persons or one or more officers or employees of the Company who may, in the name and on behalf of the Company, and in lieu of or in addition to the Member, contract debts or incur liabilities, and sign contracts or agreements (including, without limitation, instruments and documents providing for the acquisition, mortgage or disposition of property of the Company), and may authorize the use of facsimile signatures of any such Persons, officers or employees.</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Transfer of Interest</w:t>
      </w:r>
      <w:r>
        <w:rPr>
          <w:rFonts w:ascii="Arial" w:cs="Arial" w:eastAsia="Arial" w:hAnsi="Arial"/>
          <w:sz w:val="18"/>
          <w:szCs w:val="18"/>
          <w:color w:val="auto"/>
        </w:rPr>
        <w:t>. The Interest of the Member is personal property, and such Interest may be transferred or assigned, in whole or in part, in the sole discretion of the Member.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CONDUCT AND SEPARATENESS COVENANTS</w:t>
      </w:r>
    </w:p>
    <w:p>
      <w:pPr>
        <w:spacing w:after="0" w:line="15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Company shall conduct business in its own name and hold itself out as a separate entity, and correct any known misunderstanding regarding its separate identity.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DISSOLUTION OF THE COMPANY 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 OF THE INTEREST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Dissolution</w:t>
      </w:r>
      <w:r>
        <w:rPr>
          <w:rFonts w:ascii="Arial" w:cs="Arial" w:eastAsia="Arial" w:hAnsi="Arial"/>
          <w:sz w:val="18"/>
          <w:szCs w:val="18"/>
          <w:color w:val="auto"/>
        </w:rPr>
        <w:t>. The Company shall be dissolved and its affairs wound up as determined by the Member.</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w:t>
      </w:r>
      <w:r>
        <w:rPr>
          <w:rFonts w:ascii="Arial" w:cs="Arial" w:eastAsia="Arial" w:hAnsi="Arial"/>
          <w:sz w:val="18"/>
          <w:szCs w:val="18"/>
          <w:color w:val="auto"/>
        </w:rPr>
        <w:t>. Subject to Section 6.6 and applicable law, the Member may not resign from the Company before the dissolution and winding up of the Company.</w:t>
      </w:r>
    </w:p>
    <w:p>
      <w:pPr>
        <w:spacing w:after="0" w:line="118"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Distribution on Dissolution and Liquidation</w:t>
      </w:r>
      <w:r>
        <w:rPr>
          <w:rFonts w:ascii="Arial" w:cs="Arial" w:eastAsia="Arial" w:hAnsi="Arial"/>
          <w:sz w:val="16"/>
          <w:szCs w:val="16"/>
          <w:color w:val="auto"/>
        </w:rPr>
        <w:t>. In the event of the dissolution of the Company for any reason, the business of the Company shall be continued to the extent necessary to allow an orderly winding up of its affairs, including the liquidation and termination of the Company pursuant to the provisions of this Section 8.3, as promptly as practicable thereafter, and each of the following shall be accomplished:</w:t>
      </w:r>
    </w:p>
    <w:p>
      <w:pPr>
        <w:spacing w:after="0" w:line="12" w:lineRule="exact"/>
        <w:rPr>
          <w:sz w:val="20"/>
          <w:szCs w:val="20"/>
          <w:color w:val="auto"/>
        </w:rPr>
      </w:pPr>
    </w:p>
    <w:p>
      <w:pPr>
        <w:ind w:left="1160" w:hanging="239"/>
        <w:spacing w:after="0"/>
        <w:tabs>
          <w:tab w:leader="none" w:pos="11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Member shall oversee the winding up of the Company’s affairs;</w:t>
      </w:r>
    </w:p>
    <w:p>
      <w:pPr>
        <w:spacing w:after="0" w:line="157"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assets of the Company shall be liquidated as determined by the Member, or the Member may determine not to sell all or any portion of the assets, in which event such assets shall be distributed in kind; and</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proceeds of sale and all other assets of the Company shall be applied and distributed as follows and in the following order of priority:</w:t>
      </w:r>
    </w:p>
    <w:p>
      <w:pPr>
        <w:spacing w:after="0" w:line="99" w:lineRule="exact"/>
        <w:rPr>
          <w:rFonts w:ascii="Arial" w:cs="Arial" w:eastAsia="Arial" w:hAnsi="Arial"/>
          <w:sz w:val="16"/>
          <w:szCs w:val="16"/>
          <w:color w:val="auto"/>
        </w:rPr>
      </w:pPr>
    </w:p>
    <w:p>
      <w:pPr>
        <w:ind w:left="1700" w:hanging="208"/>
        <w:spacing w:after="0"/>
        <w:tabs>
          <w:tab w:leader="none" w:pos="170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to the expenses of liquidation;</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00"/>
          </w:cols>
          <w:pgMar w:left="240" w:top="280" w:right="259" w:bottom="1440" w:gutter="0" w:footer="0" w:header="0"/>
        </w:sectPr>
      </w:pPr>
    </w:p>
    <w:bookmarkStart w:id="379" w:name="page380"/>
    <w:bookmarkEnd w:id="379"/>
    <w:p>
      <w:pPr>
        <w:ind w:left="1760" w:hanging="268"/>
        <w:spacing w:after="0"/>
        <w:tabs>
          <w:tab w:leader="none" w:pos="17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payment of the debts and liabilities of the Company, including any debts and liabilities owed to the Member; and</w:t>
      </w:r>
    </w:p>
    <w:p>
      <w:pPr>
        <w:spacing w:after="0" w:line="157" w:lineRule="exact"/>
        <w:rPr>
          <w:rFonts w:ascii="Arial" w:cs="Arial" w:eastAsia="Arial" w:hAnsi="Arial"/>
          <w:sz w:val="18"/>
          <w:szCs w:val="18"/>
          <w:color w:val="auto"/>
        </w:rPr>
      </w:pPr>
    </w:p>
    <w:p>
      <w:pPr>
        <w:ind w:left="1800" w:hanging="308"/>
        <w:spacing w:after="0"/>
        <w:tabs>
          <w:tab w:leader="none" w:pos="18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balance, if any, to the Member.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LIABILITY, EXCULPATION AND INDEMNIFICATION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Exculpation</w:t>
      </w:r>
      <w:r>
        <w:rPr>
          <w:rFonts w:ascii="Arial" w:cs="Arial" w:eastAsia="Arial" w:hAnsi="Arial"/>
          <w:sz w:val="18"/>
          <w:szCs w:val="18"/>
          <w:color w:val="auto"/>
        </w:rPr>
        <w:t>.</w:t>
      </w:r>
    </w:p>
    <w:p>
      <w:pPr>
        <w:spacing w:after="0" w:line="77" w:lineRule="exact"/>
        <w:rPr>
          <w:sz w:val="20"/>
          <w:szCs w:val="20"/>
          <w:color w:val="auto"/>
        </w:rPr>
      </w:pPr>
    </w:p>
    <w:p>
      <w:pPr>
        <w:ind w:right="80" w:firstLine="921"/>
        <w:spacing w:after="0" w:line="256" w:lineRule="auto"/>
        <w:tabs>
          <w:tab w:leader="none" w:pos="115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 Covered Person shall be liable to the Company for any loss, damage or claim incurred by reason of any act or omission performed or omitted by the Covered Person in good faith on behalf of the Company, except that the Covered Person shall be liable for any such loss, damage or claim if a final adjudication by a court of competent jurisdiction establishes that the Covered Person’s acts or omissions involved intentional misconduct, fraud or a knowing violation of the law and was material to the cause of action.</w:t>
      </w:r>
    </w:p>
    <w:p>
      <w:pPr>
        <w:spacing w:after="0" w:line="129" w:lineRule="exact"/>
        <w:rPr>
          <w:rFonts w:ascii="Arial" w:cs="Arial" w:eastAsia="Arial" w:hAnsi="Arial"/>
          <w:sz w:val="18"/>
          <w:szCs w:val="18"/>
          <w:color w:val="auto"/>
        </w:rPr>
      </w:pPr>
    </w:p>
    <w:p>
      <w:pPr>
        <w:jc w:val="both"/>
        <w:ind w:firstLine="921"/>
        <w:spacing w:after="0" w:line="298" w:lineRule="auto"/>
        <w:tabs>
          <w:tab w:leader="none" w:pos="1162"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including information, opinions, reports or statements as to the value and amount of the assets, liabilities, profits or losses or any other facts pertinent to the existence and amount of assets from which distributions to the Member might properly be paid.</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Fiduciary Duty</w:t>
      </w:r>
      <w:r>
        <w:rPr>
          <w:rFonts w:ascii="Arial" w:cs="Arial" w:eastAsia="Arial" w:hAnsi="Arial"/>
          <w:sz w:val="16"/>
          <w:szCs w:val="16"/>
          <w:color w:val="auto"/>
        </w:rPr>
        <w:t>. To the extent that, at law or in equity, a Covered Person has duties (including fiduciary duties) and liabilities relating thereto to the Company, then, to the fullest extent permitted by applicable law, the Covered Person acting under this Agreement shall not be liable to the Company or the Member for its good faith acts or omissions in reliance on the provisions of this Agreement. The provisions of this Agreement, to the extent that they restrict the duties and liabilities of a Covered Person otherwise existing at law or in equity, replace such other duties and liabilities of the Covered Person.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shall indemnify and hold harmless the Covered Person to the fullest extent permitted by NRS 86.411 to 86.451, inclusive.</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Determination of Right to Indemnification</w:t>
      </w:r>
      <w:r>
        <w:rPr>
          <w:rFonts w:ascii="Arial" w:cs="Arial" w:eastAsia="Arial" w:hAnsi="Arial"/>
          <w:sz w:val="18"/>
          <w:szCs w:val="18"/>
          <w:color w:val="auto"/>
        </w:rPr>
        <w:t>. Any indemnification under Section 9.3, unless ordered by a court or advanced pursuant to Section 9.5 below, shall be made by the Company only as authorized in the specific case upon a determination by the Member, in its sole discretion, that indemnification is proper in the circumstances.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Advance Payment of Expenses</w:t>
      </w:r>
      <w:r>
        <w:rPr>
          <w:rFonts w:ascii="Arial" w:cs="Arial" w:eastAsia="Arial" w:hAnsi="Arial"/>
          <w:sz w:val="18"/>
          <w:szCs w:val="18"/>
          <w:color w:val="auto"/>
        </w:rPr>
        <w:t>. The expenses of the Member incurred in defending a civil or criminal action, suit or proceeding shall be paid by the Company as they are incurred and in advance of the final disposition of the action, suit or proceeding, upon receipt of an undertaking by or on behalf of the Member to repay the amount if it is ultimately determined by a court of competent jurisdiction that the Member is not entitled to be indemnified by the Company. The provisions of this section do not affect any rights to advancement of expenses to which personnel of the Company other than the Member may be entitled under any contract or otherwise by law.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80" w:right="239" w:bottom="1440" w:gutter="0" w:footer="0" w:header="0"/>
        </w:sectPr>
      </w:pPr>
    </w:p>
    <w:bookmarkStart w:id="380" w:name="page381"/>
    <w:bookmarkEnd w:id="380"/>
    <w:p>
      <w:pPr>
        <w:jc w:val="both"/>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9.6 </w:t>
      </w:r>
      <w:r>
        <w:rPr>
          <w:rFonts w:ascii="Arial" w:cs="Arial" w:eastAsia="Arial" w:hAnsi="Arial"/>
          <w:sz w:val="18"/>
          <w:szCs w:val="18"/>
          <w:u w:val="single" w:color="auto"/>
          <w:color w:val="auto"/>
        </w:rPr>
        <w:t>Assets of the Company</w:t>
      </w:r>
      <w:r>
        <w:rPr>
          <w:rFonts w:ascii="Arial" w:cs="Arial" w:eastAsia="Arial" w:hAnsi="Arial"/>
          <w:sz w:val="18"/>
          <w:szCs w:val="18"/>
          <w:color w:val="auto"/>
        </w:rPr>
        <w:t>. Any indemnification under this Article IX shall be satisfied solely out of the assets of the Company. No debt shall be incurred by the Company or the Member in order to provide a source of funds for any indemnity, and the Member shall not have any liability (or any liability to make any additional Capital Contribution) on account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Membership Certificates</w:t>
      </w:r>
      <w:r>
        <w:rPr>
          <w:rFonts w:ascii="Arial" w:cs="Arial" w:eastAsia="Arial" w:hAnsi="Arial"/>
          <w:sz w:val="18"/>
          <w:szCs w:val="18"/>
          <w:color w:val="auto"/>
        </w:rPr>
        <w:t>. The Company shall issue a certificate to the Member to evidence the Interest in the Company. The Member or any officer of the Company may execute such certificate on behalf of the Company.</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Securities Under the UCC</w:t>
      </w:r>
      <w:r>
        <w:rPr>
          <w:rFonts w:ascii="Arial" w:cs="Arial" w:eastAsia="Arial" w:hAnsi="Arial"/>
          <w:sz w:val="16"/>
          <w:szCs w:val="16"/>
          <w:color w:val="auto"/>
        </w:rPr>
        <w:t>. The Interest of a Member shall be considered a “security” as defined in Section 104.8102(1)(o) of the Nevada UCC and Section 8102(a)(15) or other corresponding provisions of the UCC in effect in other applicable jurisdictions, and this statement shall constitute an express provision that each such Interest is a security governed by Article 8 of the UCC, within the meaning of Section 104.8103(3) of the Nevada UCC and Section 8103(c) or other corresponding provisions of the UCC in effect in other applicable jurisdictions, solely for the purposes of establishing the applicability thereto of the provisions of Article 8 governing securities. No Interest of the Member shall be considered a “security” for any other purpose, nor shall this statement be construed to suggest that any such Interest should otherwise be considered a “security.” The Company shall imprint or otherwise place, on any certificate representing the Interest a legend in substantially the following form (in addition to any other legend required by applicable law or otherwise):</w:t>
      </w:r>
    </w:p>
    <w:p>
      <w:pPr>
        <w:spacing w:after="0" w:line="24" w:lineRule="exact"/>
        <w:rPr>
          <w:sz w:val="20"/>
          <w:szCs w:val="20"/>
          <w:color w:val="auto"/>
        </w:rPr>
      </w:pPr>
    </w:p>
    <w:p>
      <w:pPr>
        <w:ind w:left="460" w:right="60"/>
        <w:spacing w:after="0" w:line="287" w:lineRule="auto"/>
        <w:rPr>
          <w:sz w:val="20"/>
          <w:szCs w:val="20"/>
          <w:color w:val="auto"/>
        </w:rPr>
      </w:pPr>
      <w:r>
        <w:rPr>
          <w:rFonts w:ascii="Arial" w:cs="Arial" w:eastAsia="Arial" w:hAnsi="Arial"/>
          <w:sz w:val="16"/>
          <w:szCs w:val="16"/>
          <w:color w:val="auto"/>
        </w:rPr>
        <w:t>“THE OWNERSHIP INTEREST REPRESENTED BY THIS CERTIFICATE SHALL BE CONSIDERED A ‘SECURITY’ AS DEFINED IN SECTION 104.8102(1)(o) OF THE NEVADA UCC AND SECTION 8102(a)(15) OR OTHER CORRESPONDING PROVISIONS OF THE UCC IN ANY OTHER APPLICABLE STATE OR JURISDICTION, AND THIS STATEMENT SHALL CONSTITUTE AN EXPRESS PROVISION THAT THE OWNERSHIP INTEREST REPRESENTED BY THIS CERTIFICATE IS A SECURITY GOVERNED BY ARTICLE 8 OF THE UCC, WITHIN THE MEANING OF SECTION 104.8103(3) OF THE NEVADA UCC AND SECTION 8103(c) OR OTHER CORRESPONDING PROVISIONS OF THE UCC IN ANY OTHER APPLICABLE STATE OR JURISDICTION, SOLELY FOR THE PURPOSES OF ESTABLISHING THE APPLICABILITY THERETO OF THE PROVISIONS OF ARTICLE 8 GOVERNING SECURITIES. THE OWNERSHIP INTEREST REPRESENTED BY THIS CERTIFICATE SHALL NOT BE CONSIDERED A ‘SECURITY’ FOR ANY OTHER PURPOSE, NOR SHALL THIS STATEMENT BE CONSTRUED TO SUGGEST THAT THE OWNERSHIP INTEREST REPRESENTED BY THIS CERTIFICATE SHOULD OTHERWISE BE CONSIDERED A ‘SECURITY.’ FOR PURPOSES HEREOF, ‘UCC’ SHALL MEAN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79" w:right="279" w:bottom="1440" w:gutter="0" w:footer="0" w:header="0"/>
        </w:sectPr>
      </w:pPr>
    </w:p>
    <w:bookmarkStart w:id="381" w:name="page382"/>
    <w:bookmarkEnd w:id="381"/>
    <w:p>
      <w:pPr>
        <w:ind w:left="46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UNIFORM COMMERCIAL CODE AS ENACTED AND IN EFFECT IN THE STATE OF NEVADA AND ANY OTHER APPLICABLE STATE OR JURISDICTION.”</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may purchase and maintain insurance, to the extent and in such amounts as the Member shall, in its sole discretion, deem reasonable, on behalf of such Persons as the Member shall determine, against any liability that may be asserted against or expenses that may be incurred by any such Person in connection with the activities of the Company.</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Agreement, including any schedules or exhibits hereto, together with the Articles to the extent referenced herein, constitutes the complete and exclusive agreement and understanding of the Member with respect to the subject matter contained herein. This Agreement and the Articles replace and supersede all prior agreements, negotiations, statements, memoranda and understandings, whether written or oral, by the Member.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only by a writing signed by the Member.</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This Agreement, and the rights and obligations of the Member, shall be interpreted and enforced in accordance with and governed by the laws of the State of Nevada without regard to the conflict laws of that State.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headings in this Agreement are inserted for convenience only and are in no way intended to describe, interpret, define, or limit the scope, extent or intent of this Agreement or any provisions contained herein. In the interpretation of this Agreement, the singular may be read as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the neuter gender as the masculine or feminine, and</w:t>
      </w:r>
      <w:r>
        <w:rPr>
          <w:rFonts w:ascii="Arial" w:cs="Arial" w:eastAsia="Arial" w:hAnsi="Arial"/>
          <w:sz w:val="18"/>
          <w:szCs w:val="18"/>
          <w:i w:val="1"/>
          <w:iCs w:val="1"/>
          <w:color w:val="auto"/>
        </w:rPr>
        <w:t xml:space="preserve"> vice versa</w:t>
      </w:r>
      <w:r>
        <w:rPr>
          <w:rFonts w:ascii="Arial" w:cs="Arial" w:eastAsia="Arial" w:hAnsi="Arial"/>
          <w:sz w:val="18"/>
          <w:szCs w:val="18"/>
          <w:color w:val="auto"/>
        </w:rPr>
        <w:t>, and the future tense as the past or present, and</w:t>
      </w:r>
      <w:r>
        <w:rPr>
          <w:rFonts w:ascii="Arial" w:cs="Arial" w:eastAsia="Arial" w:hAnsi="Arial"/>
          <w:sz w:val="18"/>
          <w:szCs w:val="18"/>
          <w:i w:val="1"/>
          <w:iCs w:val="1"/>
          <w:color w:val="auto"/>
        </w:rPr>
        <w:t xml:space="preserve"> vice versa</w:t>
      </w:r>
      <w:r>
        <w:rPr>
          <w:rFonts w:ascii="Arial" w:cs="Arial" w:eastAsia="Arial" w:hAnsi="Arial"/>
          <w:sz w:val="18"/>
          <w:szCs w:val="18"/>
          <w:color w:val="auto"/>
        </w:rPr>
        <w:t>, all interchangeably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context may require in order to fully effectuate the intent of the Member and the transactions contemplated herein. Syntax shall yield to the substance of the terms and provisions hereof.</w:t>
      </w:r>
    </w:p>
    <w:p>
      <w:pPr>
        <w:spacing w:after="0" w:line="12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Facsimile Copies</w:t>
      </w:r>
      <w:r>
        <w:rPr>
          <w:rFonts w:ascii="Arial" w:cs="Arial" w:eastAsia="Arial" w:hAnsi="Arial"/>
          <w:sz w:val="18"/>
          <w:szCs w:val="18"/>
          <w:color w:val="auto"/>
        </w:rPr>
        <w:t>. Facsimile copies of this Agreement or any approval or written consent of the Member, and facsimile signatures hereon or thereon, shall have the same force and effect as originals.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any application thereof, is held by a court of competent jurisdiction to be invalid, void, illegal or unenforceable to any extent, that provision, or application thereof, shall be deemed severable and the remainder of this Agreement, and all other applications of such provision, shall not be affected, impaired or invalidated thereby, and shall continue in full force and effect to the fullest extent permitted by law.</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Waivers</w:t>
      </w:r>
      <w:r>
        <w:rPr>
          <w:rFonts w:ascii="Arial" w:cs="Arial" w:eastAsia="Arial" w:hAnsi="Arial"/>
          <w:sz w:val="18"/>
          <w:szCs w:val="18"/>
          <w:color w:val="auto"/>
        </w:rPr>
        <w:t>. No waiver of any of the provisions of this Agreement shall be deemed, or shall constitute, a waiver of any other provision, whether or not similar, nor shall any waiver constitute a continuing waiver, and no waiver shall be binding unless evidenced by an instrument in writing and executed by the Member.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80" w:right="259" w:bottom="1440" w:gutter="0" w:footer="0" w:header="0"/>
        </w:sectPr>
      </w:pPr>
    </w:p>
    <w:bookmarkStart w:id="382" w:name="page383"/>
    <w:bookmarkEnd w:id="382"/>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10.11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adopted solely by and for the benefit of the Member and its successors and assigns, and, except as set forth in Article IX hereof, no other Person shall have any rights, interest or claims hereunder or be entitled to any benefits under or on account of this Agreement as a third party beneficiary or otherwise.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appears on the following page</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40"/>
          </w:cols>
          <w:pgMar w:left="240" w:top="279" w:right="419"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Member has executed and adopted this Agreement as of the Effective Date.</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80010</wp:posOffset>
            </wp:positionV>
            <wp:extent cx="214376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1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Senior Vice President</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9759"/>
          </w:cols>
          <w:pgMar w:left="700" w:top="280" w:right="1440" w:bottom="1440" w:gutter="0" w:footer="0" w:header="0"/>
        </w:sectPr>
      </w:pPr>
    </w:p>
    <w:bookmarkStart w:id="384" w:name="page385"/>
    <w:bookmarkEnd w:id="384"/>
    <w:p>
      <w:pPr>
        <w:ind w:left="52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ectPr>
          <w:pgSz w:w="11900" w:h="16838" w:orient="portrait"/>
          <w:cols w:equalWidth="0" w:num="1">
            <w:col w:w="10219"/>
          </w:cols>
          <w:pgMar w:left="240" w:top="280" w:right="1440"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Member’s Name: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Wynn Las Vegas, LLC</w:t>
      </w:r>
    </w:p>
    <w:p>
      <w:pPr>
        <w:spacing w:after="0" w:line="151" w:lineRule="exact"/>
        <w:rPr>
          <w:sz w:val="20"/>
          <w:szCs w:val="20"/>
          <w:color w:val="auto"/>
        </w:rPr>
      </w:pPr>
    </w:p>
    <w:p>
      <w:pPr>
        <w:sectPr>
          <w:pgSz w:w="11900" w:h="16838" w:orient="portrait"/>
          <w:cols w:equalWidth="0" w:num="2">
            <w:col w:w="5240" w:space="720"/>
            <w:col w:w="42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Member’s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3131 Las Vegas Boulevard South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24" w:lineRule="exact"/>
        <w:rPr>
          <w:sz w:val="20"/>
          <w:szCs w:val="20"/>
          <w:color w:val="auto"/>
        </w:rPr>
      </w:pPr>
    </w:p>
    <w:p>
      <w:pPr>
        <w:sectPr>
          <w:pgSz w:w="11900" w:h="16838" w:orient="portrait"/>
          <w:cols w:equalWidth="0" w:num="2">
            <w:col w:w="5240" w:space="720"/>
            <w:col w:w="42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Member’s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w:t>
      </w:r>
    </w:p>
    <w:p>
      <w:pPr>
        <w:spacing w:after="0" w:line="192" w:lineRule="exact"/>
        <w:rPr>
          <w:sz w:val="20"/>
          <w:szCs w:val="20"/>
          <w:color w:val="auto"/>
        </w:rPr>
      </w:pPr>
    </w:p>
    <w:p>
      <w:pPr>
        <w:sectPr>
          <w:pgSz w:w="11900" w:h="16838" w:orient="portrait"/>
          <w:cols w:equalWidth="0" w:num="2">
            <w:col w:w="5240" w:space="720"/>
            <w:col w:w="4259"/>
          </w:cols>
          <w:pgMar w:left="240" w:top="280" w:right="1440" w:bottom="1440" w:gutter="0" w:footer="0" w:header="0"/>
          <w:type w:val="continuous"/>
        </w:sectPr>
      </w:pPr>
    </w:p>
    <w:p>
      <w:pPr>
        <w:ind w:left="5560"/>
        <w:spacing w:after="0"/>
        <w:rPr>
          <w:sz w:val="20"/>
          <w:szCs w:val="20"/>
          <w:color w:val="auto"/>
        </w:rPr>
      </w:pPr>
      <w:r>
        <w:rPr>
          <w:rFonts w:ascii="Arial" w:cs="Arial" w:eastAsia="Arial" w:hAnsi="Arial"/>
          <w:sz w:val="16"/>
          <w:szCs w:val="16"/>
          <w:color w:val="auto"/>
        </w:rPr>
        <w:t>- 1 -</w:t>
      </w:r>
    </w:p>
    <w:p>
      <w:pPr>
        <w:sectPr>
          <w:pgSz w:w="11900" w:h="16838" w:orient="portrait"/>
          <w:cols w:equalWidth="0" w:num="1">
            <w:col w:w="10219"/>
          </w:cols>
          <w:pgMar w:left="240" w:top="280" w:right="1440" w:bottom="1440" w:gutter="0" w:footer="0" w:header="0"/>
          <w:type w:val="continuous"/>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t>Exhibit 5.1</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13,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5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Re: Wynn Las Vegas Capital Corp., Wynn Las Vegas, LLC Registration Statement on Form S-4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80" w:firstLine="913"/>
        <w:spacing w:after="0" w:line="254" w:lineRule="auto"/>
        <w:rPr>
          <w:sz w:val="20"/>
          <w:szCs w:val="20"/>
          <w:color w:val="auto"/>
        </w:rPr>
      </w:pPr>
      <w:r>
        <w:rPr>
          <w:rFonts w:ascii="Arial" w:cs="Arial" w:eastAsia="Arial" w:hAnsi="Arial"/>
          <w:sz w:val="17"/>
          <w:szCs w:val="17"/>
          <w:color w:val="auto"/>
        </w:rPr>
        <w:t xml:space="preserve">We have acted as special counsel to Wynn Las Vegas, LLC, a Nevada limited liability company, and Wynn Las Vegas Capital Corp., a Nevada corporation (collectively, the “Issuers”), and each of the entities listed on Schedule I hereto (collectively, the “Guarantors”) in connection with the public offering of up to $1,300,000,000 aggregate principal amount of the Issuers’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First Mortgage Notes due 2014 (the “Exchange Notes”). The Indenture, dated as of December 14, 2004 (the “Indenture”), among the Issuers, the Guarantors and U.S. Bank National Association, as trustee, provides for the guarantee of the Exchange Notes by the Guarantors (the “Guarantees”) to the extent set forth in the Indenture. The Exchange Notes and the Guarantees are to be offered (the “Exchange Offer”) in exchange for a like principal amount of the issued and outstanding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First Mortgage Notes due 2014 of the Issuers and the guarantees thereof by the Guarantors (the “Original Notes”), as contemplated by the Registration Rights Agreement, dated as of December 14, 2004 (the “Registration Rights Agreement”), by and among the Issuers, the Guarantors, Deutsche Bank Securities Inc., Banc of America Securities LLC, Bear, Stearns &amp; Co. Inc., J.P. Morgan Securities Inc. and SG Americas Securities, LLC.</w:t>
      </w:r>
    </w:p>
    <w:p>
      <w:pPr>
        <w:sectPr>
          <w:pgSz w:w="11900" w:h="16838" w:orient="portrait"/>
          <w:cols w:equalWidth="0" w:num="1">
            <w:col w:w="11420"/>
          </w:cols>
          <w:pgMar w:left="240" w:top="125" w:right="239" w:bottom="1440" w:gutter="0" w:footer="0" w:header="0"/>
        </w:sectPr>
      </w:pPr>
    </w:p>
    <w:bookmarkStart w:id="386" w:name="page387"/>
    <w:bookmarkEnd w:id="3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13,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as amended (the “Act”).</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In connection with this opinion, we have examined originals or copies, certified or otherwise identified to our satisfaction, of (i) the registration statement on Form S-4 of the Issuers and the Guarantors relating to the Exchange Notes and the Guarantees, as filed with the Securities and Exchange Commission (the “Commission”) on the date hereof (such registration statement being hereinafter referred to as the “Registration Statement”); (ii) an executed copy of the Registration Rights Agreement; (iii) an executed copy of the Indenture; (iv) the form of the Exchange Notes; and (v) the form of the Guarantees. We have also examined originals or copies, certified or otherwise identified to our satisfaction, of such records of the Issuers and the Guarantors and such agreements, certificates of public officials, certificates of officers or other representatives of the Issuers, the Guarantors and others, and such other documents, certificates and records as we have deemed necessary or appropriate as a basis for the opinions set forth herein.</w:t>
      </w:r>
    </w:p>
    <w:p>
      <w:pPr>
        <w:spacing w:after="0" w:line="105"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conformed or photostatic copies and the authenticity of the originals of such latter documents. In making our examination of executed documents, we have assumed that the parties thereto had or will have the power, corporate or other, to enter into and perform all obligations thereunder and have also assumed the due authorization by all requisite action, corporate or other, and the execution and delivery by such parties of such documents and, except as set forth below, the validity and binding effect thereof on such parties. We have also assumed that each of the Issuers and the Guarantors has been duly organized and is validly existing in good standing under the laws of its jurisdiction of organization and that each such Issuer and Guarantor has complied with all aspects of applicable laws of jurisdictions other than Opined on Law (as defined below). As to any facts material to the opinions expressed herein that we did not independently establish or verify, we have relied upon statements and representations of officers and other representatives of the Issuers, the Guarantors and others and of public officials.</w:t>
      </w:r>
    </w:p>
    <w:p>
      <w:pPr>
        <w:sectPr>
          <w:pgSz w:w="11900" w:h="16838" w:orient="portrait"/>
          <w:cols w:equalWidth="0" w:num="1">
            <w:col w:w="11420"/>
          </w:cols>
          <w:pgMar w:left="240" w:top="280" w:right="239" w:bottom="1440" w:gutter="0" w:footer="0" w:header="0"/>
        </w:sectPr>
      </w:pPr>
    </w:p>
    <w:bookmarkStart w:id="387" w:name="page388"/>
    <w:bookmarkEnd w:id="3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13,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Our opinions set forth herein are limited to the laws of the State of New York that, in our experience, are applicable to transactions of the type covered by the Exchange Offer and, to the extent that judicial or regulatory orders or decrees or consents, approvals, licenses, authorizations, validations, filings, recordings or registrations with governmental authorities are relevant, to those required under such laws (all of the foregoing being referred to as “Opined on Law”). We do not express any opinion with respect to the law of any jurisdiction other than Opined on Law or as to the effect of any such law (other than Opined on Law) on the opinions herein stated.</w:t>
      </w:r>
    </w:p>
    <w:p>
      <w:pPr>
        <w:spacing w:after="0" w:line="129"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Based upon the foregoing and subject to the limitations, qualifications, exceptions and assumptions set forth herein, we are of the opinion that when the Exchange Notes and the Guarantees (in the forms examined by us) have been duly executed and authenticated in accordance with the terms of the Indenture and have been delivered upon consummation of the Exchange Offer against receipt of Original Notes surrendered in exchange therefor in accordance with the terms of the Exchange Offer, the Exchange Notes and the Guarantees will constitute valid and binding obligations of each of the Issuers and each of the Guarantors, respectively, enforceable against each of the Issuers and each of the Guarantors, respectively, in accordance with their terms, except to the extent that enforcement thereof may be limited by (i) bankruptcy, insolvency, reorganization, moratorium, fraudulent conveyance or other similar laws now or hereafter in effect relating to creditors’ rights generally and (ii) general principles of equity (regardless of whether enforceability is considered in a proceeding in equity or at law).</w:t>
      </w:r>
    </w:p>
    <w:p>
      <w:pPr>
        <w:spacing w:after="0" w:line="10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In rendering the opinion set forth above, we have assumed that the execution and delivery by each of the Issuers and each of the Guarantors of the Indenture, the Exchange Notes and the Guarantees, as applicable, and the performance by each of the Issuers and each of the Guarantors of their obligations thereunder do not and will not violate, conflict with or constitute a default under any agreement or instrument to which any of the Issuers or any of the Guarantors or their properties is subject.</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hereby consent to the filing of this opinion with the Commission as an exhibit to the Registration Statement. We also consent to the reference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w:t>
      </w:r>
    </w:p>
    <w:p>
      <w:pPr>
        <w:sectPr>
          <w:pgSz w:w="11900" w:h="16838" w:orient="portrait"/>
          <w:cols w:equalWidth="0" w:num="1">
            <w:col w:w="11400"/>
          </w:cols>
          <w:pgMar w:left="240" w:top="279" w:right="25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13,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firm under the caption “Legal Matters” in the prospectus included in the Registration Statement. In giving this consent, we do not thereby admit that we are included in the category of persons whose consent is required under Section 7 of the Act or the rules and regulations of the Commission.</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Skadden, Arps, Slate, Meagher &amp; Flom LLP</w:t>
      </w:r>
    </w:p>
    <w:p>
      <w:pPr>
        <w:sectPr>
          <w:pgSz w:w="11900" w:h="16838" w:orient="portrait"/>
          <w:cols w:equalWidth="0" w:num="1">
            <w:col w:w="10940"/>
          </w:cols>
          <w:pgMar w:left="240" w:top="279" w:right="719" w:bottom="1440" w:gutter="0" w:footer="0" w:header="0"/>
        </w:sectPr>
      </w:pPr>
    </w:p>
    <w:bookmarkStart w:id="389" w:name="page390"/>
    <w:bookmarkEnd w:id="389"/>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GUARANTORS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 a Nevada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Show Performers,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 a Nevada limited liability company</w:t>
      </w:r>
    </w:p>
    <w:p>
      <w:pPr>
        <w:sectPr>
          <w:pgSz w:w="11900" w:h="16838" w:orient="portrait"/>
          <w:cols w:equalWidth="0" w:num="1">
            <w:col w:w="10219"/>
          </w:cols>
          <w:pgMar w:left="240" w:top="274" w:right="1440" w:bottom="1440" w:gutter="0" w:footer="0" w:header="0"/>
        </w:sectPr>
      </w:pPr>
    </w:p>
    <w:bookmarkStart w:id="390" w:name="page391"/>
    <w:bookmarkEnd w:id="390"/>
    <w:p>
      <w:pPr>
        <w:jc w:val="right"/>
        <w:spacing w:after="0"/>
        <w:rPr>
          <w:sz w:val="20"/>
          <w:szCs w:val="20"/>
          <w:color w:val="auto"/>
        </w:rPr>
      </w:pPr>
      <w:r>
        <w:rPr>
          <w:rFonts w:ascii="Arial" w:cs="Arial" w:eastAsia="Arial" w:hAnsi="Arial"/>
          <w:sz w:val="18"/>
          <w:szCs w:val="18"/>
          <w:b w:val="1"/>
          <w:bCs w:val="1"/>
          <w:color w:val="auto"/>
        </w:rPr>
        <w:t>Exhibit 5.2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13,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100" w:firstLine="456"/>
        <w:spacing w:after="0" w:line="261" w:lineRule="auto"/>
        <w:rPr>
          <w:sz w:val="20"/>
          <w:szCs w:val="20"/>
          <w:color w:val="auto"/>
        </w:rPr>
      </w:pPr>
      <w:r>
        <w:rPr>
          <w:rFonts w:ascii="Arial" w:cs="Arial" w:eastAsia="Arial" w:hAnsi="Arial"/>
          <w:sz w:val="17"/>
          <w:szCs w:val="17"/>
          <w:color w:val="auto"/>
        </w:rPr>
        <w:t xml:space="preserve">We have acted as special Nevada counsel to Wynn Las Vegas, LLC, a Nevada limited liability company (the “Company”), Wynn Las Vegas Capital Corp., a Nevada corporation (“Capital Corp.” and, together with the Company, the “Issuers”), Wynn Show Performers, LLC, Wynn Golf, LLC, Las Vegas Jet, LLC, World Travel, LLC, and Wynn Sunrise, LLC, each a Nevada limited liability company (collectively, the “Guarantors”), in connection with the filing of the Issuers’ Registration Statement on Form S-4 (the “Registration Statement”) with the Securities and Exchange Commission (the “Commission”) under the Securities Act of 1933, as amended (the “Act”), covering the registration of $1,300,000,000 aggregate principal amount of the Issuers’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First Mortgage Notes due 2014 (the “Exchange Notes”), and the guarantees of the Exchange Notes by the Guarantors (the “Note Guarantees” and together with the Exchange Notes, the “Securities”), issued under the Indenture, dated as of December 14, 2004, by and among the Issuers, the Guarantors and U.S. Bank National Association, as trustee (the “Indenture”),</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our capacity as such counsel, we are familiar with the proceedings taken and proposed to be taken by the Issuers and the Guarantors in connection with the authorization and issuance of the Securities, all as referenced in the Registration Statement. For purposes of this opinion, we have assumed all proceedings will be timely completed in the manner presently proposed and the terms of such issuance will be in compliance with applicable laws.</w:t>
      </w:r>
    </w:p>
    <w:p>
      <w:pPr>
        <w:spacing w:after="0" w:line="9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made such legal and factual examinations and inquiries, including an examination of originals or copies certified or otherwise identified to our satisfaction as such documents, agreements, instruments and corporate records, as we have deemed necessary or appropriate for the purposes of this opinion. We have also obtained from officers and other representatives and agents of the Issuers and the Guarantors and from public officials, and have relied upon, such certificates, representations and assurances as we have deemed necessary and appropriate for the purpose of this rendering this opinion.</w:t>
      </w:r>
    </w:p>
    <w:p>
      <w:pPr>
        <w:sectPr>
          <w:pgSz w:w="11900" w:h="16838" w:orient="portrait"/>
          <w:cols w:equalWidth="0" w:num="1">
            <w:col w:w="11420"/>
          </w:cols>
          <w:pgMar w:left="240" w:top="125" w:right="239" w:bottom="1440" w:gutter="0" w:footer="0" w:header="0"/>
        </w:sectPr>
      </w:pPr>
    </w:p>
    <w:bookmarkStart w:id="391" w:name="page392"/>
    <w:bookmarkEnd w:id="3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13,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Without limiting the generality of the foregoing, in our examination, we have, with your permission, assumed without independent verification, that (i) the obligations of each party set forth in the Indenture, the Notes and the Note Guarantees are its valid and binding obligations, enforceable in accordance with their respective terms; (ii) each document we reviewed has been duly executed and delivered by the parties thereto other than the Issuers and the Guarantors to the extent due execution and delivery are prerequisites to the effectiveness thereof; (iii) each natural person executing a document has sufficient legal capacity to do so; (iv) all documents submitted to us as originals are authentic, the signatures on all documents that we examined are genuine, and all documents submitted to us as certified, conformed, photostatic, electronic or facsimile copies conform to the original document; (v) there are no oral or written modifications of or amendments to the documents we have examined and there has been no waiver of any of the provisions thereof, by actions or conduct of the parties or otherwise; and (vi) all corporate records made available to us by the Issuers and the Guarantors and all public records we have reviewed are accurate and complete.</w:t>
      </w:r>
    </w:p>
    <w:p>
      <w:pPr>
        <w:spacing w:after="0" w:line="9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qualified to practice law in the State of Nevada. The opinions set forth herein are expressly limited to the effect of the general corporate laws of the State of Nevada as in effect as of the date hereof and we do not purport to be experts on, or to express any opinion herein concerning, or to assume any responsibility as to the applicability to or the effect on any of the matters covered herein of, the laws of any other jurisdiction or, in the case of Nevada, any other laws, including any matters of municipal law or the laws of any local agencies within any state. We express no opinion concerning, and we assume no responsibility as to laws or judicial decisions related to, or any orders, consents or other authorizations or approvals as may be required by, any federal law, including any federal securities law, or any state securities or “blue sky” laws.</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Based on the foregoing, and in reliance thereon, and having regard to legal considerations and other information that we deem relevant, we are of the opinion that the Securities have been duly authorized by the Issuers and the Guarantors, as applicable.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Issuers, the Guarantors or the Securities.</w:t>
      </w:r>
    </w:p>
    <w:p>
      <w:pPr>
        <w:sectPr>
          <w:pgSz w:w="11900" w:h="16838" w:orient="portrait"/>
          <w:cols w:equalWidth="0" w:num="1">
            <w:col w:w="11420"/>
          </w:cols>
          <w:pgMar w:left="240" w:top="280" w:right="239" w:bottom="1440" w:gutter="0" w:footer="0" w:header="0"/>
        </w:sectPr>
      </w:pPr>
    </w:p>
    <w:bookmarkStart w:id="392" w:name="page393"/>
    <w:bookmarkEnd w:id="3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13,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consent to your filing this opinion as an exhibit to the Registration Statement and to the reference to our firm contained under the heading “Legal Matters.” In giving these consents, we do not thereby admit that we are within the category of persons whose consent is required under Section 7 of the Act or the rules and regulations of the Commission promulgated thereunder.</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SCHRECK BRIGNONE</w:t>
      </w:r>
    </w:p>
    <w:p>
      <w:pPr>
        <w:sectPr>
          <w:pgSz w:w="11900" w:h="16838" w:orient="portrait"/>
          <w:cols w:equalWidth="0" w:num="1">
            <w:col w:w="11380"/>
          </w:cols>
          <w:pgMar w:left="240" w:top="279" w:right="279" w:bottom="1440" w:gutter="0" w:footer="0" w:header="0"/>
        </w:sectPr>
      </w:pPr>
    </w:p>
    <w:bookmarkStart w:id="393" w:name="page394"/>
    <w:bookmarkEnd w:id="393"/>
    <w:p>
      <w:pPr>
        <w:jc w:val="right"/>
        <w:spacing w:after="0"/>
        <w:rPr>
          <w:sz w:val="20"/>
          <w:szCs w:val="20"/>
          <w:color w:val="auto"/>
        </w:rPr>
      </w:pPr>
      <w:r>
        <w:rPr>
          <w:rFonts w:ascii="Arial" w:cs="Arial" w:eastAsia="Arial" w:hAnsi="Arial"/>
          <w:sz w:val="18"/>
          <w:szCs w:val="18"/>
          <w:b w:val="1"/>
          <w:bCs w:val="1"/>
          <w:color w:val="auto"/>
        </w:rPr>
        <w:t>Exhibit 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EMPLOYMENT AGREEMENT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w:t>
      </w:r>
    </w:p>
    <w:p>
      <w:pPr>
        <w:spacing w:after="0" w:line="15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 by and between -</w:t>
      </w:r>
    </w:p>
    <w:p>
      <w:pPr>
        <w:spacing w:after="0" w:line="15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(“Employer”)</w:t>
      </w:r>
    </w:p>
    <w:p>
      <w:pPr>
        <w:spacing w:after="0" w:line="15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152"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DAVID SISK</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170180</wp:posOffset>
            </wp:positionV>
            <wp:extent cx="124333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as of September 16,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124460</wp:posOffset>
            </wp:positionV>
            <wp:extent cx="725043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94" w:name="page395"/>
    <w:bookmarkEnd w:id="394"/>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AGREEMENT</w:t>
      </w:r>
    </w:p>
    <w:p>
      <w:pPr>
        <w:spacing w:after="0" w:line="152"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16th day of September 2003, by and between</w:t>
      </w:r>
      <w:r>
        <w:rPr>
          <w:rFonts w:ascii="Arial" w:cs="Arial" w:eastAsia="Arial" w:hAnsi="Arial"/>
          <w:sz w:val="18"/>
          <w:szCs w:val="18"/>
          <w:b w:val="1"/>
          <w:bCs w:val="1"/>
          <w:color w:val="auto"/>
        </w:rPr>
        <w:t xml:space="preserve"> WYNN LAS VEGAS, LLC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DAVID SISK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limited liability company duly organized and existing under the laws of the State of Nevada, maintains its principal place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at 3145 Las Vegas Blvd. South, Las Vegas, Nevada, and is engaged in the business of developing and operating a casino resort at such place of business; and,</w:t>
      </w:r>
    </w:p>
    <w:p>
      <w:pPr>
        <w:spacing w:after="0" w:line="127" w:lineRule="exact"/>
        <w:rPr>
          <w:sz w:val="20"/>
          <w:szCs w:val="20"/>
          <w:color w:val="auto"/>
        </w:rPr>
      </w:pPr>
    </w:p>
    <w:p>
      <w:pPr>
        <w:ind w:left="460" w:right="3120"/>
        <w:spacing w:after="0" w:line="475" w:lineRule="auto"/>
        <w:rPr>
          <w:sz w:val="20"/>
          <w:szCs w:val="20"/>
          <w:color w:val="auto"/>
        </w:rPr>
      </w:pPr>
      <w:r>
        <w:rPr>
          <w:rFonts w:ascii="Arial" w:cs="Arial" w:eastAsia="Arial" w:hAnsi="Arial"/>
          <w:sz w:val="16"/>
          <w:szCs w:val="16"/>
          <w:b w:val="1"/>
          <w:bCs w:val="1"/>
          <w:i w:val="1"/>
          <w:iCs w:val="1"/>
          <w:color w:val="auto"/>
        </w:rPr>
        <w:t xml:space="preserve">WHEREAS, </w:t>
      </w:r>
      <w:r>
        <w:rPr>
          <w:rFonts w:ascii="Arial" w:cs="Arial" w:eastAsia="Arial" w:hAnsi="Arial"/>
          <w:sz w:val="16"/>
          <w:szCs w:val="16"/>
          <w:color w:val="auto"/>
        </w:rPr>
        <w:t>in furtherance of its business, Employer has need of qualified, experienced personnel; and,</w:t>
      </w:r>
      <w:r>
        <w:rPr>
          <w:rFonts w:ascii="Arial" w:cs="Arial" w:eastAsia="Arial" w:hAnsi="Arial"/>
          <w:sz w:val="16"/>
          <w:szCs w:val="16"/>
          <w:b w:val="1"/>
          <w:bCs w:val="1"/>
          <w:i w:val="1"/>
          <w:iCs w:val="1"/>
          <w:color w:val="auto"/>
        </w:rPr>
        <w:t xml:space="preserve"> WHEREAS, </w:t>
      </w:r>
      <w:r>
        <w:rPr>
          <w:rFonts w:ascii="Arial" w:cs="Arial" w:eastAsia="Arial" w:hAnsi="Arial"/>
          <w:sz w:val="16"/>
          <w:szCs w:val="16"/>
          <w:color w:val="auto"/>
        </w:rPr>
        <w:t>Employee is an adult individual residing at 10008 Laurel Springs, Las Vegas, Nevada 89134; and,</w:t>
      </w:r>
    </w:p>
    <w:p>
      <w:pPr>
        <w:spacing w:after="0" w:line="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and expertise in order to fulfill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employment stated in this Agreement; and,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pacing w:after="0" w:line="118"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pacing w:after="0" w:line="46" w:lineRule="exact"/>
        <w:rPr>
          <w:sz w:val="20"/>
          <w:szCs w:val="20"/>
          <w:color w:val="auto"/>
        </w:rPr>
      </w:pPr>
    </w:p>
    <w:p>
      <w:pPr>
        <w:ind w:right="200" w:firstLine="464"/>
        <w:spacing w:after="0" w:line="268" w:lineRule="auto"/>
        <w:tabs>
          <w:tab w:leader="none" w:pos="632" w:val="left"/>
        </w:tabs>
        <w:numPr>
          <w:ilvl w:val="0"/>
          <w:numId w:val="3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unless a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 clearly appears from the context:</w:t>
      </w:r>
    </w:p>
    <w:p>
      <w:pPr>
        <w:spacing w:after="0" w:line="31" w:lineRule="exact"/>
        <w:rPr>
          <w:rFonts w:ascii="Arial" w:cs="Arial" w:eastAsia="Arial" w:hAnsi="Arial"/>
          <w:sz w:val="18"/>
          <w:szCs w:val="18"/>
          <w:b w:val="1"/>
          <w:bCs w:val="1"/>
          <w:i w:val="1"/>
          <w:iCs w:val="1"/>
          <w:color w:val="auto"/>
        </w:rPr>
      </w:pPr>
    </w:p>
    <w:p>
      <w:pPr>
        <w:ind w:left="460" w:right="220" w:firstLine="443"/>
        <w:spacing w:after="0" w:line="258" w:lineRule="auto"/>
        <w:tabs>
          <w:tab w:leader="none" w:pos="1137" w:val="left"/>
        </w:tabs>
        <w:numPr>
          <w:ilvl w:val="1"/>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w:t>
      </w:r>
    </w:p>
    <w:p>
      <w:pPr>
        <w:sectPr>
          <w:pgSz w:w="11900" w:h="16838" w:orient="portrait"/>
          <w:cols w:equalWidth="0" w:num="1">
            <w:col w:w="11420"/>
          </w:cols>
          <w:pgMar w:left="240" w:top="280" w:right="239" w:bottom="1440" w:gutter="0" w:footer="0" w:header="0"/>
        </w:sectPr>
      </w:pPr>
    </w:p>
    <w:bookmarkStart w:id="395" w:name="page396"/>
    <w:bookmarkEnd w:id="395"/>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individual, partnership, trust or other entity or association, the possession, directly or indirectly, of the power to direct or cause the direction of the management or policies of the controlled entity.</w:t>
      </w:r>
    </w:p>
    <w:p>
      <w:pPr>
        <w:spacing w:after="0" w:line="31" w:lineRule="exact"/>
        <w:rPr>
          <w:sz w:val="20"/>
          <w:szCs w:val="20"/>
          <w:color w:val="auto"/>
        </w:rPr>
      </w:pPr>
    </w:p>
    <w:p>
      <w:pPr>
        <w:ind w:left="700" w:hanging="257"/>
        <w:spacing w:after="0"/>
        <w:tabs>
          <w:tab w:leader="none" w:pos="7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 - means each anniversary date of the Effective Date during the Term (as defined in Paragraph 5 hereof).</w:t>
      </w:r>
    </w:p>
    <w:p>
      <w:pPr>
        <w:spacing w:after="0" w:line="76" w:lineRule="exact"/>
        <w:rPr>
          <w:rFonts w:ascii="Arial" w:cs="Arial" w:eastAsia="Arial" w:hAnsi="Arial"/>
          <w:sz w:val="18"/>
          <w:szCs w:val="18"/>
          <w:color w:val="auto"/>
        </w:rPr>
      </w:pPr>
    </w:p>
    <w:p>
      <w:pPr>
        <w:ind w:left="680" w:hanging="237"/>
        <w:spacing w:after="0"/>
        <w:tabs>
          <w:tab w:leader="none" w:pos="6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82" w:lineRule="exact"/>
        <w:rPr>
          <w:rFonts w:ascii="Arial" w:cs="Arial" w:eastAsia="Arial" w:hAnsi="Arial"/>
          <w:sz w:val="18"/>
          <w:szCs w:val="18"/>
          <w:color w:val="auto"/>
        </w:rPr>
      </w:pPr>
    </w:p>
    <w:p>
      <w:pPr>
        <w:ind w:left="1100" w:hanging="219"/>
        <w:spacing w:after="0"/>
        <w:tabs>
          <w:tab w:leader="none" w:pos="1100" w:val="left"/>
        </w:tabs>
        <w:numPr>
          <w:ilvl w:val="2"/>
          <w:numId w:val="306"/>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99" w:lineRule="exact"/>
        <w:rPr>
          <w:rFonts w:ascii="Arial" w:cs="Arial" w:eastAsia="Arial" w:hAnsi="Arial"/>
          <w:sz w:val="16"/>
          <w:szCs w:val="16"/>
          <w:color w:val="auto"/>
        </w:rPr>
      </w:pPr>
    </w:p>
    <w:p>
      <w:pPr>
        <w:ind w:left="460" w:right="60" w:firstLine="421"/>
        <w:spacing w:after="0" w:line="268" w:lineRule="auto"/>
        <w:tabs>
          <w:tab w:leader="none" w:pos="1138" w:val="left"/>
        </w:tabs>
        <w:numPr>
          <w:ilvl w:val="2"/>
          <w:numId w:val="306"/>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and/or not related to Employer or an Affiliate);</w:t>
      </w:r>
    </w:p>
    <w:p>
      <w:pPr>
        <w:spacing w:after="0" w:line="37" w:lineRule="exact"/>
        <w:rPr>
          <w:rFonts w:ascii="Arial" w:cs="Arial" w:eastAsia="Arial" w:hAnsi="Arial"/>
          <w:sz w:val="18"/>
          <w:szCs w:val="18"/>
          <w:color w:val="auto"/>
        </w:rPr>
      </w:pPr>
    </w:p>
    <w:p>
      <w:pPr>
        <w:ind w:left="460" w:firstLine="421"/>
        <w:spacing w:after="0" w:line="325" w:lineRule="auto"/>
        <w:tabs>
          <w:tab w:leader="none" w:pos="1187" w:val="left"/>
        </w:tabs>
        <w:numPr>
          <w:ilvl w:val="2"/>
          <w:numId w:val="306"/>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and/or not related to Employer or an Affiliate);</w:t>
      </w:r>
    </w:p>
    <w:p>
      <w:pPr>
        <w:spacing w:after="0" w:line="1" w:lineRule="exact"/>
        <w:rPr>
          <w:rFonts w:ascii="Arial" w:cs="Arial" w:eastAsia="Arial" w:hAnsi="Arial"/>
          <w:sz w:val="16"/>
          <w:szCs w:val="16"/>
          <w:color w:val="auto"/>
        </w:rPr>
      </w:pPr>
    </w:p>
    <w:p>
      <w:pPr>
        <w:ind w:left="1180" w:hanging="299"/>
        <w:spacing w:after="0"/>
        <w:tabs>
          <w:tab w:leader="none" w:pos="1180" w:val="left"/>
        </w:tabs>
        <w:numPr>
          <w:ilvl w:val="2"/>
          <w:numId w:val="306"/>
        </w:numPr>
        <w:rPr>
          <w:rFonts w:ascii="Arial" w:cs="Arial" w:eastAsia="Arial" w:hAnsi="Arial"/>
          <w:sz w:val="16"/>
          <w:szCs w:val="16"/>
          <w:color w:val="auto"/>
        </w:rPr>
      </w:pPr>
      <w:r>
        <w:rPr>
          <w:rFonts w:ascii="Arial" w:cs="Arial" w:eastAsia="Arial" w:hAnsi="Arial"/>
          <w:sz w:val="16"/>
          <w:szCs w:val="16"/>
          <w:color w:val="auto"/>
        </w:rPr>
        <w:t>Employee’s breach, neglect, refusal, or failure to materially discharge his duties (other than due to physical or mental illness)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commensurate with his title and function, or Employee’s failure to comply with the lawful directions of Employer, that is not cured within fifteen</w:t>
      </w:r>
    </w:p>
    <w:p>
      <w:pPr>
        <w:spacing w:after="0" w:line="32" w:lineRule="exact"/>
        <w:rPr>
          <w:rFonts w:ascii="Arial" w:cs="Arial" w:eastAsia="Arial" w:hAnsi="Arial"/>
          <w:sz w:val="16"/>
          <w:szCs w:val="16"/>
          <w:color w:val="auto"/>
        </w:rPr>
      </w:pPr>
    </w:p>
    <w:p>
      <w:pPr>
        <w:ind w:left="800" w:hanging="339"/>
        <w:spacing w:after="0"/>
        <w:tabs>
          <w:tab w:leader="none" w:pos="8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days after Employee has received written notice thereof from Employer;</w:t>
      </w:r>
    </w:p>
    <w:p>
      <w:pPr>
        <w:spacing w:after="0" w:line="70" w:lineRule="exact"/>
        <w:rPr>
          <w:rFonts w:ascii="Arial" w:cs="Arial" w:eastAsia="Arial" w:hAnsi="Arial"/>
          <w:sz w:val="18"/>
          <w:szCs w:val="18"/>
          <w:color w:val="auto"/>
        </w:rPr>
      </w:pPr>
    </w:p>
    <w:p>
      <w:pPr>
        <w:ind w:left="1120" w:hanging="239"/>
        <w:spacing w:after="0"/>
        <w:tabs>
          <w:tab w:leader="none" w:pos="112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or an Affiliate’s Board of Directors;</w:t>
      </w:r>
    </w:p>
    <w:p>
      <w:pPr>
        <w:spacing w:after="0" w:line="76" w:lineRule="exact"/>
        <w:rPr>
          <w:rFonts w:ascii="Arial" w:cs="Arial" w:eastAsia="Arial" w:hAnsi="Arial"/>
          <w:sz w:val="18"/>
          <w:szCs w:val="18"/>
          <w:color w:val="auto"/>
        </w:rPr>
      </w:pPr>
    </w:p>
    <w:p>
      <w:pPr>
        <w:ind w:left="460" w:right="620" w:firstLine="421"/>
        <w:spacing w:after="0" w:line="268" w:lineRule="auto"/>
        <w:tabs>
          <w:tab w:leader="none" w:pos="1177" w:val="left"/>
        </w:tabs>
        <w:numPr>
          <w:ilvl w:val="2"/>
          <w:numId w:val="307"/>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or an Affiliate, which does or could result in material harm to Employer or to Employer’s reputation, or that of an Affiliate; or</w:t>
      </w:r>
    </w:p>
    <w:p>
      <w:pPr>
        <w:spacing w:after="0" w:line="37" w:lineRule="exact"/>
        <w:rPr>
          <w:rFonts w:ascii="Arial" w:cs="Arial" w:eastAsia="Arial" w:hAnsi="Arial"/>
          <w:sz w:val="18"/>
          <w:szCs w:val="18"/>
          <w:color w:val="auto"/>
        </w:rPr>
      </w:pPr>
    </w:p>
    <w:p>
      <w:pPr>
        <w:ind w:left="1220" w:hanging="339"/>
        <w:spacing w:after="0"/>
        <w:tabs>
          <w:tab w:leader="none" w:pos="122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 or an Affiliate,</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700" w:top="280" w:right="339" w:bottom="1440" w:gutter="0" w:footer="0" w:header="0"/>
        </w:sectPr>
      </w:pPr>
    </w:p>
    <w:bookmarkStart w:id="396" w:name="page397"/>
    <w:bookmarkEnd w:id="396"/>
    <w:p>
      <w:pPr>
        <w:ind w:left="17" w:right="240"/>
        <w:spacing w:after="0" w:line="268" w:lineRule="auto"/>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herein.</w:t>
      </w:r>
    </w:p>
    <w:p>
      <w:pPr>
        <w:spacing w:after="0" w:line="31" w:lineRule="exact"/>
        <w:rPr>
          <w:sz w:val="20"/>
          <w:szCs w:val="20"/>
          <w:color w:val="auto"/>
        </w:rPr>
      </w:pPr>
    </w:p>
    <w:p>
      <w:pPr>
        <w:ind w:left="257" w:hanging="257"/>
        <w:spacing w:after="0"/>
        <w:tabs>
          <w:tab w:leader="none" w:pos="25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 means the occurrence, after the Effective Date, of any of the following events:</w:t>
      </w:r>
    </w:p>
    <w:p>
      <w:pPr>
        <w:spacing w:after="0" w:line="82" w:lineRule="exact"/>
        <w:rPr>
          <w:rFonts w:ascii="Arial" w:cs="Arial" w:eastAsia="Arial" w:hAnsi="Arial"/>
          <w:sz w:val="18"/>
          <w:szCs w:val="18"/>
          <w:color w:val="auto"/>
        </w:rPr>
      </w:pPr>
    </w:p>
    <w:p>
      <w:pPr>
        <w:ind w:left="17" w:right="60" w:firstLine="421"/>
        <w:spacing w:after="0" w:line="255" w:lineRule="auto"/>
        <w:tabs>
          <w:tab w:leader="none" w:pos="64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Employer, or of any entity resulting from a merger or consolidation involving Employer, representing more than fifty percent (50%) of the combined voting power of the then outstanding securities of Employer or such entity;</w:t>
      </w:r>
    </w:p>
    <w:p>
      <w:pPr>
        <w:spacing w:after="0" w:line="48" w:lineRule="exact"/>
        <w:rPr>
          <w:rFonts w:ascii="Arial" w:cs="Arial" w:eastAsia="Arial" w:hAnsi="Arial"/>
          <w:sz w:val="18"/>
          <w:szCs w:val="18"/>
          <w:color w:val="auto"/>
        </w:rPr>
      </w:pPr>
    </w:p>
    <w:p>
      <w:pPr>
        <w:ind w:left="17" w:firstLine="421"/>
        <w:spacing w:after="0" w:line="289" w:lineRule="auto"/>
        <w:tabs>
          <w:tab w:leader="none" w:pos="696" w:val="left"/>
        </w:tabs>
        <w:numPr>
          <w:ilvl w:val="1"/>
          <w:numId w:val="308"/>
        </w:numPr>
        <w:rPr>
          <w:rFonts w:ascii="Arial" w:cs="Arial" w:eastAsia="Arial" w:hAnsi="Arial"/>
          <w:sz w:val="16"/>
          <w:szCs w:val="16"/>
          <w:color w:val="auto"/>
        </w:rPr>
      </w:pPr>
      <w:r>
        <w:rPr>
          <w:rFonts w:ascii="Arial" w:cs="Arial" w:eastAsia="Arial" w:hAnsi="Arial"/>
          <w:sz w:val="16"/>
          <w:szCs w:val="16"/>
          <w:color w:val="auto"/>
        </w:rPr>
        <w:t xml:space="preserve">the individuals who, as of the time immediately following the closing of Employer’s initial public offering, are members of Employer’s Board of Directors (the “Existing Directors”) cease, for any reason, to constitute more than fifty percent (50%) of the number of authorized directors of Employer as determined in the manner prescribed in Employer’s Articles of Incorporation and Bylaws;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if the election, or nomination for election, by Employer’s stockholders of any new director was approved by a vote of at least fifty percent (50%) of the Existing Directors, such new director shall be considered an Existing Director; </w:t>
      </w:r>
      <w:r>
        <w:rPr>
          <w:rFonts w:ascii="Arial" w:cs="Arial" w:eastAsia="Arial" w:hAnsi="Arial"/>
          <w:sz w:val="16"/>
          <w:szCs w:val="16"/>
          <w:i w:val="1"/>
          <w:iCs w:val="1"/>
          <w:u w:val="single" w:color="auto"/>
          <w:color w:val="auto"/>
        </w:rPr>
        <w:t>provided further</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23" w:lineRule="exact"/>
        <w:rPr>
          <w:rFonts w:ascii="Arial" w:cs="Arial" w:eastAsia="Arial" w:hAnsi="Arial"/>
          <w:sz w:val="16"/>
          <w:szCs w:val="16"/>
          <w:color w:val="auto"/>
        </w:rPr>
      </w:pPr>
    </w:p>
    <w:p>
      <w:pPr>
        <w:ind w:left="17" w:right="20" w:firstLine="421"/>
        <w:spacing w:after="0" w:line="306" w:lineRule="auto"/>
        <w:tabs>
          <w:tab w:leader="none" w:pos="744" w:val="left"/>
        </w:tabs>
        <w:numPr>
          <w:ilvl w:val="1"/>
          <w:numId w:val="308"/>
        </w:numPr>
        <w:rPr>
          <w:rFonts w:ascii="Arial" w:cs="Arial" w:eastAsia="Arial" w:hAnsi="Arial"/>
          <w:sz w:val="16"/>
          <w:szCs w:val="16"/>
          <w:color w:val="auto"/>
        </w:rPr>
      </w:pPr>
      <w:r>
        <w:rPr>
          <w:rFonts w:ascii="Arial" w:cs="Arial" w:eastAsia="Arial" w:hAnsi="Arial"/>
          <w:sz w:val="16"/>
          <w:szCs w:val="16"/>
          <w:color w:val="auto"/>
        </w:rPr>
        <w:t>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w:t>
      </w:r>
    </w:p>
    <w:p>
      <w:pPr>
        <w:spacing w:after="0" w:line="93" w:lineRule="exact"/>
        <w:rPr>
          <w:sz w:val="20"/>
          <w:szCs w:val="20"/>
          <w:color w:val="auto"/>
        </w:rPr>
      </w:pPr>
    </w:p>
    <w:p>
      <w:pPr>
        <w:ind w:left="477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57"/>
          </w:cols>
          <w:pgMar w:left="1143" w:top="280" w:right="299" w:bottom="1440" w:gutter="0" w:footer="0" w:header="0"/>
        </w:sectPr>
      </w:pPr>
    </w:p>
    <w:bookmarkStart w:id="397" w:name="page398"/>
    <w:bookmarkEnd w:id="397"/>
    <w:p>
      <w:pPr>
        <w:ind w:left="4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such transaction or series of related transactions as is referred to in clause (x) or clause (y) above in this subparagraph (iii) (singly or collectively, a “Transaction”) does not otherwise result in a “Change of Control” pursuant to subparagraph (i) of this definition of “Change of Control”;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such Transaction shall constitute a “Change of Control” under this subparagraph (iii) if the Persons who were the stockholders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pacing w:after="0" w:line="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purposes of the foregoing definition of “Change of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40" w:lineRule="exact"/>
        <w:rPr>
          <w:sz w:val="20"/>
          <w:szCs w:val="20"/>
          <w:color w:val="auto"/>
        </w:rPr>
      </w:pPr>
    </w:p>
    <w:p>
      <w:pPr>
        <w:ind w:right="560" w:firstLine="443"/>
        <w:spacing w:after="0" w:line="275" w:lineRule="auto"/>
        <w:tabs>
          <w:tab w:leader="none" w:pos="67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color w:val="auto"/>
        </w:rPr>
        <w:t>” - means the inability of Employee, due to illness or accident or other mental or physical incapacity, to perform his obligations under this Agreement for a period as defined by Employer’s local disability plan or plans.</w:t>
      </w:r>
    </w:p>
    <w:p>
      <w:pPr>
        <w:spacing w:after="0" w:line="25" w:lineRule="exact"/>
        <w:rPr>
          <w:rFonts w:ascii="Arial" w:cs="Arial" w:eastAsia="Arial" w:hAnsi="Arial"/>
          <w:sz w:val="18"/>
          <w:szCs w:val="18"/>
          <w:color w:val="auto"/>
        </w:rPr>
      </w:pPr>
    </w:p>
    <w:p>
      <w:pPr>
        <w:ind w:left="660" w:hanging="217"/>
        <w:spacing w:after="0"/>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October 20, 2003.</w:t>
      </w:r>
    </w:p>
    <w:p>
      <w:pPr>
        <w:spacing w:after="0" w:line="76" w:lineRule="exact"/>
        <w:rPr>
          <w:rFonts w:ascii="Arial" w:cs="Arial" w:eastAsia="Arial" w:hAnsi="Arial"/>
          <w:sz w:val="18"/>
          <w:szCs w:val="18"/>
          <w:color w:val="auto"/>
        </w:rPr>
      </w:pPr>
    </w:p>
    <w:p>
      <w:pPr>
        <w:ind w:right="120" w:firstLine="443"/>
        <w:spacing w:after="0" w:line="262" w:lineRule="auto"/>
        <w:tabs>
          <w:tab w:leader="none" w:pos="68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 means the occurrence,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43" w:lineRule="exact"/>
        <w:rPr>
          <w:rFonts w:ascii="Arial" w:cs="Arial" w:eastAsia="Arial" w:hAnsi="Arial"/>
          <w:sz w:val="18"/>
          <w:szCs w:val="18"/>
          <w:color w:val="auto"/>
        </w:rPr>
      </w:pPr>
    </w:p>
    <w:p>
      <w:pPr>
        <w:ind w:left="1100" w:hanging="219"/>
        <w:spacing w:after="0"/>
        <w:tabs>
          <w:tab w:leader="none" w:pos="11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Subparagraph 7(a) below);</w:t>
      </w:r>
    </w:p>
    <w:p>
      <w:pPr>
        <w:spacing w:after="0" w:line="76" w:lineRule="exact"/>
        <w:rPr>
          <w:rFonts w:ascii="Arial" w:cs="Arial" w:eastAsia="Arial" w:hAnsi="Arial"/>
          <w:sz w:val="18"/>
          <w:szCs w:val="18"/>
          <w:color w:val="auto"/>
        </w:rPr>
      </w:pPr>
    </w:p>
    <w:p>
      <w:pPr>
        <w:ind w:left="460" w:right="220" w:firstLine="421"/>
        <w:spacing w:after="0" w:line="268" w:lineRule="auto"/>
        <w:tabs>
          <w:tab w:leader="none" w:pos="113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Employer discontinues its bonus plan in which Employee participates as in effect without immediately replacing such bonus plan with a plan that is the substantial</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79" w:right="279" w:bottom="1440" w:gutter="0" w:footer="0" w:header="0"/>
        </w:sectPr>
      </w:pPr>
    </w:p>
    <w:bookmarkStart w:id="398" w:name="page399"/>
    <w:bookmarkEnd w:id="398"/>
    <w:p>
      <w:pPr>
        <w:ind w:left="900"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economic equivalent of such bonus plan, or amends such bonus plan so as to materially reduce Employee’s potential bonus at any given level of economic performance of Employer or its successor entity;</w:t>
      </w:r>
    </w:p>
    <w:p>
      <w:pPr>
        <w:spacing w:after="0" w:line="37" w:lineRule="exact"/>
        <w:rPr>
          <w:sz w:val="20"/>
          <w:szCs w:val="20"/>
          <w:color w:val="auto"/>
        </w:rPr>
      </w:pPr>
    </w:p>
    <w:p>
      <w:pPr>
        <w:ind w:left="1620" w:hanging="299"/>
        <w:spacing w:after="0"/>
        <w:tabs>
          <w:tab w:leader="none" w:pos="16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and perquisites to Employee from those being provided;</w:t>
      </w:r>
    </w:p>
    <w:p>
      <w:pPr>
        <w:spacing w:after="0" w:line="76" w:lineRule="exact"/>
        <w:rPr>
          <w:rFonts w:ascii="Arial" w:cs="Arial" w:eastAsia="Arial" w:hAnsi="Arial"/>
          <w:sz w:val="18"/>
          <w:szCs w:val="18"/>
          <w:color w:val="auto"/>
        </w:rPr>
      </w:pPr>
    </w:p>
    <w:p>
      <w:pPr>
        <w:ind w:left="900" w:firstLine="421"/>
        <w:spacing w:after="0" w:line="268" w:lineRule="auto"/>
        <w:tabs>
          <w:tab w:leader="none" w:pos="161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Employer or any of its Affiliates requires Employee to change the location of Employee’s job or office, so that Employee will be based at a location more than 25 miles from the location of Employee’s job or office;</w:t>
      </w:r>
    </w:p>
    <w:p>
      <w:pPr>
        <w:spacing w:after="0" w:line="37" w:lineRule="exact"/>
        <w:rPr>
          <w:rFonts w:ascii="Arial" w:cs="Arial" w:eastAsia="Arial" w:hAnsi="Arial"/>
          <w:sz w:val="18"/>
          <w:szCs w:val="18"/>
          <w:color w:val="auto"/>
        </w:rPr>
      </w:pPr>
    </w:p>
    <w:p>
      <w:pPr>
        <w:ind w:left="900" w:right="900" w:firstLine="421"/>
        <w:spacing w:after="0" w:line="268" w:lineRule="auto"/>
        <w:tabs>
          <w:tab w:leader="none" w:pos="156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or</w:t>
      </w:r>
    </w:p>
    <w:p>
      <w:pPr>
        <w:spacing w:after="0" w:line="37" w:lineRule="exact"/>
        <w:rPr>
          <w:rFonts w:ascii="Arial" w:cs="Arial" w:eastAsia="Arial" w:hAnsi="Arial"/>
          <w:sz w:val="18"/>
          <w:szCs w:val="18"/>
          <w:color w:val="auto"/>
        </w:rPr>
      </w:pPr>
    </w:p>
    <w:p>
      <w:pPr>
        <w:ind w:left="1620" w:hanging="299"/>
        <w:spacing w:after="0"/>
        <w:tabs>
          <w:tab w:leader="none" w:pos="162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successor to Employer fails or refuses expressly to assume in writing the obligations of Employer under this Agreement.</w:t>
      </w:r>
    </w:p>
    <w:p>
      <w:pPr>
        <w:spacing w:after="0" w:line="100" w:lineRule="exact"/>
        <w:rPr>
          <w:sz w:val="20"/>
          <w:szCs w:val="20"/>
          <w:color w:val="auto"/>
        </w:rPr>
      </w:pPr>
    </w:p>
    <w:p>
      <w:pPr>
        <w:ind w:left="440" w:right="24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31" w:lineRule="exact"/>
        <w:rPr>
          <w:sz w:val="20"/>
          <w:szCs w:val="20"/>
          <w:color w:val="auto"/>
        </w:rPr>
      </w:pPr>
    </w:p>
    <w:p>
      <w:pPr>
        <w:ind w:left="1140" w:hanging="257"/>
        <w:spacing w:after="0"/>
        <w:tabs>
          <w:tab w:leader="none" w:pos="114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Separation Payment</w:t>
      </w:r>
      <w:r>
        <w:rPr>
          <w:rFonts w:ascii="Arial" w:cs="Arial" w:eastAsia="Arial" w:hAnsi="Arial"/>
          <w:sz w:val="16"/>
          <w:szCs w:val="16"/>
          <w:color w:val="auto"/>
        </w:rPr>
        <w:t>” - means a sum equal to (A) Employee’s Base Salary (as defined in Subparagraph 7(a) of this Agreement) for the twelve</w:t>
      </w:r>
    </w:p>
    <w:p>
      <w:pPr>
        <w:spacing w:after="0" w:line="44" w:lineRule="exact"/>
        <w:rPr>
          <w:rFonts w:ascii="Arial" w:cs="Arial" w:eastAsia="Arial" w:hAnsi="Arial"/>
          <w:sz w:val="16"/>
          <w:szCs w:val="16"/>
          <w:color w:val="auto"/>
        </w:rPr>
      </w:pPr>
    </w:p>
    <w:p>
      <w:pPr>
        <w:ind w:left="440" w:right="20" w:firstLine="4"/>
        <w:spacing w:after="0" w:line="254" w:lineRule="auto"/>
        <w:tabs>
          <w:tab w:leader="none" w:pos="776" w:val="left"/>
        </w:tabs>
        <w:numPr>
          <w:ilvl w:val="0"/>
          <w:numId w:val="312"/>
        </w:numPr>
        <w:rPr>
          <w:rFonts w:ascii="Arial" w:cs="Arial" w:eastAsia="Arial" w:hAnsi="Arial"/>
          <w:sz w:val="18"/>
          <w:szCs w:val="18"/>
          <w:color w:val="auto"/>
        </w:rPr>
      </w:pPr>
      <w:r>
        <w:rPr>
          <w:rFonts w:ascii="Arial" w:cs="Arial" w:eastAsia="Arial" w:hAnsi="Arial"/>
          <w:sz w:val="18"/>
          <w:szCs w:val="18"/>
          <w:color w:val="auto"/>
        </w:rPr>
        <w:t>months following termination, plus (B) the bonus that was paid to Employee under Subparagraph 7(b) for the preceding bonus period, projected over the twelve (12) months following that bonus period, plus (C) any accrued but unpaid vacation pay, plus (D) any Gross-Up Payment required by Exhibit 1 to this Agreement, which is incorporated herein by reference, said sum to be paid out over twelve (12) months in such weekly, bi-weekly or semi-monthly installments as shall be convenient to Employer.</w:t>
      </w:r>
    </w:p>
    <w:p>
      <w:pPr>
        <w:spacing w:after="0" w:line="130" w:lineRule="exact"/>
        <w:rPr>
          <w:sz w:val="20"/>
          <w:szCs w:val="20"/>
          <w:color w:val="auto"/>
        </w:rPr>
      </w:pPr>
    </w:p>
    <w:p>
      <w:pPr>
        <w:ind w:left="-20" w:right="60" w:firstLine="464"/>
        <w:spacing w:after="0" w:line="294" w:lineRule="auto"/>
        <w:tabs>
          <w:tab w:leader="none" w:pos="612" w:val="left"/>
        </w:tabs>
        <w:numPr>
          <w:ilvl w:val="0"/>
          <w:numId w:val="3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BASIC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 set forth, Employer hereby employs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9" w:right="239" w:bottom="1440" w:gutter="0" w:footer="0" w:header="0"/>
        </w:sectPr>
      </w:pPr>
    </w:p>
    <w:bookmarkStart w:id="399" w:name="page400"/>
    <w:bookmarkEnd w:id="399"/>
    <w:p>
      <w:pPr>
        <w:ind w:left="-20" w:right="20" w:firstLine="464"/>
        <w:spacing w:after="0" w:line="254" w:lineRule="auto"/>
        <w:tabs>
          <w:tab w:leader="none" w:pos="612" w:val="left"/>
        </w:tabs>
        <w:numPr>
          <w:ilvl w:val="0"/>
          <w:numId w:val="3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DUTIES OF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perform such duties assigned to Employee by Employer as are generally associated with the duties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Vice President &amp; Chief Financial Officer </w:t>
      </w:r>
      <w:r>
        <w:rPr>
          <w:rFonts w:ascii="Arial" w:cs="Arial" w:eastAsia="Arial" w:hAnsi="Arial"/>
          <w:sz w:val="18"/>
          <w:szCs w:val="18"/>
          <w:color w:val="auto"/>
        </w:rPr>
        <w:t>for Employer or such similar duties as may be assigned to Employee by Employer as Employer may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duties shall include, but not be limited to: (i) the efficient and continuous operation of Employer and its Affiliates; (ii) the preparation of relevant budgets and allocation or relevant funds; (iii) the selection and delegation of duties and responsibilities of subordinates; (iv) the direction, review and oversight of all programs under Employee’s supervision; and (v) such other and further duties as may be assigned by Employer to Employee from time to time. The foregoing notwithstanding, Employee shall devote such time to Employer’s Affiliates as may be required by Employer, provided such duties are not inconsistent with Employee’s primary duties to Employer hereunder.</w:t>
      </w:r>
    </w:p>
    <w:p>
      <w:pPr>
        <w:spacing w:after="0" w:line="133" w:lineRule="exact"/>
        <w:rPr>
          <w:rFonts w:ascii="Arial" w:cs="Arial" w:eastAsia="Arial" w:hAnsi="Arial"/>
          <w:sz w:val="18"/>
          <w:szCs w:val="18"/>
          <w:b w:val="1"/>
          <w:bCs w:val="1"/>
          <w:i w:val="1"/>
          <w:iCs w:val="1"/>
          <w:color w:val="auto"/>
        </w:rPr>
      </w:pPr>
    </w:p>
    <w:p>
      <w:pPr>
        <w:ind w:left="-20" w:firstLine="464"/>
        <w:spacing w:after="0" w:line="253" w:lineRule="auto"/>
        <w:tabs>
          <w:tab w:leader="none" w:pos="612" w:val="left"/>
        </w:tabs>
        <w:numPr>
          <w:ilvl w:val="0"/>
          <w:numId w:val="3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ACCEPTANCE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hereby unconditionally accepts the employment set forth hereunder,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 Employer hereby authorizes Employee to provide assistance to his former employer on litigation matters that are pending as of the Effective Date and involve that former employer, provided such assistance does not interfere with the performance of Employee’s duties under this Agreement.</w:t>
      </w:r>
    </w:p>
    <w:p>
      <w:pPr>
        <w:spacing w:after="0" w:line="127" w:lineRule="exact"/>
        <w:rPr>
          <w:rFonts w:ascii="Arial" w:cs="Arial" w:eastAsia="Arial" w:hAnsi="Arial"/>
          <w:sz w:val="18"/>
          <w:szCs w:val="18"/>
          <w:b w:val="1"/>
          <w:bCs w:val="1"/>
          <w:i w:val="1"/>
          <w:iCs w:val="1"/>
          <w:color w:val="auto"/>
        </w:rPr>
      </w:pPr>
    </w:p>
    <w:p>
      <w:pPr>
        <w:ind w:left="-20" w:firstLine="464"/>
        <w:spacing w:after="0" w:line="275" w:lineRule="auto"/>
        <w:tabs>
          <w:tab w:leader="none" w:pos="612" w:val="left"/>
        </w:tabs>
        <w:numPr>
          <w:ilvl w:val="0"/>
          <w:numId w:val="3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consist of four (4) years commencing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Date of this Agreement and terminating on the fourth Anniversary of the Effective Date.</w:t>
      </w:r>
    </w:p>
    <w:p>
      <w:pPr>
        <w:spacing w:after="0" w:line="112" w:lineRule="exact"/>
        <w:rPr>
          <w:rFonts w:ascii="Arial" w:cs="Arial" w:eastAsia="Arial" w:hAnsi="Arial"/>
          <w:sz w:val="18"/>
          <w:szCs w:val="18"/>
          <w:b w:val="1"/>
          <w:bCs w:val="1"/>
          <w:i w:val="1"/>
          <w:iCs w:val="1"/>
          <w:color w:val="auto"/>
        </w:rPr>
      </w:pPr>
    </w:p>
    <w:p>
      <w:pPr>
        <w:ind w:left="-20" w:right="260" w:firstLine="464"/>
        <w:spacing w:after="0" w:line="268" w:lineRule="auto"/>
        <w:tabs>
          <w:tab w:leader="none" w:pos="612" w:val="left"/>
        </w:tabs>
        <w:numPr>
          <w:ilvl w:val="0"/>
          <w:numId w:val="3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provisions of Section 5 of this Agreement, this Agreement shall terminate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any of the following events:</w:t>
      </w:r>
    </w:p>
    <w:p>
      <w:pPr>
        <w:spacing w:after="0" w:line="37" w:lineRule="exact"/>
        <w:rPr>
          <w:rFonts w:ascii="Arial" w:cs="Arial" w:eastAsia="Arial" w:hAnsi="Arial"/>
          <w:sz w:val="18"/>
          <w:szCs w:val="18"/>
          <w:b w:val="1"/>
          <w:bCs w:val="1"/>
          <w:i w:val="1"/>
          <w:iCs w:val="1"/>
          <w:color w:val="auto"/>
        </w:rPr>
      </w:pPr>
    </w:p>
    <w:p>
      <w:pPr>
        <w:ind w:left="1120" w:hanging="237"/>
        <w:spacing w:after="0"/>
        <w:tabs>
          <w:tab w:leader="none" w:pos="11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76" w:lineRule="exact"/>
        <w:rPr>
          <w:rFonts w:ascii="Arial" w:cs="Arial" w:eastAsia="Arial" w:hAnsi="Arial"/>
          <w:sz w:val="18"/>
          <w:szCs w:val="18"/>
          <w:color w:val="auto"/>
        </w:rPr>
      </w:pPr>
    </w:p>
    <w:p>
      <w:pPr>
        <w:ind w:left="1140" w:hanging="257"/>
        <w:spacing w:after="0"/>
        <w:tabs>
          <w:tab w:leader="none" w:pos="1140" w:val="left"/>
        </w:tabs>
        <w:numPr>
          <w:ilvl w:val="1"/>
          <w:numId w:val="314"/>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99" w:lineRule="exact"/>
        <w:rPr>
          <w:rFonts w:ascii="Arial" w:cs="Arial" w:eastAsia="Arial" w:hAnsi="Arial"/>
          <w:sz w:val="16"/>
          <w:szCs w:val="16"/>
          <w:color w:val="auto"/>
        </w:rPr>
      </w:pPr>
    </w:p>
    <w:p>
      <w:pPr>
        <w:ind w:left="1120" w:hanging="237"/>
        <w:spacing w:after="0"/>
        <w:tabs>
          <w:tab w:leader="none" w:pos="1120" w:val="left"/>
        </w:tabs>
        <w:numPr>
          <w:ilvl w:val="1"/>
          <w:numId w:val="314"/>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99" w:lineRule="exact"/>
        <w:rPr>
          <w:rFonts w:ascii="Arial" w:cs="Arial" w:eastAsia="Arial" w:hAnsi="Arial"/>
          <w:sz w:val="16"/>
          <w:szCs w:val="16"/>
          <w:color w:val="auto"/>
        </w:rPr>
      </w:pPr>
    </w:p>
    <w:p>
      <w:pPr>
        <w:ind w:left="440" w:right="360" w:firstLine="443"/>
        <w:spacing w:after="0" w:line="332" w:lineRule="auto"/>
        <w:tabs>
          <w:tab w:leader="none" w:pos="1127" w:val="left"/>
        </w:tabs>
        <w:numPr>
          <w:ilvl w:val="1"/>
          <w:numId w:val="314"/>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following a disapproval of this Agreement or the denial, suspension, limitation or revocation of Employee’s License (as defined in Subsection 8(b) of this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400" w:name="page401"/>
    <w:bookmarkEnd w:id="400"/>
    <w:p>
      <w:pPr>
        <w:ind w:left="460" w:right="320" w:firstLine="443"/>
        <w:spacing w:after="0" w:line="275" w:lineRule="auto"/>
        <w:tabs>
          <w:tab w:leader="none" w:pos="1137" w:val="left"/>
        </w:tabs>
        <w:numPr>
          <w:ilvl w:val="0"/>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giving of written notice by Employer to Employee of the termination of this Agreement without Cause,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b w:val="1"/>
          <w:bCs w:val="1"/>
          <w:color w:val="auto"/>
        </w:rPr>
        <w:t>,</w:t>
      </w:r>
      <w:r>
        <w:rPr>
          <w:rFonts w:ascii="Arial" w:cs="Arial" w:eastAsia="Arial" w:hAnsi="Arial"/>
          <w:sz w:val="18"/>
          <w:szCs w:val="18"/>
          <w:color w:val="auto"/>
        </w:rPr>
        <w:t xml:space="preserve"> that after such notice, Employer must make the Separation Payment to Employee;</w:t>
      </w:r>
    </w:p>
    <w:p>
      <w:pPr>
        <w:spacing w:after="0" w:line="31" w:lineRule="exact"/>
        <w:rPr>
          <w:rFonts w:ascii="Arial" w:cs="Arial" w:eastAsia="Arial" w:hAnsi="Arial"/>
          <w:sz w:val="18"/>
          <w:szCs w:val="18"/>
          <w:color w:val="auto"/>
        </w:rPr>
      </w:pPr>
    </w:p>
    <w:p>
      <w:pPr>
        <w:jc w:val="both"/>
        <w:ind w:left="460" w:right="320" w:firstLine="443"/>
        <w:spacing w:after="0" w:line="259" w:lineRule="auto"/>
        <w:tabs>
          <w:tab w:leader="none" w:pos="111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b w:val="1"/>
          <w:bCs w:val="1"/>
          <w:color w:val="auto"/>
        </w:rPr>
        <w:t>,</w:t>
      </w:r>
      <w:r>
        <w:rPr>
          <w:rFonts w:ascii="Arial" w:cs="Arial" w:eastAsia="Arial" w:hAnsi="Arial"/>
          <w:sz w:val="18"/>
          <w:szCs w:val="18"/>
          <w:color w:val="auto"/>
        </w:rPr>
        <w:t xml:space="preserve"> that after the expiration of such cure period without the cure having been effected, Employer must make the Separation Payment to Employee; or</w:t>
      </w:r>
    </w:p>
    <w:p>
      <w:pPr>
        <w:spacing w:after="0" w:line="45" w:lineRule="exact"/>
        <w:rPr>
          <w:rFonts w:ascii="Arial" w:cs="Arial" w:eastAsia="Arial" w:hAnsi="Arial"/>
          <w:sz w:val="18"/>
          <w:szCs w:val="18"/>
          <w:color w:val="auto"/>
        </w:rPr>
      </w:pPr>
    </w:p>
    <w:p>
      <w:pPr>
        <w:jc w:val="both"/>
        <w:ind w:left="460" w:right="60" w:firstLine="443"/>
        <w:spacing w:after="0" w:line="259" w:lineRule="auto"/>
        <w:tabs>
          <w:tab w:leader="none" w:pos="114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at Employee’s sole election in writing as provided in Paragraph 17 of this Agreement, within ten (10) days after both a Change of Control and as a result of Good Reason,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b w:val="1"/>
          <w:bCs w:val="1"/>
          <w:color w:val="auto"/>
        </w:rPr>
        <w:t>,</w:t>
      </w:r>
      <w:r>
        <w:rPr>
          <w:rFonts w:ascii="Arial" w:cs="Arial" w:eastAsia="Arial" w:hAnsi="Arial"/>
          <w:sz w:val="18"/>
          <w:szCs w:val="18"/>
          <w:color w:val="auto"/>
        </w:rPr>
        <w:t xml:space="preserve"> that after Employer’s receipt of Employee’s written election, Employer must make the Separation Payment to Employee.</w:t>
      </w:r>
    </w:p>
    <w:p>
      <w:pPr>
        <w:spacing w:after="0" w:line="1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the event of a termination of this Agreement pursuant to the provisions of Subparagraph 6(a), (b), (c) or (d), Employer shall not be required to make any payments to Employee other than payment of Base Salary and vacation pay accrued but unpaid through the termination date. In the event of a termination of this Agreement pursuant to the provisions of Subparagraph 6(e),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(y) the date Employee becomes covered under any other group health plan not maintained by Employer or any of its Affiliates;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401" w:name="page402"/>
    <w:bookmarkEnd w:id="401"/>
    <w:p>
      <w:pPr>
        <w:ind w:left="-20" w:right="200" w:firstLine="464"/>
        <w:spacing w:after="0" w:line="259" w:lineRule="auto"/>
        <w:tabs>
          <w:tab w:leader="none" w:pos="612" w:val="left"/>
        </w:tabs>
        <w:numPr>
          <w:ilvl w:val="0"/>
          <w:numId w:val="3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39" w:lineRule="exact"/>
        <w:rPr>
          <w:rFonts w:ascii="Arial" w:cs="Arial" w:eastAsia="Arial" w:hAnsi="Arial"/>
          <w:sz w:val="18"/>
          <w:szCs w:val="18"/>
          <w:b w:val="1"/>
          <w:bCs w:val="1"/>
          <w:i w:val="1"/>
          <w:iCs w:val="1"/>
          <w:color w:val="auto"/>
        </w:rPr>
      </w:pPr>
    </w:p>
    <w:p>
      <w:pPr>
        <w:ind w:left="440" w:firstLine="443"/>
        <w:spacing w:after="0" w:line="293" w:lineRule="auto"/>
        <w:tabs>
          <w:tab w:leader="none" w:pos="1117" w:val="left"/>
        </w:tabs>
        <w:numPr>
          <w:ilvl w:val="1"/>
          <w:numId w:val="316"/>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to pay to Employee, and Employee hereby covenants and agrees to accept from Employer, a</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at the rate of Three Hundred Fifty Thousand Dollars ($350,000.00) per annum, payable in such weekly, bi-weekly or semi-monthly installments as shall be convenient to Employer (the “</w:t>
      </w:r>
      <w:r>
        <w:rPr>
          <w:rFonts w:ascii="Arial" w:cs="Arial" w:eastAsia="Arial" w:hAnsi="Arial"/>
          <w:sz w:val="16"/>
          <w:szCs w:val="16"/>
          <w:b w:val="1"/>
          <w:bCs w:val="1"/>
          <w:color w:val="auto"/>
        </w:rPr>
        <w:t>Base Salary</w:t>
      </w:r>
      <w:r>
        <w:rPr>
          <w:rFonts w:ascii="Arial" w:cs="Arial" w:eastAsia="Arial" w:hAnsi="Arial"/>
          <w:sz w:val="16"/>
          <w:szCs w:val="16"/>
          <w:color w:val="auto"/>
        </w:rPr>
        <w:t>”). Such Base Salary shall be subject to periodic merit reviews and may be increased, but not decreased, as a result of any such review. Such Base Salary shall be exclusive of and in addition to any other benefits which Employer, in its sole discretion, may make available to Employee including, but not limited to any bonus plan, stock incentive plan, profit sharing plan, pension plan, retirement plan, disability or life insurance plan, medical and/or hospitalization plan, or any other benefit plan which may be in effect during the Term.</w:t>
      </w:r>
    </w:p>
    <w:p>
      <w:pPr>
        <w:spacing w:after="0" w:line="16" w:lineRule="exact"/>
        <w:rPr>
          <w:rFonts w:ascii="Arial" w:cs="Arial" w:eastAsia="Arial" w:hAnsi="Arial"/>
          <w:sz w:val="16"/>
          <w:szCs w:val="16"/>
          <w:color w:val="auto"/>
        </w:rPr>
      </w:pPr>
    </w:p>
    <w:p>
      <w:pPr>
        <w:ind w:left="1140" w:hanging="257"/>
        <w:spacing w:after="0"/>
        <w:tabs>
          <w:tab w:leader="none" w:pos="1140" w:val="left"/>
        </w:tabs>
        <w:numPr>
          <w:ilvl w:val="1"/>
          <w:numId w:val="316"/>
        </w:numPr>
        <w:rPr>
          <w:rFonts w:ascii="Arial" w:cs="Arial" w:eastAsia="Arial" w:hAnsi="Arial"/>
          <w:sz w:val="18"/>
          <w:szCs w:val="18"/>
          <w:color w:val="auto"/>
        </w:rPr>
      </w:pPr>
      <w:r>
        <w:rPr>
          <w:rFonts w:ascii="Arial" w:cs="Arial" w:eastAsia="Arial" w:hAnsi="Arial"/>
          <w:sz w:val="18"/>
          <w:szCs w:val="18"/>
          <w:b w:val="1"/>
          <w:bCs w:val="1"/>
          <w:u w:val="single" w:color="auto"/>
          <w:color w:val="auto"/>
        </w:rPr>
        <w:t>Bonus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also will be eligible to receive a bonus as follows:</w:t>
      </w:r>
    </w:p>
    <w:p>
      <w:pPr>
        <w:spacing w:after="0" w:line="82" w:lineRule="exact"/>
        <w:rPr>
          <w:rFonts w:ascii="Arial" w:cs="Arial" w:eastAsia="Arial" w:hAnsi="Arial"/>
          <w:sz w:val="18"/>
          <w:szCs w:val="18"/>
          <w:color w:val="auto"/>
        </w:rPr>
      </w:pPr>
    </w:p>
    <w:p>
      <w:pPr>
        <w:ind w:left="1540" w:hanging="219"/>
        <w:spacing w:after="0"/>
        <w:tabs>
          <w:tab w:leader="none" w:pos="154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Fifty Thousand Dollars ($50,000.00) for the period ending December 31, 2003;</w:t>
      </w:r>
    </w:p>
    <w:p>
      <w:pPr>
        <w:spacing w:after="0" w:line="76" w:lineRule="exact"/>
        <w:rPr>
          <w:rFonts w:ascii="Arial" w:cs="Arial" w:eastAsia="Arial" w:hAnsi="Arial"/>
          <w:sz w:val="18"/>
          <w:szCs w:val="18"/>
          <w:color w:val="auto"/>
        </w:rPr>
      </w:pPr>
    </w:p>
    <w:p>
      <w:pPr>
        <w:ind w:left="1580" w:hanging="259"/>
        <w:spacing w:after="0"/>
        <w:tabs>
          <w:tab w:leader="none" w:pos="158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One Hundred Thousand Dollars ($100,000.00) for the period of January 1 through December 31, 2004;</w:t>
      </w:r>
    </w:p>
    <w:p>
      <w:pPr>
        <w:spacing w:after="0" w:line="76" w:lineRule="exact"/>
        <w:rPr>
          <w:rFonts w:ascii="Arial" w:cs="Arial" w:eastAsia="Arial" w:hAnsi="Arial"/>
          <w:sz w:val="18"/>
          <w:szCs w:val="18"/>
          <w:color w:val="auto"/>
        </w:rPr>
      </w:pPr>
    </w:p>
    <w:p>
      <w:pPr>
        <w:ind w:left="900" w:right="60" w:firstLine="421"/>
        <w:spacing w:after="0" w:line="268" w:lineRule="auto"/>
        <w:tabs>
          <w:tab w:leader="none" w:pos="1627" w:val="left"/>
        </w:tabs>
        <w:numPr>
          <w:ilvl w:val="2"/>
          <w:numId w:val="316"/>
        </w:numPr>
        <w:rPr>
          <w:rFonts w:ascii="Arial" w:cs="Arial" w:eastAsia="Arial" w:hAnsi="Arial"/>
          <w:sz w:val="18"/>
          <w:szCs w:val="18"/>
          <w:color w:val="auto"/>
        </w:rPr>
      </w:pPr>
      <w:r>
        <w:rPr>
          <w:rFonts w:ascii="Arial" w:cs="Arial" w:eastAsia="Arial" w:hAnsi="Arial"/>
          <w:sz w:val="18"/>
          <w:szCs w:val="18"/>
          <w:color w:val="auto"/>
        </w:rPr>
        <w:t>For periods thereafter, at such times and in such amounts as Employer, in its sole and exclusive discretion, may determine, until such time as Employer adopts a performance-based bonus plan, and thereafter in accordance with such plan.</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Nothing in this Agreement shall limit Employer’s discretion to adopt, amend or terminate any bonus plan at any time.</w:t>
      </w:r>
    </w:p>
    <w:p>
      <w:pPr>
        <w:spacing w:after="0" w:line="71" w:lineRule="exact"/>
        <w:rPr>
          <w:sz w:val="20"/>
          <w:szCs w:val="20"/>
          <w:color w:val="auto"/>
        </w:rPr>
      </w:pPr>
    </w:p>
    <w:p>
      <w:pPr>
        <w:ind w:left="440" w:right="100" w:firstLine="443"/>
        <w:spacing w:after="0" w:line="310" w:lineRule="auto"/>
        <w:tabs>
          <w:tab w:leader="none" w:pos="1117" w:val="left"/>
        </w:tabs>
        <w:numPr>
          <w:ilvl w:val="0"/>
          <w:numId w:val="317"/>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 Benefit Plans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that it shall include Employee, if otherwise eligible, in any profit sharing plan,</w:t>
      </w:r>
      <w:r>
        <w:rPr>
          <w:rFonts w:ascii="Arial" w:cs="Arial" w:eastAsia="Arial" w:hAnsi="Arial"/>
          <w:sz w:val="16"/>
          <w:szCs w:val="16"/>
          <w:b w:val="1"/>
          <w:bCs w:val="1"/>
          <w:color w:val="auto"/>
        </w:rPr>
        <w:t xml:space="preserve"> </w:t>
      </w:r>
      <w:r>
        <w:rPr>
          <w:rFonts w:ascii="Arial" w:cs="Arial" w:eastAsia="Arial" w:hAnsi="Arial"/>
          <w:sz w:val="16"/>
          <w:szCs w:val="16"/>
          <w:color w:val="auto"/>
        </w:rPr>
        <w:t>stock incentive plan, pension plan, retirement plan, disability or life insurance plan, medical and/or hospitalization plan, and any other benefit plan which may be placed in effect by Employer or any of its Affiliates for the benefit of Employer’s executives during the Term. Subject to and effective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402" w:name="page403"/>
    <w:bookmarkEnd w:id="402"/>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upon the approval of the Compensation Committee of Wynn Resorts, Limited, Employee shall be granted 75,000 stock options of Wynn Resorts, Limited common stock under the Wynn Resorts, Limited 2002 Stock Incentive Plan. Nothing in this Agreement shall limit Employer’s or any of its Affiliates’ ability to exercise the discretion provided to it under any employee benefit plan, or to adopt, amend or terminate any benefit plan at any time.</w:t>
      </w:r>
    </w:p>
    <w:p>
      <w:pPr>
        <w:spacing w:after="0" w:line="6" w:lineRule="exact"/>
        <w:rPr>
          <w:sz w:val="20"/>
          <w:szCs w:val="20"/>
          <w:color w:val="auto"/>
        </w:rPr>
      </w:pPr>
    </w:p>
    <w:p>
      <w:pPr>
        <w:ind w:firstLine="443"/>
        <w:spacing w:after="0" w:line="255" w:lineRule="auto"/>
        <w:tabs>
          <w:tab w:leader="none" w:pos="687" w:val="left"/>
        </w:tabs>
        <w:numPr>
          <w:ilvl w:val="1"/>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and provided the same are authorized in advance by Employer, Employer shall either pay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 Employee for Employee’s reasonable expenses incurred for the benefit of Employer in accordance with Employer’s general policy regarding expense reimbursement, as the same may be modified from time to time. Employer specifically agrees to reimburse Employee for his professional dues and continuing professional education expenses, up to a total of One Thousand Five Hundred Dollars ($1,500.00) per year of the Term, non-cumulative. Prior to such any payment or reimbursement of expenses, Employee shall provide Employer with sufficient detailed invoices of such expenses as may be required by Employer’s policy.</w:t>
      </w:r>
    </w:p>
    <w:p>
      <w:pPr>
        <w:spacing w:after="0" w:line="44" w:lineRule="exact"/>
        <w:rPr>
          <w:rFonts w:ascii="Arial" w:cs="Arial" w:eastAsia="Arial" w:hAnsi="Arial"/>
          <w:sz w:val="18"/>
          <w:szCs w:val="18"/>
          <w:color w:val="auto"/>
        </w:rPr>
      </w:pPr>
    </w:p>
    <w:p>
      <w:pPr>
        <w:ind w:right="400" w:firstLine="443"/>
        <w:spacing w:after="0" w:line="262" w:lineRule="auto"/>
        <w:tabs>
          <w:tab w:leader="none" w:pos="677" w:val="left"/>
        </w:tabs>
        <w:numPr>
          <w:ilvl w:val="1"/>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Vacations and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as of the Effective Date, Employee shall be entitled to annual paid vacation and paid holidays (or, at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option, an equivalent number of paid days off) in accordance with Employer’s respective standard policies, however, in no event shall Employee receive less than two (2) weeks’ paid vacation during any full year of the Term.</w:t>
      </w:r>
    </w:p>
    <w:p>
      <w:pPr>
        <w:spacing w:after="0" w:line="37" w:lineRule="exact"/>
        <w:rPr>
          <w:rFonts w:ascii="Arial" w:cs="Arial" w:eastAsia="Arial" w:hAnsi="Arial"/>
          <w:sz w:val="18"/>
          <w:szCs w:val="18"/>
          <w:color w:val="auto"/>
        </w:rPr>
      </w:pPr>
    </w:p>
    <w:p>
      <w:pPr>
        <w:ind w:firstLine="443"/>
        <w:spacing w:after="0" w:line="262" w:lineRule="auto"/>
        <w:tabs>
          <w:tab w:leader="none" w:pos="657" w:val="left"/>
        </w:tabs>
        <w:numPr>
          <w:ilvl w:val="1"/>
          <w:numId w:val="318"/>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compensation provided to Employee by Employer under this Section 7 shall be subject to applicable withholdings for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local income or other taxes, Social Security Tax, Medicare Tax, State Unemployment Insurance, State Disability Insurance, charitable contributions and the like.</w:t>
      </w:r>
    </w:p>
    <w:p>
      <w:pPr>
        <w:spacing w:after="0" w:line="124" w:lineRule="exact"/>
        <w:rPr>
          <w:rFonts w:ascii="Arial" w:cs="Arial" w:eastAsia="Arial" w:hAnsi="Arial"/>
          <w:sz w:val="18"/>
          <w:szCs w:val="18"/>
          <w:color w:val="auto"/>
        </w:rPr>
      </w:pPr>
    </w:p>
    <w:p>
      <w:pPr>
        <w:ind w:left="180" w:hanging="176"/>
        <w:spacing w:after="0"/>
        <w:tabs>
          <w:tab w:leader="none" w:pos="180" w:val="left"/>
        </w:tabs>
        <w:numPr>
          <w:ilvl w:val="0"/>
          <w:numId w:val="3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right="20" w:firstLine="443"/>
        <w:spacing w:after="0" w:line="291" w:lineRule="auto"/>
        <w:tabs>
          <w:tab w:leader="none" w:pos="677" w:val="left"/>
        </w:tabs>
        <w:numPr>
          <w:ilvl w:val="1"/>
          <w:numId w:val="319"/>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this Agreement may be subject to the approval of one or more gaming regulatory authorities (the “</w:t>
      </w:r>
      <w:r>
        <w:rPr>
          <w:rFonts w:ascii="Arial" w:cs="Arial" w:eastAsia="Arial" w:hAnsi="Arial"/>
          <w:sz w:val="16"/>
          <w:szCs w:val="16"/>
          <w:b w:val="1"/>
          <w:bCs w:val="1"/>
          <w:color w:val="auto"/>
        </w:rPr>
        <w:t>Authorities</w:t>
      </w:r>
      <w:r>
        <w:rPr>
          <w:rFonts w:ascii="Arial" w:cs="Arial" w:eastAsia="Arial" w:hAnsi="Arial"/>
          <w:sz w:val="16"/>
          <w:szCs w:val="16"/>
          <w:color w:val="auto"/>
        </w:rPr>
        <w:t>”) pursuant to the provisions of the relevant gaming regulatory statutes (the “</w:t>
      </w:r>
      <w:r>
        <w:rPr>
          <w:rFonts w:ascii="Arial" w:cs="Arial" w:eastAsia="Arial" w:hAnsi="Arial"/>
          <w:sz w:val="16"/>
          <w:szCs w:val="16"/>
          <w:b w:val="1"/>
          <w:bCs w:val="1"/>
          <w:color w:val="auto"/>
        </w:rPr>
        <w:t>Gaming Acts</w:t>
      </w:r>
      <w:r>
        <w:rPr>
          <w:rFonts w:ascii="Arial" w:cs="Arial" w:eastAsia="Arial" w:hAnsi="Arial"/>
          <w:sz w:val="16"/>
          <w:szCs w:val="16"/>
          <w:color w:val="auto"/>
        </w:rPr>
        <w:t>”) and the regulations promulgated thereunder (the “</w:t>
      </w:r>
      <w:r>
        <w:rPr>
          <w:rFonts w:ascii="Arial" w:cs="Arial" w:eastAsia="Arial" w:hAnsi="Arial"/>
          <w:sz w:val="16"/>
          <w:szCs w:val="16"/>
          <w:b w:val="1"/>
          <w:bCs w:val="1"/>
          <w:color w:val="auto"/>
        </w:rPr>
        <w:t>Gaming Regulations</w:t>
      </w:r>
      <w:r>
        <w:rPr>
          <w:rFonts w:ascii="Arial" w:cs="Arial" w:eastAsia="Arial" w:hAnsi="Arial"/>
          <w:sz w:val="16"/>
          <w:szCs w:val="16"/>
          <w:color w:val="auto"/>
        </w:rPr>
        <w:t>”). Employer and Employee hereby covenant and agree to use their best efforts to obtain any and all approvals required by the Gaming Acts and/or Gaming Regulations. In the event that (i) an approval of this Agreement by the Authorities is required for Employee to carry out his duties and responsibilities set forth in Section 3 of this Agreement, (ii) Employer and Employee have used their best efforts to obtain such approval, and (iii) this Agreement is not so approved by the Authorities, then this Agreement shall immediately terminate and shall be null and void.</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9" w:right="259" w:bottom="1440" w:gutter="0" w:footer="0" w:header="0"/>
        </w:sectPr>
      </w:pPr>
    </w:p>
    <w:bookmarkStart w:id="403" w:name="page404"/>
    <w:bookmarkEnd w:id="403"/>
    <w:p>
      <w:pPr>
        <w:ind w:left="400" w:right="80" w:firstLine="443"/>
        <w:spacing w:after="0" w:line="289" w:lineRule="auto"/>
        <w:tabs>
          <w:tab w:leader="none" w:pos="1087" w:val="left"/>
        </w:tabs>
        <w:numPr>
          <w:ilvl w:val="1"/>
          <w:numId w:val="3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16"/>
          <w:szCs w:val="16"/>
          <w:b w:val="1"/>
          <w:bCs w:val="1"/>
          <w:color w:val="auto"/>
        </w:rPr>
        <w:t>License</w:t>
      </w:r>
      <w:r>
        <w:rPr>
          <w:rFonts w:ascii="Arial" w:cs="Arial" w:eastAsia="Arial" w:hAnsi="Arial"/>
          <w:sz w:val="16"/>
          <w:szCs w:val="16"/>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events described in Subsection 1(c) of this Agreement, then Employer’s obligations under this Section 8 also shall not be operative and Employee shall promptly reimburse Employer upon demand for any expenses incurred by Employer pursuant to this Section 8.</w:t>
      </w:r>
    </w:p>
    <w:p>
      <w:pPr>
        <w:spacing w:after="0" w:line="23" w:lineRule="exact"/>
        <w:rPr>
          <w:rFonts w:ascii="Arial" w:cs="Arial" w:eastAsia="Arial" w:hAnsi="Arial"/>
          <w:sz w:val="16"/>
          <w:szCs w:val="16"/>
          <w:color w:val="auto"/>
        </w:rPr>
      </w:pPr>
    </w:p>
    <w:p>
      <w:pPr>
        <w:ind w:left="400" w:right="160" w:firstLine="443"/>
        <w:spacing w:after="0" w:line="268" w:lineRule="auto"/>
        <w:tabs>
          <w:tab w:leader="none" w:pos="1077" w:val="left"/>
        </w:tabs>
        <w:numPr>
          <w:ilvl w:val="1"/>
          <w:numId w:val="320"/>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118" w:lineRule="exact"/>
        <w:rPr>
          <w:rFonts w:ascii="Arial" w:cs="Arial" w:eastAsia="Arial" w:hAnsi="Arial"/>
          <w:sz w:val="18"/>
          <w:szCs w:val="18"/>
          <w:color w:val="auto"/>
        </w:rPr>
      </w:pPr>
    </w:p>
    <w:p>
      <w:pPr>
        <w:ind w:left="-60" w:firstLine="464"/>
        <w:spacing w:after="0" w:line="287" w:lineRule="auto"/>
        <w:tabs>
          <w:tab w:leader="none" w:pos="572" w:val="left"/>
        </w:tabs>
        <w:numPr>
          <w:ilvl w:val="0"/>
          <w:numId w:val="32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CONFIDENTIALITY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hereby warrants, covenants and agrees that, without the prior express written approval of Employer, Employee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 in the strictest confidence, and shall not disclose to any person, firm, corporation or other entity, any and all of Employer’s confidential data, including but not limited to (a) information, drawings, sketches, plans or other documents concerning Employer’s business or development plans, customers or suppliers or those of Employer’s Affiliates; (b) Employer’s or its Affiliates’ development, design, construction or sales and marketing methods or techniques; or (c) Employer’s trade secrets and other “know-how” or information not of a public nature, regardless of how such information came to the custody of Employee. For purposes of this Agreement, such confidential information shall include, but not be limited to, information, including a formula, pattern, compilation, program, device, method, technique or process, that (x) derives independent economic value, present or potential, from not being generally known to, and not being readily ascertainable by proper means by, other persons who can obtain economic value from its disclosure or use and (y) is the subject of efforts that are reasonable under the circumstances to maintain its secrecy. The warranty, covenant and agreement set forth in this Section 9 shall not expire, shall survive this Agreement, and shall be binding upon Employee without regard to the passage of time or other events.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300" w:top="279" w:right="299" w:bottom="1440" w:gutter="0" w:footer="0" w:header="0"/>
        </w:sectPr>
      </w:pPr>
    </w:p>
    <w:bookmarkStart w:id="404" w:name="page405"/>
    <w:bookmarkEnd w:id="404"/>
    <w:p>
      <w:pPr>
        <w:ind w:left="680" w:hanging="256"/>
        <w:spacing w:after="0"/>
        <w:tabs>
          <w:tab w:leader="none" w:pos="680" w:val="left"/>
        </w:tabs>
        <w:numPr>
          <w:ilvl w:val="0"/>
          <w:numId w:val="3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RESTRICTIVE COVENANT/NO SOLICITATION</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left="420" w:firstLine="443"/>
        <w:spacing w:after="0" w:line="289" w:lineRule="auto"/>
        <w:tabs>
          <w:tab w:leader="none" w:pos="1097" w:val="left"/>
        </w:tabs>
        <w:numPr>
          <w:ilvl w:val="1"/>
          <w:numId w:val="322"/>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longer period so long as Employer pays to Employee the compensation set forth in Subsection 7(a) of this Agreement, Employee shall not directly or indirectly, either as a principal, agent, employee, employer, consultant, partner, member of a limited liability company, shareholder of a closely held corporation, or shareholder in excess of two (2%) per cent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Employer’s Affiliates, in or about any market in which Employer or Employer’s Affiliates have or have announced a plan to have hotel or gaming operations. Employee hereby further covenants and agrees that the restrictive covenant contained in this Section 10 is reasonable as to duration, terms and geographical area and that the same protects the legitimate interests of Employer, imposes no undue hardship on Employee, and is not injurious to the public.</w:t>
      </w:r>
    </w:p>
    <w:p>
      <w:pPr>
        <w:spacing w:after="0" w:line="23" w:lineRule="exact"/>
        <w:rPr>
          <w:rFonts w:ascii="Arial" w:cs="Arial" w:eastAsia="Arial" w:hAnsi="Arial"/>
          <w:sz w:val="16"/>
          <w:szCs w:val="16"/>
          <w:color w:val="auto"/>
        </w:rPr>
      </w:pPr>
    </w:p>
    <w:p>
      <w:pPr>
        <w:ind w:left="420" w:right="40" w:firstLine="443"/>
        <w:spacing w:after="0" w:line="255" w:lineRule="auto"/>
        <w:tabs>
          <w:tab w:leader="none" w:pos="1107" w:val="left"/>
        </w:tabs>
        <w:numPr>
          <w:ilvl w:val="1"/>
          <w:numId w:val="322"/>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during the Term and for a period of one (1) year following the expiration of the Term, Employee shall not directly or indirectly, and Employee shall not suffer others to,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have announced a plan hotel or gaming operations.</w:t>
      </w:r>
    </w:p>
    <w:p>
      <w:pPr>
        <w:spacing w:after="0" w:line="129" w:lineRule="exact"/>
        <w:rPr>
          <w:rFonts w:ascii="Arial" w:cs="Arial" w:eastAsia="Arial" w:hAnsi="Arial"/>
          <w:sz w:val="18"/>
          <w:szCs w:val="18"/>
          <w:color w:val="auto"/>
        </w:rPr>
      </w:pPr>
    </w:p>
    <w:p>
      <w:pPr>
        <w:ind w:left="-40" w:right="180" w:firstLine="464"/>
        <w:spacing w:after="0" w:line="332" w:lineRule="auto"/>
        <w:tabs>
          <w:tab w:leader="none" w:pos="670" w:val="left"/>
        </w:tabs>
        <w:numPr>
          <w:ilvl w:val="0"/>
          <w:numId w:val="32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BEST EVIDENCE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be executed in original and “Xerox” or photostatic copies and each copy bearing original signatures in ink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deemed an original.</w:t>
      </w:r>
    </w:p>
    <w:p>
      <w:pPr>
        <w:spacing w:after="0" w:line="71" w:lineRule="exact"/>
        <w:rPr>
          <w:rFonts w:ascii="Arial" w:cs="Arial" w:eastAsia="Arial" w:hAnsi="Arial"/>
          <w:sz w:val="16"/>
          <w:szCs w:val="16"/>
          <w:b w:val="1"/>
          <w:bCs w:val="1"/>
          <w:i w:val="1"/>
          <w:iCs w:val="1"/>
          <w:color w:val="auto"/>
        </w:rPr>
      </w:pPr>
    </w:p>
    <w:p>
      <w:pPr>
        <w:ind w:left="680" w:hanging="256"/>
        <w:spacing w:after="0"/>
        <w:tabs>
          <w:tab w:leader="none" w:pos="680" w:val="left"/>
        </w:tabs>
        <w:numPr>
          <w:ilvl w:val="0"/>
          <w:numId w:val="32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SUCCESSION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Agreement shall be binding upon and inure to the benefit of Employer and Employee and their respective successors and assigns.</w:t>
      </w:r>
    </w:p>
    <w:p>
      <w:pPr>
        <w:spacing w:after="0" w:line="192" w:lineRule="exact"/>
        <w:rPr>
          <w:rFonts w:ascii="Arial" w:cs="Arial" w:eastAsia="Arial" w:hAnsi="Arial"/>
          <w:sz w:val="15"/>
          <w:szCs w:val="15"/>
          <w:b w:val="1"/>
          <w:bCs w:val="1"/>
          <w:i w:val="1"/>
          <w:iCs w:val="1"/>
          <w:color w:val="auto"/>
        </w:rPr>
      </w:pPr>
    </w:p>
    <w:p>
      <w:pPr>
        <w:ind w:left="-40" w:right="180" w:firstLine="464"/>
        <w:spacing w:after="0" w:line="259" w:lineRule="auto"/>
        <w:tabs>
          <w:tab w:leader="none" w:pos="680" w:val="left"/>
        </w:tabs>
        <w:numPr>
          <w:ilvl w:val="0"/>
          <w:numId w:val="3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his duties hereunder without the express written prior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Section 13 shall be null and void and of no force or effect. Employer shall have the right to assign this Agreement freely.</w:t>
      </w:r>
    </w:p>
    <w:p>
      <w:pPr>
        <w:spacing w:after="0" w:line="126" w:lineRule="exact"/>
        <w:rPr>
          <w:rFonts w:ascii="Arial" w:cs="Arial" w:eastAsia="Arial" w:hAnsi="Arial"/>
          <w:sz w:val="18"/>
          <w:szCs w:val="18"/>
          <w:b w:val="1"/>
          <w:bCs w:val="1"/>
          <w:i w:val="1"/>
          <w:iCs w:val="1"/>
          <w:color w:val="auto"/>
        </w:rPr>
      </w:pPr>
    </w:p>
    <w:p>
      <w:pPr>
        <w:ind w:left="-40" w:right="540" w:firstLine="464"/>
        <w:spacing w:after="0" w:line="268" w:lineRule="auto"/>
        <w:tabs>
          <w:tab w:leader="none" w:pos="680" w:val="left"/>
        </w:tabs>
        <w:numPr>
          <w:ilvl w:val="0"/>
          <w:numId w:val="3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80" w:right="279" w:bottom="1440" w:gutter="0" w:footer="0" w:header="0"/>
        </w:sectPr>
      </w:pPr>
    </w:p>
    <w:bookmarkStart w:id="405" w:name="page406"/>
    <w:bookmarkEnd w:id="405"/>
    <w:p>
      <w:pPr>
        <w:ind w:firstLine="464"/>
        <w:spacing w:after="0" w:line="268" w:lineRule="auto"/>
        <w:tabs>
          <w:tab w:leader="none" w:pos="720" w:val="left"/>
        </w:tabs>
        <w:numPr>
          <w:ilvl w:val="0"/>
          <w:numId w:val="3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State of Nevada, without regard to conflict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laws principles.</w:t>
      </w:r>
    </w:p>
    <w:p>
      <w:pPr>
        <w:spacing w:after="0" w:line="118" w:lineRule="exact"/>
        <w:rPr>
          <w:rFonts w:ascii="Arial" w:cs="Arial" w:eastAsia="Arial" w:hAnsi="Arial"/>
          <w:sz w:val="18"/>
          <w:szCs w:val="18"/>
          <w:b w:val="1"/>
          <w:bCs w:val="1"/>
          <w:i w:val="1"/>
          <w:iCs w:val="1"/>
          <w:color w:val="auto"/>
        </w:rPr>
      </w:pPr>
    </w:p>
    <w:p>
      <w:pPr>
        <w:ind w:right="300" w:firstLine="464"/>
        <w:spacing w:after="0" w:line="268" w:lineRule="auto"/>
        <w:tabs>
          <w:tab w:leader="none" w:pos="720" w:val="left"/>
        </w:tabs>
        <w:numPr>
          <w:ilvl w:val="0"/>
          <w:numId w:val="3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340" w:type="dxa"/>
            <w:vAlign w:val="bottom"/>
            <w:gridSpan w:val="5"/>
          </w:tcPr>
          <w:p>
            <w:pPr>
              <w:spacing w:after="0"/>
              <w:rPr>
                <w:sz w:val="20"/>
                <w:szCs w:val="20"/>
                <w:color w:val="auto"/>
              </w:rPr>
            </w:pPr>
            <w:r>
              <w:rPr>
                <w:rFonts w:ascii="Arial" w:cs="Arial" w:eastAsia="Arial" w:hAnsi="Arial"/>
                <w:sz w:val="18"/>
                <w:szCs w:val="18"/>
                <w:color w:val="auto"/>
              </w:rPr>
              <w:t>TO EMPLOYER:</w:t>
            </w:r>
          </w:p>
        </w:tc>
        <w:tc>
          <w:tcPr>
            <w:tcW w:w="3960" w:type="dxa"/>
            <w:vAlign w:val="bottom"/>
          </w:tcPr>
          <w:p>
            <w:pPr>
              <w:ind w:left="1620"/>
              <w:spacing w:after="0"/>
              <w:rPr>
                <w:sz w:val="20"/>
                <w:szCs w:val="20"/>
                <w:color w:val="auto"/>
              </w:rPr>
            </w:pPr>
            <w:r>
              <w:rPr>
                <w:rFonts w:ascii="Arial" w:cs="Arial" w:eastAsia="Arial" w:hAnsi="Arial"/>
                <w:sz w:val="18"/>
                <w:szCs w:val="18"/>
                <w:color w:val="auto"/>
              </w:rPr>
              <w:t>Wynn Las Vegas, LLC</w:t>
            </w:r>
          </w:p>
        </w:tc>
      </w:tr>
      <w:tr>
        <w:trPr>
          <w:trHeight w:val="228"/>
        </w:trPr>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960" w:type="dxa"/>
            <w:vAlign w:val="bottom"/>
          </w:tcPr>
          <w:p>
            <w:pPr>
              <w:ind w:left="1620"/>
              <w:spacing w:after="0"/>
              <w:rPr>
                <w:sz w:val="20"/>
                <w:szCs w:val="20"/>
                <w:color w:val="auto"/>
              </w:rPr>
            </w:pPr>
            <w:r>
              <w:rPr>
                <w:rFonts w:ascii="Arial" w:cs="Arial" w:eastAsia="Arial" w:hAnsi="Arial"/>
                <w:sz w:val="18"/>
                <w:szCs w:val="18"/>
                <w:color w:val="auto"/>
                <w:w w:val="86"/>
              </w:rPr>
              <w:t>3145 Las Vegas Boulevard South</w:t>
            </w: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960" w:type="dxa"/>
            <w:vAlign w:val="bottom"/>
          </w:tcPr>
          <w:p>
            <w:pPr>
              <w:ind w:left="1620"/>
              <w:spacing w:after="0"/>
              <w:rPr>
                <w:sz w:val="20"/>
                <w:szCs w:val="20"/>
                <w:color w:val="auto"/>
              </w:rPr>
            </w:pPr>
            <w:r>
              <w:rPr>
                <w:rFonts w:ascii="Arial" w:cs="Arial" w:eastAsia="Arial" w:hAnsi="Arial"/>
                <w:sz w:val="18"/>
                <w:szCs w:val="18"/>
                <w:color w:val="auto"/>
              </w:rPr>
              <w:t>Las Vegas, Nevada 89109</w:t>
            </w:r>
          </w:p>
        </w:tc>
      </w:tr>
      <w:tr>
        <w:trPr>
          <w:trHeight w:val="286"/>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WITH A COPY</w:t>
            </w:r>
          </w:p>
        </w:tc>
        <w:tc>
          <w:tcPr>
            <w:tcW w:w="2180" w:type="dxa"/>
            <w:vAlign w:val="bottom"/>
            <w:gridSpan w:val="3"/>
          </w:tcPr>
          <w:p>
            <w:pPr>
              <w:spacing w:after="0"/>
              <w:rPr>
                <w:sz w:val="24"/>
                <w:szCs w:val="24"/>
                <w:color w:val="auto"/>
              </w:rPr>
            </w:pPr>
          </w:p>
        </w:tc>
        <w:tc>
          <w:tcPr>
            <w:tcW w:w="3960" w:type="dxa"/>
            <w:vAlign w:val="bottom"/>
          </w:tcPr>
          <w:p>
            <w:pPr>
              <w:ind w:left="1620"/>
              <w:spacing w:after="0"/>
              <w:rPr>
                <w:sz w:val="20"/>
                <w:szCs w:val="20"/>
                <w:color w:val="auto"/>
              </w:rPr>
            </w:pPr>
            <w:r>
              <w:rPr>
                <w:rFonts w:ascii="Arial" w:cs="Arial" w:eastAsia="Arial" w:hAnsi="Arial"/>
                <w:sz w:val="18"/>
                <w:szCs w:val="18"/>
                <w:color w:val="auto"/>
              </w:rPr>
              <w:t>Wynn Resorts, Limited</w:t>
            </w:r>
          </w:p>
        </w:tc>
      </w:tr>
      <w:tr>
        <w:trPr>
          <w:trHeight w:val="196"/>
        </w:trPr>
        <w:tc>
          <w:tcPr>
            <w:tcW w:w="3340" w:type="dxa"/>
            <w:vAlign w:val="bottom"/>
            <w:gridSpan w:val="5"/>
          </w:tcPr>
          <w:p>
            <w:pPr>
              <w:spacing w:after="0" w:line="196" w:lineRule="exact"/>
              <w:rPr>
                <w:sz w:val="20"/>
                <w:szCs w:val="20"/>
                <w:color w:val="auto"/>
              </w:rPr>
            </w:pPr>
            <w:r>
              <w:rPr>
                <w:rFonts w:ascii="Arial" w:cs="Arial" w:eastAsia="Arial" w:hAnsi="Arial"/>
                <w:sz w:val="18"/>
                <w:szCs w:val="18"/>
                <w:color w:val="auto"/>
              </w:rPr>
              <w:t>THAT SHALL NOT BE</w:t>
            </w:r>
          </w:p>
        </w:tc>
        <w:tc>
          <w:tcPr>
            <w:tcW w:w="3960" w:type="dxa"/>
            <w:vAlign w:val="bottom"/>
          </w:tcPr>
          <w:p>
            <w:pPr>
              <w:ind w:left="1620"/>
              <w:spacing w:after="0" w:line="196" w:lineRule="exact"/>
              <w:rPr>
                <w:sz w:val="20"/>
                <w:szCs w:val="20"/>
                <w:color w:val="auto"/>
              </w:rPr>
            </w:pPr>
            <w:r>
              <w:rPr>
                <w:rFonts w:ascii="Arial" w:cs="Arial" w:eastAsia="Arial" w:hAnsi="Arial"/>
                <w:sz w:val="18"/>
                <w:szCs w:val="18"/>
                <w:color w:val="auto"/>
                <w:w w:val="86"/>
              </w:rPr>
              <w:t>3145 Las Vegas Boulevard South</w:t>
            </w:r>
          </w:p>
        </w:tc>
      </w:tr>
      <w:tr>
        <w:trPr>
          <w:trHeight w:val="196"/>
        </w:trPr>
        <w:tc>
          <w:tcPr>
            <w:tcW w:w="17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NOTICE TO:</w:t>
            </w:r>
          </w:p>
        </w:tc>
        <w:tc>
          <w:tcPr>
            <w:tcW w:w="1620" w:type="dxa"/>
            <w:vAlign w:val="bottom"/>
          </w:tcPr>
          <w:p>
            <w:pPr>
              <w:spacing w:after="0"/>
              <w:rPr>
                <w:sz w:val="17"/>
                <w:szCs w:val="17"/>
                <w:color w:val="auto"/>
              </w:rPr>
            </w:pPr>
          </w:p>
        </w:tc>
        <w:tc>
          <w:tcPr>
            <w:tcW w:w="3960" w:type="dxa"/>
            <w:vAlign w:val="bottom"/>
          </w:tcPr>
          <w:p>
            <w:pPr>
              <w:ind w:left="1620"/>
              <w:spacing w:after="0" w:line="196" w:lineRule="exact"/>
              <w:rPr>
                <w:sz w:val="20"/>
                <w:szCs w:val="20"/>
                <w:color w:val="auto"/>
              </w:rPr>
            </w:pPr>
            <w:r>
              <w:rPr>
                <w:rFonts w:ascii="Arial" w:cs="Arial" w:eastAsia="Arial" w:hAnsi="Arial"/>
                <w:sz w:val="18"/>
                <w:szCs w:val="18"/>
                <w:color w:val="auto"/>
              </w:rPr>
              <w:t>Las Vegas, Nevada 89109</w:t>
            </w:r>
          </w:p>
        </w:tc>
      </w:tr>
      <w:tr>
        <w:trPr>
          <w:trHeight w:val="235"/>
        </w:trPr>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960" w:type="dxa"/>
            <w:vAlign w:val="bottom"/>
          </w:tcPr>
          <w:p>
            <w:pPr>
              <w:ind w:left="1620"/>
              <w:spacing w:after="0"/>
              <w:rPr>
                <w:sz w:val="20"/>
                <w:szCs w:val="20"/>
                <w:color w:val="auto"/>
              </w:rPr>
            </w:pPr>
            <w:r>
              <w:rPr>
                <w:rFonts w:ascii="Arial" w:cs="Arial" w:eastAsia="Arial" w:hAnsi="Arial"/>
                <w:sz w:val="18"/>
                <w:szCs w:val="18"/>
                <w:color w:val="auto"/>
              </w:rPr>
              <w:t>Attn: Legal Department</w:t>
            </w:r>
          </w:p>
        </w:tc>
      </w:tr>
      <w:tr>
        <w:trPr>
          <w:trHeight w:val="286"/>
        </w:trPr>
        <w:tc>
          <w:tcPr>
            <w:tcW w:w="3340" w:type="dxa"/>
            <w:vAlign w:val="bottom"/>
            <w:gridSpan w:val="5"/>
          </w:tcPr>
          <w:p>
            <w:pPr>
              <w:spacing w:after="0"/>
              <w:rPr>
                <w:sz w:val="20"/>
                <w:szCs w:val="20"/>
                <w:color w:val="auto"/>
              </w:rPr>
            </w:pPr>
            <w:r>
              <w:rPr>
                <w:rFonts w:ascii="Arial" w:cs="Arial" w:eastAsia="Arial" w:hAnsi="Arial"/>
                <w:sz w:val="18"/>
                <w:szCs w:val="18"/>
                <w:color w:val="auto"/>
              </w:rPr>
              <w:t>TO EMPLOYEE:</w:t>
            </w:r>
          </w:p>
        </w:tc>
        <w:tc>
          <w:tcPr>
            <w:tcW w:w="3960" w:type="dxa"/>
            <w:vAlign w:val="bottom"/>
          </w:tcPr>
          <w:p>
            <w:pPr>
              <w:ind w:left="1620"/>
              <w:spacing w:after="0"/>
              <w:rPr>
                <w:sz w:val="20"/>
                <w:szCs w:val="20"/>
                <w:color w:val="auto"/>
              </w:rPr>
            </w:pPr>
            <w:r>
              <w:rPr>
                <w:rFonts w:ascii="Arial" w:cs="Arial" w:eastAsia="Arial" w:hAnsi="Arial"/>
                <w:sz w:val="18"/>
                <w:szCs w:val="18"/>
                <w:color w:val="auto"/>
              </w:rPr>
              <w:t>David Sisk</w:t>
            </w:r>
          </w:p>
        </w:tc>
      </w:tr>
      <w:tr>
        <w:trPr>
          <w:trHeight w:val="228"/>
        </w:trPr>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960" w:type="dxa"/>
            <w:vAlign w:val="bottom"/>
          </w:tcPr>
          <w:p>
            <w:pPr>
              <w:ind w:left="1620"/>
              <w:spacing w:after="0"/>
              <w:rPr>
                <w:sz w:val="20"/>
                <w:szCs w:val="20"/>
                <w:color w:val="auto"/>
              </w:rPr>
            </w:pPr>
            <w:r>
              <w:rPr>
                <w:rFonts w:ascii="Arial" w:cs="Arial" w:eastAsia="Arial" w:hAnsi="Arial"/>
                <w:sz w:val="18"/>
                <w:szCs w:val="18"/>
                <w:color w:val="auto"/>
              </w:rPr>
              <w:t>10008 Laurel Springs</w:t>
            </w: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960" w:type="dxa"/>
            <w:vAlign w:val="bottom"/>
          </w:tcPr>
          <w:p>
            <w:pPr>
              <w:ind w:left="1620"/>
              <w:spacing w:after="0"/>
              <w:rPr>
                <w:sz w:val="20"/>
                <w:szCs w:val="20"/>
                <w:color w:val="auto"/>
              </w:rPr>
            </w:pPr>
            <w:r>
              <w:rPr>
                <w:rFonts w:ascii="Arial" w:cs="Arial" w:eastAsia="Arial" w:hAnsi="Arial"/>
                <w:sz w:val="18"/>
                <w:szCs w:val="18"/>
                <w:color w:val="auto"/>
              </w:rPr>
              <w:t>Las Vegas, Nevada 89134</w:t>
            </w:r>
          </w:p>
        </w:tc>
      </w:tr>
    </w:tbl>
    <w:p>
      <w:pPr>
        <w:spacing w:after="0" w:line="14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16.</w:t>
      </w:r>
    </w:p>
    <w:p>
      <w:pPr>
        <w:spacing w:after="0" w:line="72" w:lineRule="exact"/>
        <w:rPr>
          <w:sz w:val="20"/>
          <w:szCs w:val="20"/>
          <w:color w:val="auto"/>
        </w:rPr>
      </w:pPr>
    </w:p>
    <w:p>
      <w:pPr>
        <w:ind w:right="340" w:firstLine="464"/>
        <w:spacing w:after="0" w:line="268" w:lineRule="auto"/>
        <w:tabs>
          <w:tab w:leader="none" w:pos="720" w:val="left"/>
        </w:tabs>
        <w:numPr>
          <w:ilvl w:val="0"/>
          <w:numId w:val="3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18" w:lineRule="exact"/>
        <w:rPr>
          <w:rFonts w:ascii="Arial" w:cs="Arial" w:eastAsia="Arial" w:hAnsi="Arial"/>
          <w:sz w:val="18"/>
          <w:szCs w:val="18"/>
          <w:b w:val="1"/>
          <w:bCs w:val="1"/>
          <w:i w:val="1"/>
          <w:iCs w:val="1"/>
          <w:color w:val="auto"/>
        </w:rPr>
      </w:pPr>
    </w:p>
    <w:p>
      <w:pPr>
        <w:ind w:right="180" w:firstLine="464"/>
        <w:spacing w:after="0" w:line="332" w:lineRule="auto"/>
        <w:tabs>
          <w:tab w:leader="none" w:pos="720" w:val="left"/>
        </w:tabs>
        <w:numPr>
          <w:ilvl w:val="0"/>
          <w:numId w:val="32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SEVERABILITY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71" w:lineRule="exact"/>
        <w:rPr>
          <w:rFonts w:ascii="Arial" w:cs="Arial" w:eastAsia="Arial" w:hAnsi="Arial"/>
          <w:sz w:val="16"/>
          <w:szCs w:val="16"/>
          <w:b w:val="1"/>
          <w:bCs w:val="1"/>
          <w:i w:val="1"/>
          <w:iCs w:val="1"/>
          <w:color w:val="auto"/>
        </w:rPr>
      </w:pPr>
    </w:p>
    <w:p>
      <w:pPr>
        <w:ind w:right="40" w:firstLine="464"/>
        <w:spacing w:after="0" w:line="291" w:lineRule="auto"/>
        <w:tabs>
          <w:tab w:leader="none" w:pos="720" w:val="left"/>
        </w:tabs>
        <w:numPr>
          <w:ilvl w:val="0"/>
          <w:numId w:val="32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provisions of Sections 9 and 10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Las Vegas, Nevada, any and all claims, disputes, or controversies arising between the parties hereto regarding any of the terms of this Agreement or the breach thereof, on the written demand of either of the parties hereto, shall be submitted to and be determined by final and binding arbitration held in Las Vegas, Nevada, in accordance with Employer’s or Employer’s Affiliates’ arbitration policy governing employment disputes, or, in the absence of any such policy, as conducted by and in accordance with the employment dispute resolution rules of the American Arbitration Association. This agreement to arbitrate shall be specifically enforceable in any court of competent jurisdiction.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406" w:name="page407"/>
    <w:bookmarkEnd w:id="406"/>
    <w:p>
      <w:pPr>
        <w:jc w:val="both"/>
        <w:ind w:right="80" w:firstLine="464"/>
        <w:spacing w:after="0" w:line="259" w:lineRule="auto"/>
        <w:tabs>
          <w:tab w:leader="none" w:pos="720" w:val="left"/>
        </w:tabs>
        <w:numPr>
          <w:ilvl w:val="0"/>
          <w:numId w:val="3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Section 20, or any term, right or remedy hereunder shall be deemed waived unless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waiver is in writing and signed by the party to be charged therewith and in no event by reason of any failure to assert or delay in asserting any such term, right or remedy or similar term, right or remedy hereunder.</w:t>
      </w:r>
    </w:p>
    <w:p>
      <w:pPr>
        <w:spacing w:after="0" w:line="126" w:lineRule="exact"/>
        <w:rPr>
          <w:rFonts w:ascii="Arial" w:cs="Arial" w:eastAsia="Arial" w:hAnsi="Arial"/>
          <w:sz w:val="18"/>
          <w:szCs w:val="18"/>
          <w:b w:val="1"/>
          <w:bCs w:val="1"/>
          <w:i w:val="1"/>
          <w:iCs w:val="1"/>
          <w:color w:val="auto"/>
        </w:rPr>
      </w:pPr>
    </w:p>
    <w:p>
      <w:pPr>
        <w:ind w:right="120" w:firstLine="464"/>
        <w:spacing w:after="0" w:line="259" w:lineRule="auto"/>
        <w:tabs>
          <w:tab w:leader="none" w:pos="720" w:val="left"/>
        </w:tabs>
        <w:numPr>
          <w:ilvl w:val="0"/>
          <w:numId w:val="3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PAROL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between Employer and Employee, and supersedes any prior understandings,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or severance policies or plans by and between Employer or Employer’s Affiliates, on the one side, and Employee, on the other side, with respect to its subject matter or Employee’s employment with Employer or Employer’s Affiliates.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WYNN LAS VEGAS, LLC</w:t>
            </w:r>
          </w:p>
        </w:tc>
        <w:tc>
          <w:tcPr>
            <w:tcW w:w="120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tcPr>
          <w:p>
            <w:pPr>
              <w:spacing w:after="0"/>
              <w:rPr>
                <w:sz w:val="20"/>
                <w:szCs w:val="20"/>
                <w:color w:val="auto"/>
              </w:rPr>
            </w:pPr>
            <w:r>
              <w:rPr>
                <w:rFonts w:ascii="Arial" w:cs="Arial" w:eastAsia="Arial" w:hAnsi="Arial"/>
                <w:sz w:val="18"/>
                <w:szCs w:val="18"/>
                <w:color w:val="auto"/>
              </w:rPr>
              <w:t>/s/ Marc Schorr</w:t>
            </w:r>
          </w:p>
        </w:tc>
        <w:tc>
          <w:tcPr>
            <w:tcW w:w="120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 David Sisk</w:t>
            </w:r>
          </w:p>
        </w:tc>
      </w:tr>
      <w:tr>
        <w:trPr>
          <w:trHeight w:val="110"/>
        </w:trPr>
        <w:tc>
          <w:tcPr>
            <w:tcW w:w="580" w:type="dxa"/>
            <w:vAlign w:val="bottom"/>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Marc Schorr</w:t>
            </w:r>
          </w:p>
        </w:tc>
        <w:tc>
          <w:tcPr>
            <w:tcW w:w="120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David Sisk</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2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200" w:type="dxa"/>
            <w:vAlign w:val="bottom"/>
          </w:tcPr>
          <w:p>
            <w:pPr>
              <w:spacing w:after="0"/>
              <w:rPr>
                <w:sz w:val="19"/>
                <w:szCs w:val="19"/>
                <w:color w:val="auto"/>
              </w:rPr>
            </w:pPr>
          </w:p>
        </w:tc>
        <w:tc>
          <w:tcPr>
            <w:tcW w:w="4260" w:type="dxa"/>
            <w:vAlign w:val="bottom"/>
          </w:tcPr>
          <w:p>
            <w:pPr>
              <w:spacing w:after="0"/>
              <w:rPr>
                <w:sz w:val="19"/>
                <w:szCs w:val="19"/>
                <w:color w:val="auto"/>
              </w:rPr>
            </w:pPr>
          </w:p>
        </w:tc>
      </w:tr>
      <w:tr>
        <w:trPr>
          <w:trHeight w:val="365"/>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13</w:t>
            </w:r>
          </w:p>
        </w:tc>
        <w:tc>
          <w:tcPr>
            <w:tcW w:w="426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b w:val="1"/>
          <w:bCs w:val="1"/>
          <w:color w:val="auto"/>
        </w:rPr>
        <w:t>Exhibit 10.33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45"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October 20, 2003, by and between Wynn Las Vegas, LLC (“</w:t>
      </w:r>
      <w:r>
        <w:rPr>
          <w:rFonts w:ascii="Arial" w:cs="Arial" w:eastAsia="Arial" w:hAnsi="Arial"/>
          <w:sz w:val="18"/>
          <w:szCs w:val="18"/>
          <w:b w:val="1"/>
          <w:bCs w:val="1"/>
          <w:color w:val="auto"/>
        </w:rPr>
        <w:t>Employer</w:t>
      </w:r>
      <w:r>
        <w:rPr>
          <w:rFonts w:ascii="Arial" w:cs="Arial" w:eastAsia="Arial" w:hAnsi="Arial"/>
          <w:sz w:val="18"/>
          <w:szCs w:val="18"/>
          <w:color w:val="auto"/>
        </w:rPr>
        <w:t>”) and David Sisk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11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and Employee have entered into that certain Employment Agreement, dated as of September 16, 2003 (the “</w:t>
      </w:r>
      <w:r>
        <w:rPr>
          <w:rFonts w:ascii="Arial" w:cs="Arial" w:eastAsia="Arial" w:hAnsi="Arial"/>
          <w:sz w:val="16"/>
          <w:szCs w:val="16"/>
          <w:b w:val="1"/>
          <w:bCs w:val="1"/>
          <w:color w:val="auto"/>
        </w:rPr>
        <w:t>Agreement</w:t>
      </w:r>
      <w:r>
        <w:rPr>
          <w:rFonts w:ascii="Arial" w:cs="Arial" w:eastAsia="Arial" w:hAnsi="Arial"/>
          <w:sz w:val="16"/>
          <w:szCs w:val="16"/>
          <w:color w:val="auto"/>
        </w:rPr>
        <w:t>”); and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Agreement provides for the Effective Date of Employee’s employment with Employer to be October 20, 2003; and</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Employer is willing and Employee desires to change the Effective Date of the Agreement on the terms and pursuant to the conditions set forth 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70" w:lineRule="exact"/>
        <w:rPr>
          <w:sz w:val="20"/>
          <w:szCs w:val="20"/>
          <w:color w:val="auto"/>
        </w:rPr>
      </w:pPr>
    </w:p>
    <w:p>
      <w:pPr>
        <w:ind w:left="900" w:right="5000" w:hanging="436"/>
        <w:spacing w:after="0" w:line="346" w:lineRule="auto"/>
        <w:tabs>
          <w:tab w:leader="none" w:pos="637"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Section 1(e) of the Agreement is hereby amended to read as follows: “(e)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r>
        <w:rPr>
          <w:rFonts w:ascii="Arial" w:cs="Arial" w:eastAsia="Arial" w:hAnsi="Arial"/>
          <w:sz w:val="18"/>
          <w:szCs w:val="18"/>
          <w:color w:val="auto"/>
        </w:rPr>
        <w:t xml:space="preserve"> – means October 27, 2003.”</w:t>
      </w:r>
    </w:p>
    <w:p>
      <w:pPr>
        <w:spacing w:after="0" w:line="51" w:lineRule="exact"/>
        <w:rPr>
          <w:rFonts w:ascii="Arial" w:cs="Arial" w:eastAsia="Arial" w:hAnsi="Arial"/>
          <w:sz w:val="18"/>
          <w:szCs w:val="18"/>
          <w:color w:val="auto"/>
        </w:rPr>
      </w:pPr>
    </w:p>
    <w:p>
      <w:pPr>
        <w:ind w:right="180" w:firstLine="464"/>
        <w:spacing w:after="0" w:line="268" w:lineRule="auto"/>
        <w:tabs>
          <w:tab w:leader="none" w:pos="632"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WYNN LAS VEGAS, LLC</w:t>
            </w:r>
          </w:p>
        </w:tc>
        <w:tc>
          <w:tcPr>
            <w:tcW w:w="13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By: /s/ Marc Schorr</w:t>
            </w:r>
          </w:p>
        </w:tc>
        <w:tc>
          <w:tcPr>
            <w:tcW w:w="134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 David Sisk</w:t>
            </w:r>
          </w:p>
        </w:tc>
      </w:tr>
      <w:tr>
        <w:trPr>
          <w:trHeight w:val="110"/>
        </w:trPr>
        <w:tc>
          <w:tcPr>
            <w:tcW w:w="380" w:type="dxa"/>
            <w:vAlign w:val="bottom"/>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r>
      <w:tr>
        <w:trPr>
          <w:trHeight w:val="309"/>
        </w:trPr>
        <w:tc>
          <w:tcPr>
            <w:tcW w:w="38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Marc Schorr</w:t>
            </w:r>
          </w:p>
        </w:tc>
        <w:tc>
          <w:tcPr>
            <w:tcW w:w="134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David Sisk</w:t>
            </w:r>
          </w:p>
        </w:tc>
      </w:tr>
      <w:tr>
        <w:trPr>
          <w:trHeight w:val="222"/>
        </w:trPr>
        <w:tc>
          <w:tcPr>
            <w:tcW w:w="3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CEO &amp; President</w:t>
            </w:r>
          </w:p>
        </w:tc>
        <w:tc>
          <w:tcPr>
            <w:tcW w:w="1340" w:type="dxa"/>
            <w:vAlign w:val="bottom"/>
          </w:tcPr>
          <w:p>
            <w:pPr>
              <w:spacing w:after="0"/>
              <w:rPr>
                <w:sz w:val="19"/>
                <w:szCs w:val="19"/>
                <w:color w:val="auto"/>
              </w:rPr>
            </w:pPr>
          </w:p>
        </w:tc>
        <w:tc>
          <w:tcPr>
            <w:tcW w:w="4240" w:type="dxa"/>
            <w:vAlign w:val="bottom"/>
          </w:tcPr>
          <w:p>
            <w:pPr>
              <w:spacing w:after="0"/>
              <w:rPr>
                <w:sz w:val="19"/>
                <w:szCs w:val="19"/>
                <w:color w:val="auto"/>
              </w:rPr>
            </w:pPr>
          </w:p>
        </w:tc>
      </w:tr>
    </w:tbl>
    <w:p>
      <w:pPr>
        <w:sectPr>
          <w:pgSz w:w="11900" w:h="16838" w:orient="portrait"/>
          <w:cols w:equalWidth="0" w:num="1">
            <w:col w:w="11420"/>
          </w:cols>
          <w:pgMar w:left="240" w:top="125" w:right="2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10.34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EMPLOYMENT AGREEMENT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w:t>
      </w:r>
    </w:p>
    <w:p>
      <w:pPr>
        <w:spacing w:after="0" w:line="15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by and between –</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dba Le Rêve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(“Employer”)</w:t>
      </w:r>
    </w:p>
    <w:p>
      <w:pPr>
        <w:spacing w:after="0" w:line="15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and –</w:t>
      </w:r>
    </w:p>
    <w:p>
      <w:pPr>
        <w:spacing w:after="0" w:line="15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ARTHUR NATHAN</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170180</wp:posOffset>
            </wp:positionV>
            <wp:extent cx="124333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as of December 11,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09" w:name="page410"/>
    <w:bookmarkEnd w:id="409"/>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AGREEMENT</w:t>
      </w:r>
    </w:p>
    <w:p>
      <w:pPr>
        <w:spacing w:after="0" w:line="152" w:lineRule="exact"/>
        <w:rPr>
          <w:sz w:val="20"/>
          <w:szCs w:val="20"/>
          <w:color w:val="auto"/>
        </w:rPr>
      </w:pPr>
    </w:p>
    <w:p>
      <w:pPr>
        <w:ind w:right="340" w:firstLine="913"/>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11 day of December 2002, by and between</w:t>
      </w:r>
      <w:r>
        <w:rPr>
          <w:rFonts w:ascii="Arial" w:cs="Arial" w:eastAsia="Arial" w:hAnsi="Arial"/>
          <w:sz w:val="18"/>
          <w:szCs w:val="18"/>
          <w:b w:val="1"/>
          <w:bCs w:val="1"/>
          <w:color w:val="auto"/>
        </w:rPr>
        <w:t xml:space="preserve"> WYNN LAS VEGAS, LLC, dba Le Reve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Arthur Nathan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15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limited liability company duly organized and existing under the laws of the State of Nevada, maintains its principal place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business at 3145 Las Vegas Blvd. South, Las Vegas, Nevada 89109, and is engaged at such place in the business of developing and operating casino resorts; and,</w:t>
      </w:r>
    </w:p>
    <w:p>
      <w:pPr>
        <w:spacing w:after="0" w:line="127" w:lineRule="exact"/>
        <w:rPr>
          <w:sz w:val="20"/>
          <w:szCs w:val="20"/>
          <w:color w:val="auto"/>
        </w:rPr>
      </w:pPr>
    </w:p>
    <w:p>
      <w:pPr>
        <w:ind w:left="920" w:right="2240"/>
        <w:spacing w:after="0" w:line="475" w:lineRule="auto"/>
        <w:rPr>
          <w:sz w:val="20"/>
          <w:szCs w:val="20"/>
          <w:color w:val="auto"/>
        </w:rPr>
      </w:pPr>
      <w:r>
        <w:rPr>
          <w:rFonts w:ascii="Arial" w:cs="Arial" w:eastAsia="Arial" w:hAnsi="Arial"/>
          <w:sz w:val="16"/>
          <w:szCs w:val="16"/>
          <w:b w:val="1"/>
          <w:bCs w:val="1"/>
          <w:i w:val="1"/>
          <w:iCs w:val="1"/>
          <w:color w:val="auto"/>
        </w:rPr>
        <w:t xml:space="preserve">WHEREAS, </w:t>
      </w:r>
      <w:r>
        <w:rPr>
          <w:rFonts w:ascii="Arial" w:cs="Arial" w:eastAsia="Arial" w:hAnsi="Arial"/>
          <w:sz w:val="16"/>
          <w:szCs w:val="16"/>
          <w:color w:val="auto"/>
        </w:rPr>
        <w:t>in furtherance of its business, Employer has need of qualified, experienced executive management; and,</w:t>
      </w:r>
      <w:r>
        <w:rPr>
          <w:rFonts w:ascii="Arial" w:cs="Arial" w:eastAsia="Arial" w:hAnsi="Arial"/>
          <w:sz w:val="16"/>
          <w:szCs w:val="16"/>
          <w:b w:val="1"/>
          <w:bCs w:val="1"/>
          <w:i w:val="1"/>
          <w:iCs w:val="1"/>
          <w:color w:val="auto"/>
        </w:rPr>
        <w:t xml:space="preserve"> WHEREAS, </w:t>
      </w:r>
      <w:r>
        <w:rPr>
          <w:rFonts w:ascii="Arial" w:cs="Arial" w:eastAsia="Arial" w:hAnsi="Arial"/>
          <w:sz w:val="16"/>
          <w:szCs w:val="16"/>
          <w:color w:val="auto"/>
        </w:rPr>
        <w:t>Employee is an adult individual residing at 2005 Grouse Street, Las Vegas, Nevada 89134; and,</w:t>
      </w:r>
    </w:p>
    <w:p>
      <w:pPr>
        <w:spacing w:after="0" w:line="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and expertise in order to fulfill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of the employment stated in this Agreement; and,</w:t>
      </w:r>
    </w:p>
    <w:p>
      <w:pPr>
        <w:spacing w:after="0" w:line="118"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conditions set forth herein;</w:t>
      </w:r>
    </w:p>
    <w:p>
      <w:pPr>
        <w:spacing w:after="0" w:line="118"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hereby covenant and agree as follows:</w:t>
      </w:r>
    </w:p>
    <w:p>
      <w:pPr>
        <w:spacing w:after="0" w:line="46" w:lineRule="exact"/>
        <w:rPr>
          <w:sz w:val="20"/>
          <w:szCs w:val="20"/>
          <w:color w:val="auto"/>
        </w:rPr>
      </w:pPr>
    </w:p>
    <w:p>
      <w:pPr>
        <w:ind w:right="340" w:firstLine="464"/>
        <w:spacing w:after="0" w:line="268" w:lineRule="auto"/>
        <w:tabs>
          <w:tab w:leader="none" w:pos="632" w:val="left"/>
        </w:tabs>
        <w:numPr>
          <w:ilvl w:val="0"/>
          <w:numId w:val="3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herein,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meaning clearly appears from the context:</w:t>
      </w:r>
    </w:p>
    <w:p>
      <w:pPr>
        <w:spacing w:after="0" w:line="31" w:lineRule="exact"/>
        <w:rPr>
          <w:rFonts w:ascii="Arial" w:cs="Arial" w:eastAsia="Arial" w:hAnsi="Arial"/>
          <w:sz w:val="18"/>
          <w:szCs w:val="18"/>
          <w:b w:val="1"/>
          <w:bCs w:val="1"/>
          <w:i w:val="1"/>
          <w:iCs w:val="1"/>
          <w:color w:val="auto"/>
        </w:rPr>
      </w:pPr>
    </w:p>
    <w:p>
      <w:pPr>
        <w:ind w:left="460" w:right="200" w:firstLine="443"/>
        <w:spacing w:after="0" w:line="258" w:lineRule="auto"/>
        <w:tabs>
          <w:tab w:leader="none" w:pos="1137" w:val="left"/>
        </w:tabs>
        <w:numPr>
          <w:ilvl w:val="1"/>
          <w:numId w:val="3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w:t>
      </w:r>
    </w:p>
    <w:p>
      <w:pPr>
        <w:sectPr>
          <w:pgSz w:w="11900" w:h="16838" w:orient="portrait"/>
          <w:cols w:equalWidth="0" w:num="1">
            <w:col w:w="11400"/>
          </w:cols>
          <w:pgMar w:left="240" w:top="280" w:right="259" w:bottom="1440" w:gutter="0" w:footer="0" w:header="0"/>
        </w:sectPr>
      </w:pPr>
    </w:p>
    <w:bookmarkStart w:id="410" w:name="page411"/>
    <w:bookmarkEnd w:id="410"/>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individual, partnership, trust or other entity or association, the possession, directly or indirectly, of the power to direct or cause the direction of the management or policies of the controlled entity.</w:t>
      </w:r>
    </w:p>
    <w:p>
      <w:pPr>
        <w:spacing w:after="0" w:line="31" w:lineRule="exact"/>
        <w:rPr>
          <w:sz w:val="20"/>
          <w:szCs w:val="20"/>
          <w:color w:val="auto"/>
        </w:rPr>
      </w:pPr>
    </w:p>
    <w:p>
      <w:pPr>
        <w:ind w:left="700" w:hanging="257"/>
        <w:spacing w:after="0"/>
        <w:tabs>
          <w:tab w:leader="none" w:pos="7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82" w:lineRule="exact"/>
        <w:rPr>
          <w:rFonts w:ascii="Arial" w:cs="Arial" w:eastAsia="Arial" w:hAnsi="Arial"/>
          <w:sz w:val="18"/>
          <w:szCs w:val="18"/>
          <w:color w:val="auto"/>
        </w:rPr>
      </w:pPr>
    </w:p>
    <w:p>
      <w:pPr>
        <w:ind w:left="1100" w:hanging="219"/>
        <w:spacing w:after="0"/>
        <w:tabs>
          <w:tab w:leader="none" w:pos="110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99" w:lineRule="exact"/>
        <w:rPr>
          <w:rFonts w:ascii="Arial" w:cs="Arial" w:eastAsia="Arial" w:hAnsi="Arial"/>
          <w:sz w:val="16"/>
          <w:szCs w:val="16"/>
          <w:color w:val="auto"/>
        </w:rPr>
      </w:pPr>
    </w:p>
    <w:p>
      <w:pPr>
        <w:ind w:left="460" w:right="60" w:firstLine="421"/>
        <w:spacing w:after="0" w:line="268" w:lineRule="auto"/>
        <w:tabs>
          <w:tab w:leader="none" w:pos="1138" w:val="left"/>
        </w:tabs>
        <w:numPr>
          <w:ilvl w:val="1"/>
          <w:numId w:val="328"/>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37" w:lineRule="exact"/>
        <w:rPr>
          <w:rFonts w:ascii="Arial" w:cs="Arial" w:eastAsia="Arial" w:hAnsi="Arial"/>
          <w:sz w:val="18"/>
          <w:szCs w:val="18"/>
          <w:color w:val="auto"/>
        </w:rPr>
      </w:pPr>
    </w:p>
    <w:p>
      <w:pPr>
        <w:ind w:left="460" w:firstLine="421"/>
        <w:spacing w:after="0" w:line="325" w:lineRule="auto"/>
        <w:tabs>
          <w:tab w:leader="none" w:pos="1187" w:val="left"/>
        </w:tabs>
        <w:numPr>
          <w:ilvl w:val="1"/>
          <w:numId w:val="328"/>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1" w:lineRule="exact"/>
        <w:rPr>
          <w:rFonts w:ascii="Arial" w:cs="Arial" w:eastAsia="Arial" w:hAnsi="Arial"/>
          <w:sz w:val="16"/>
          <w:szCs w:val="16"/>
          <w:color w:val="auto"/>
        </w:rPr>
      </w:pPr>
    </w:p>
    <w:p>
      <w:pPr>
        <w:ind w:left="460" w:right="140" w:firstLine="421"/>
        <w:spacing w:after="0" w:line="259" w:lineRule="auto"/>
        <w:tabs>
          <w:tab w:leader="none" w:pos="1177" w:val="left"/>
        </w:tabs>
        <w:numPr>
          <w:ilvl w:val="1"/>
          <w:numId w:val="328"/>
        </w:numPr>
        <w:rPr>
          <w:rFonts w:ascii="Arial" w:cs="Arial" w:eastAsia="Arial" w:hAnsi="Arial"/>
          <w:sz w:val="18"/>
          <w:szCs w:val="18"/>
          <w:color w:val="auto"/>
        </w:rPr>
      </w:pPr>
      <w:r>
        <w:rPr>
          <w:rFonts w:ascii="Arial" w:cs="Arial" w:eastAsia="Arial" w:hAnsi="Arial"/>
          <w:sz w:val="18"/>
          <w:szCs w:val="18"/>
          <w:color w:val="auto"/>
        </w:rPr>
        <w:t>Employee’s breach, neglect, refusal, or failure to materially discharge his duties (other than due to physical or mental illness) commensurate with his title and function, or Employee’s failure to comply with the lawful directions of Employer’s Board of Directors, that is not cured within fifteen (15) days after Employee has received written notice thereof from the Board;</w:t>
      </w:r>
    </w:p>
    <w:p>
      <w:pPr>
        <w:spacing w:after="0" w:line="45" w:lineRule="exact"/>
        <w:rPr>
          <w:rFonts w:ascii="Arial" w:cs="Arial" w:eastAsia="Arial" w:hAnsi="Arial"/>
          <w:sz w:val="18"/>
          <w:szCs w:val="18"/>
          <w:color w:val="auto"/>
        </w:rPr>
      </w:pPr>
    </w:p>
    <w:p>
      <w:pPr>
        <w:ind w:left="1120" w:hanging="239"/>
        <w:spacing w:after="0"/>
        <w:tabs>
          <w:tab w:leader="none" w:pos="112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Board of Directors;</w:t>
      </w:r>
    </w:p>
    <w:p>
      <w:pPr>
        <w:spacing w:after="0" w:line="76" w:lineRule="exact"/>
        <w:rPr>
          <w:rFonts w:ascii="Arial" w:cs="Arial" w:eastAsia="Arial" w:hAnsi="Arial"/>
          <w:sz w:val="18"/>
          <w:szCs w:val="18"/>
          <w:color w:val="auto"/>
        </w:rPr>
      </w:pPr>
    </w:p>
    <w:p>
      <w:pPr>
        <w:ind w:left="1180" w:hanging="299"/>
        <w:spacing w:after="0"/>
        <w:tabs>
          <w:tab w:leader="none" w:pos="118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a willful violation of a material policy of Employer, which does or could result in material harm to Employer or to Employer’s reputation;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70" w:lineRule="exact"/>
        <w:rPr>
          <w:rFonts w:ascii="Arial" w:cs="Arial" w:eastAsia="Arial" w:hAnsi="Arial"/>
          <w:sz w:val="16"/>
          <w:szCs w:val="16"/>
          <w:color w:val="auto"/>
        </w:rPr>
      </w:pPr>
    </w:p>
    <w:p>
      <w:pPr>
        <w:ind w:left="1220" w:hanging="339"/>
        <w:spacing w:after="0"/>
        <w:tabs>
          <w:tab w:leader="none" w:pos="122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u w:val="single" w:color="auto"/>
          <w:color w:val="auto"/>
        </w:rPr>
        <w:t>however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herein.</w:t>
      </w:r>
    </w:p>
    <w:p>
      <w:pPr>
        <w:spacing w:after="0" w:line="11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700" w:top="280" w:right="339" w:bottom="1440" w:gutter="0" w:footer="0" w:header="0"/>
        </w:sectPr>
      </w:pPr>
    </w:p>
    <w:bookmarkStart w:id="411" w:name="page412"/>
    <w:bookmarkEnd w:id="411"/>
    <w:p>
      <w:pPr>
        <w:ind w:left="237" w:hanging="237"/>
        <w:spacing w:after="0"/>
        <w:tabs>
          <w:tab w:leader="none" w:pos="237" w:val="left"/>
        </w:tabs>
        <w:numPr>
          <w:ilvl w:val="0"/>
          <w:numId w:val="3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 means the occurrence, after the Effective Date, of any of the following events:</w:t>
      </w:r>
    </w:p>
    <w:p>
      <w:pPr>
        <w:spacing w:after="0" w:line="82" w:lineRule="exact"/>
        <w:rPr>
          <w:rFonts w:ascii="Arial" w:cs="Arial" w:eastAsia="Arial" w:hAnsi="Arial"/>
          <w:sz w:val="18"/>
          <w:szCs w:val="18"/>
          <w:color w:val="auto"/>
        </w:rPr>
      </w:pPr>
    </w:p>
    <w:p>
      <w:pPr>
        <w:ind w:left="17" w:right="60" w:firstLine="421"/>
        <w:spacing w:after="0" w:line="255" w:lineRule="auto"/>
        <w:tabs>
          <w:tab w:leader="none" w:pos="647"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Employer, or of any entity resulting from a merger or consolidation involving Employer, representing more than fifty percent (50%) of the combined voting power of the then outstanding securities of Employer or such entity;</w:t>
      </w:r>
    </w:p>
    <w:p>
      <w:pPr>
        <w:spacing w:after="0" w:line="48" w:lineRule="exact"/>
        <w:rPr>
          <w:rFonts w:ascii="Arial" w:cs="Arial" w:eastAsia="Arial" w:hAnsi="Arial"/>
          <w:sz w:val="18"/>
          <w:szCs w:val="18"/>
          <w:color w:val="auto"/>
        </w:rPr>
      </w:pPr>
    </w:p>
    <w:p>
      <w:pPr>
        <w:ind w:left="17" w:firstLine="421"/>
        <w:spacing w:after="0" w:line="289" w:lineRule="auto"/>
        <w:tabs>
          <w:tab w:leader="none" w:pos="696" w:val="left"/>
        </w:tabs>
        <w:numPr>
          <w:ilvl w:val="1"/>
          <w:numId w:val="329"/>
        </w:numPr>
        <w:rPr>
          <w:rFonts w:ascii="Arial" w:cs="Arial" w:eastAsia="Arial" w:hAnsi="Arial"/>
          <w:sz w:val="16"/>
          <w:szCs w:val="16"/>
          <w:color w:val="auto"/>
        </w:rPr>
      </w:pPr>
      <w:r>
        <w:rPr>
          <w:rFonts w:ascii="Arial" w:cs="Arial" w:eastAsia="Arial" w:hAnsi="Arial"/>
          <w:sz w:val="16"/>
          <w:szCs w:val="16"/>
          <w:color w:val="auto"/>
        </w:rPr>
        <w:t xml:space="preserve">the individuals who, as of the time immediately following the closing of Employer’s initial public offering, are members of Employer’s Board of Directors (the “Existing Directors”) cease, for any reason, to constitute more than fifty percent (50%) of the number of authorized directors of Employer as determined in the manner prescribed in Employer’s Articles of Incorporation and Bylaws;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if the election, or nomination for election, by Employer’s stockholders of any new director was approved by a vote of at least fifty percent (50%) of the Existing Directors, such new director shall be considered an Existing Director; </w:t>
      </w:r>
      <w:r>
        <w:rPr>
          <w:rFonts w:ascii="Arial" w:cs="Arial" w:eastAsia="Arial" w:hAnsi="Arial"/>
          <w:sz w:val="16"/>
          <w:szCs w:val="16"/>
          <w:i w:val="1"/>
          <w:iCs w:val="1"/>
          <w:u w:val="single" w:color="auto"/>
          <w:color w:val="auto"/>
        </w:rPr>
        <w:t>provided further</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23" w:lineRule="exact"/>
        <w:rPr>
          <w:rFonts w:ascii="Arial" w:cs="Arial" w:eastAsia="Arial" w:hAnsi="Arial"/>
          <w:sz w:val="16"/>
          <w:szCs w:val="16"/>
          <w:color w:val="auto"/>
        </w:rPr>
      </w:pPr>
    </w:p>
    <w:p>
      <w:pPr>
        <w:ind w:left="17" w:right="20" w:firstLine="421"/>
        <w:spacing w:after="0" w:line="291" w:lineRule="auto"/>
        <w:tabs>
          <w:tab w:leader="none" w:pos="744" w:val="left"/>
        </w:tabs>
        <w:numPr>
          <w:ilvl w:val="1"/>
          <w:numId w:val="329"/>
        </w:numPr>
        <w:rPr>
          <w:rFonts w:ascii="Arial" w:cs="Arial" w:eastAsia="Arial" w:hAnsi="Arial"/>
          <w:sz w:val="16"/>
          <w:szCs w:val="16"/>
          <w:color w:val="auto"/>
        </w:rPr>
      </w:pPr>
      <w:r>
        <w:rPr>
          <w:rFonts w:ascii="Arial" w:cs="Arial" w:eastAsia="Arial" w:hAnsi="Arial"/>
          <w:sz w:val="16"/>
          <w:szCs w:val="16"/>
          <w:color w:val="auto"/>
        </w:rPr>
        <w:t xml:space="preserve">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such Transaction shall constitute a “Change in Control” under this subparagraph (iii) if the</w:t>
      </w:r>
    </w:p>
    <w:p>
      <w:pPr>
        <w:spacing w:after="0" w:line="107" w:lineRule="exact"/>
        <w:rPr>
          <w:sz w:val="20"/>
          <w:szCs w:val="20"/>
          <w:color w:val="auto"/>
        </w:rPr>
      </w:pPr>
    </w:p>
    <w:p>
      <w:pPr>
        <w:ind w:left="477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57"/>
          </w:cols>
          <w:pgMar w:left="1143" w:top="274" w:right="299" w:bottom="1440" w:gutter="0" w:footer="0" w:header="0"/>
        </w:sectPr>
      </w:pPr>
    </w:p>
    <w:bookmarkStart w:id="412" w:name="page413"/>
    <w:bookmarkEnd w:id="412"/>
    <w:p>
      <w:pPr>
        <w:ind w:left="460" w:right="8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w:t>
      </w:r>
    </w:p>
    <w:p>
      <w:pPr>
        <w:spacing w:after="0" w:line="1" w:lineRule="exact"/>
        <w:rPr>
          <w:sz w:val="20"/>
          <w:szCs w:val="20"/>
          <w:color w:val="auto"/>
        </w:rPr>
      </w:pPr>
    </w:p>
    <w:p>
      <w:pPr>
        <w:ind w:left="460" w:firstLine="1"/>
        <w:spacing w:after="0" w:line="255" w:lineRule="auto"/>
        <w:tabs>
          <w:tab w:leader="none" w:pos="76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or the Person to 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pacing w:after="0" w:line="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40" w:lineRule="exact"/>
        <w:rPr>
          <w:sz w:val="20"/>
          <w:szCs w:val="20"/>
          <w:color w:val="auto"/>
        </w:rPr>
      </w:pPr>
    </w:p>
    <w:p>
      <w:pPr>
        <w:ind w:right="580" w:firstLine="443"/>
        <w:spacing w:after="0" w:line="275" w:lineRule="auto"/>
        <w:tabs>
          <w:tab w:leader="none" w:pos="68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color w:val="auto"/>
        </w:rPr>
        <w:t>” - means the inability of Employee, due to illness or accident or other mental or physical incapacity, to perform his obligations under this Agreement for a period as defined by Employer’s disability plan or plans.</w:t>
      </w:r>
    </w:p>
    <w:p>
      <w:pPr>
        <w:spacing w:after="0" w:line="25" w:lineRule="exact"/>
        <w:rPr>
          <w:rFonts w:ascii="Arial" w:cs="Arial" w:eastAsia="Arial" w:hAnsi="Arial"/>
          <w:sz w:val="18"/>
          <w:szCs w:val="18"/>
          <w:color w:val="auto"/>
        </w:rPr>
      </w:pPr>
    </w:p>
    <w:p>
      <w:pPr>
        <w:ind w:left="680" w:hanging="237"/>
        <w:spacing w:after="0"/>
        <w:tabs>
          <w:tab w:leader="none" w:pos="6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January 6, 2003.</w:t>
      </w:r>
    </w:p>
    <w:p>
      <w:pPr>
        <w:spacing w:after="0" w:line="77" w:lineRule="exact"/>
        <w:rPr>
          <w:sz w:val="20"/>
          <w:szCs w:val="20"/>
          <w:color w:val="auto"/>
        </w:rPr>
      </w:pPr>
    </w:p>
    <w:p>
      <w:pPr>
        <w:ind w:right="100" w:firstLine="443"/>
        <w:spacing w:after="0" w:line="262" w:lineRule="auto"/>
        <w:tabs>
          <w:tab w:leader="none" w:pos="68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43" w:lineRule="exact"/>
        <w:rPr>
          <w:rFonts w:ascii="Arial" w:cs="Arial" w:eastAsia="Arial" w:hAnsi="Arial"/>
          <w:sz w:val="18"/>
          <w:szCs w:val="18"/>
          <w:color w:val="auto"/>
        </w:rPr>
      </w:pPr>
    </w:p>
    <w:p>
      <w:pPr>
        <w:ind w:left="1100" w:hanging="219"/>
        <w:spacing w:after="0"/>
        <w:tabs>
          <w:tab w:leader="none" w:pos="11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Subparagraph 8(a) below);</w:t>
      </w:r>
    </w:p>
    <w:p>
      <w:pPr>
        <w:spacing w:after="0" w:line="76" w:lineRule="exact"/>
        <w:rPr>
          <w:rFonts w:ascii="Arial" w:cs="Arial" w:eastAsia="Arial" w:hAnsi="Arial"/>
          <w:sz w:val="18"/>
          <w:szCs w:val="18"/>
          <w:color w:val="auto"/>
        </w:rPr>
      </w:pPr>
    </w:p>
    <w:p>
      <w:pPr>
        <w:ind w:left="460" w:right="140" w:firstLine="421"/>
        <w:spacing w:after="0" w:line="306" w:lineRule="auto"/>
        <w:tabs>
          <w:tab w:leader="none" w:pos="1138" w:val="left"/>
        </w:tabs>
        <w:numPr>
          <w:ilvl w:val="1"/>
          <w:numId w:val="332"/>
        </w:numPr>
        <w:rPr>
          <w:rFonts w:ascii="Arial" w:cs="Arial" w:eastAsia="Arial" w:hAnsi="Arial"/>
          <w:sz w:val="16"/>
          <w:szCs w:val="16"/>
          <w:color w:val="auto"/>
        </w:rPr>
      </w:pPr>
      <w:r>
        <w:rPr>
          <w:rFonts w:ascii="Arial" w:cs="Arial" w:eastAsia="Arial" w:hAnsi="Arial"/>
          <w:sz w:val="16"/>
          <w:szCs w:val="16"/>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9" w:right="259" w:bottom="1440" w:gutter="0" w:footer="0" w:header="0"/>
        </w:sectPr>
      </w:pPr>
    </w:p>
    <w:bookmarkStart w:id="413" w:name="page414"/>
    <w:bookmarkEnd w:id="413"/>
    <w:p>
      <w:pPr>
        <w:ind w:left="900" w:right="540" w:firstLine="421"/>
        <w:spacing w:after="0" w:line="268" w:lineRule="auto"/>
        <w:tabs>
          <w:tab w:leader="none" w:pos="1627" w:val="left"/>
        </w:tabs>
        <w:numPr>
          <w:ilvl w:val="0"/>
          <w:numId w:val="3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Employer materially reduces the aggregate benefits and perquisites to Employee from those being provided immediately before the Change in Control;</w:t>
      </w:r>
    </w:p>
    <w:p>
      <w:pPr>
        <w:spacing w:after="0" w:line="37" w:lineRule="exact"/>
        <w:rPr>
          <w:rFonts w:ascii="Arial" w:cs="Arial" w:eastAsia="Arial" w:hAnsi="Arial"/>
          <w:sz w:val="18"/>
          <w:szCs w:val="18"/>
          <w:color w:val="auto"/>
        </w:rPr>
      </w:pPr>
    </w:p>
    <w:p>
      <w:pPr>
        <w:ind w:left="900" w:firstLine="421"/>
        <w:spacing w:after="0" w:line="325" w:lineRule="auto"/>
        <w:tabs>
          <w:tab w:leader="none" w:pos="1617" w:val="left"/>
        </w:tabs>
        <w:numPr>
          <w:ilvl w:val="0"/>
          <w:numId w:val="333"/>
        </w:numPr>
        <w:rPr>
          <w:rFonts w:ascii="Arial" w:cs="Arial" w:eastAsia="Arial" w:hAnsi="Arial"/>
          <w:sz w:val="16"/>
          <w:szCs w:val="16"/>
          <w:color w:val="auto"/>
        </w:rPr>
      </w:pPr>
      <w:r>
        <w:rPr>
          <w:rFonts w:ascii="Arial" w:cs="Arial" w:eastAsia="Arial" w:hAnsi="Arial"/>
          <w:sz w:val="16"/>
          <w:szCs w:val="16"/>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1" w:lineRule="exact"/>
        <w:rPr>
          <w:rFonts w:ascii="Arial" w:cs="Arial" w:eastAsia="Arial" w:hAnsi="Arial"/>
          <w:sz w:val="16"/>
          <w:szCs w:val="16"/>
          <w:color w:val="auto"/>
        </w:rPr>
      </w:pPr>
    </w:p>
    <w:p>
      <w:pPr>
        <w:ind w:left="900" w:right="900" w:firstLine="421"/>
        <w:spacing w:after="0" w:line="268" w:lineRule="auto"/>
        <w:tabs>
          <w:tab w:leader="none" w:pos="156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37" w:lineRule="exact"/>
        <w:rPr>
          <w:rFonts w:ascii="Arial" w:cs="Arial" w:eastAsia="Arial" w:hAnsi="Arial"/>
          <w:sz w:val="18"/>
          <w:szCs w:val="18"/>
          <w:color w:val="auto"/>
        </w:rPr>
      </w:pPr>
    </w:p>
    <w:p>
      <w:pPr>
        <w:ind w:left="1620" w:hanging="299"/>
        <w:spacing w:after="0"/>
        <w:tabs>
          <w:tab w:leader="none" w:pos="162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successor to Employer fails or refuses expressly to assume in writing the obligations of Employer under this Agreement.</w:t>
      </w:r>
    </w:p>
    <w:p>
      <w:pPr>
        <w:spacing w:after="0" w:line="100" w:lineRule="exact"/>
        <w:rPr>
          <w:sz w:val="20"/>
          <w:szCs w:val="20"/>
          <w:color w:val="auto"/>
        </w:rPr>
      </w:pPr>
    </w:p>
    <w:p>
      <w:pPr>
        <w:ind w:left="440" w:right="24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31" w:lineRule="exact"/>
        <w:rPr>
          <w:sz w:val="20"/>
          <w:szCs w:val="20"/>
          <w:color w:val="auto"/>
        </w:rPr>
      </w:pPr>
    </w:p>
    <w:p>
      <w:pPr>
        <w:jc w:val="both"/>
        <w:ind w:left="440" w:right="140" w:firstLine="443"/>
        <w:spacing w:after="0" w:line="301" w:lineRule="auto"/>
        <w:tabs>
          <w:tab w:leader="none" w:pos="1127" w:val="left"/>
        </w:tabs>
        <w:numPr>
          <w:ilvl w:val="1"/>
          <w:numId w:val="334"/>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Separation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means a lump sum equal to (A) Employee’s Base Salary (as defined in Subparagraph 8(a) of this Agreement)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twelve (12) months immediately following termination, plus (B) the bonus that was paid to Employee under Subparagraph 8(b) for the preceding bonus period, projected over the twelve (12) months following that bonus period, plus (C) any accrued but unpaid vacation pay, plus (D) any Gross-Up Payment required by Exhibit 1 to this Agreement, which is incorporated herein by reference.</w:t>
      </w:r>
    </w:p>
    <w:p>
      <w:pPr>
        <w:spacing w:after="0" w:line="95" w:lineRule="exact"/>
        <w:rPr>
          <w:rFonts w:ascii="Arial" w:cs="Arial" w:eastAsia="Arial" w:hAnsi="Arial"/>
          <w:sz w:val="16"/>
          <w:szCs w:val="16"/>
          <w:color w:val="auto"/>
        </w:rPr>
      </w:pPr>
    </w:p>
    <w:p>
      <w:pPr>
        <w:ind w:left="-20" w:right="140" w:firstLine="464"/>
        <w:spacing w:after="0" w:line="256" w:lineRule="auto"/>
        <w:tabs>
          <w:tab w:leader="none" w:pos="612" w:val="left"/>
        </w:tabs>
        <w:numPr>
          <w:ilvl w:val="0"/>
          <w:numId w:val="3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PRIOR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supersedes and replaces any and all prior employment agreements, change in control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plans or agreements, whether written or oral, by and between Employee, on the one side, and Employer or any of Employer’s Affiliates, on the other side, or under which Employee is a participant. From and after the Effective Date, Employee shall be the employee of Employer under the terms and pursuant to the conditions set forth in this Agreement.</w:t>
      </w:r>
    </w:p>
    <w:p>
      <w:pPr>
        <w:spacing w:after="0" w:line="129" w:lineRule="exact"/>
        <w:rPr>
          <w:rFonts w:ascii="Arial" w:cs="Arial" w:eastAsia="Arial" w:hAnsi="Arial"/>
          <w:sz w:val="18"/>
          <w:szCs w:val="18"/>
          <w:b w:val="1"/>
          <w:bCs w:val="1"/>
          <w:i w:val="1"/>
          <w:iCs w:val="1"/>
          <w:color w:val="auto"/>
        </w:rPr>
      </w:pPr>
    </w:p>
    <w:p>
      <w:pPr>
        <w:ind w:left="-20" w:right="80" w:firstLine="464"/>
        <w:spacing w:after="0" w:line="298" w:lineRule="auto"/>
        <w:tabs>
          <w:tab w:leader="none" w:pos="612" w:val="left"/>
        </w:tabs>
        <w:numPr>
          <w:ilvl w:val="0"/>
          <w:numId w:val="3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BASIC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 set forth, Employer hereby employs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Term hereinafter specified to serve in a managerial or executive capacity, under a title and with such duties not inconsistent with those set forth in Paragraph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9" w:right="239" w:bottom="1440" w:gutter="0" w:footer="0" w:header="0"/>
        </w:sectPr>
      </w:pPr>
    </w:p>
    <w:bookmarkStart w:id="414" w:name="page415"/>
    <w:bookmarkEnd w:id="414"/>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being understood that, prior to a Change in Control, no change in Employee’s titles or reporting responsibilities shall in itself be a basis for finding a material reduction in the level of duties.</w:t>
      </w:r>
    </w:p>
    <w:p>
      <w:pPr>
        <w:spacing w:after="0" w:line="118" w:lineRule="exact"/>
        <w:rPr>
          <w:sz w:val="20"/>
          <w:szCs w:val="20"/>
          <w:color w:val="auto"/>
        </w:rPr>
      </w:pPr>
    </w:p>
    <w:p>
      <w:pPr>
        <w:ind w:right="40" w:firstLine="464"/>
        <w:spacing w:after="0" w:line="290" w:lineRule="auto"/>
        <w:tabs>
          <w:tab w:leader="none" w:pos="632" w:val="left"/>
        </w:tabs>
        <w:numPr>
          <w:ilvl w:val="0"/>
          <w:numId w:val="3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DUTIES OF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shall perform such duties assigned to Employee by Employer as are generally associated with the duties of</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Senior Vice President – Chief Human Resources Officer </w:t>
      </w:r>
      <w:r>
        <w:rPr>
          <w:rFonts w:ascii="Arial" w:cs="Arial" w:eastAsia="Arial" w:hAnsi="Arial"/>
          <w:sz w:val="16"/>
          <w:szCs w:val="16"/>
          <w:color w:val="auto"/>
        </w:rPr>
        <w:t>of Employer or such similar duties as may be assigned to Employee by Employer as Employer may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including, but not limited to (a) the efficient and continuous operation of Employer and Employer’s Affiliates, (b) the preparation of relevant budgets and allocation or relevant funds, (c) the selection and delegation of duties and responsibilities of subordinates, (d) the direction, review and oversight of all programs and projects under Employee’s supervision, and (e) such other and further related duties as specifically assigned by Employer to Employee. The foregoing notwithstanding, Employee shall devote such time to Employer’s Affiliates as may be required by Employer, provided such duties are not inconsistent with Employee’s primary duties to Employer hereunder.</w:t>
      </w:r>
    </w:p>
    <w:p>
      <w:pPr>
        <w:spacing w:after="0" w:line="104" w:lineRule="exact"/>
        <w:rPr>
          <w:rFonts w:ascii="Arial" w:cs="Arial" w:eastAsia="Arial" w:hAnsi="Arial"/>
          <w:sz w:val="16"/>
          <w:szCs w:val="16"/>
          <w:b w:val="1"/>
          <w:bCs w:val="1"/>
          <w:i w:val="1"/>
          <w:iCs w:val="1"/>
          <w:color w:val="auto"/>
        </w:rPr>
      </w:pPr>
    </w:p>
    <w:p>
      <w:pPr>
        <w:ind w:right="80" w:firstLine="464"/>
        <w:spacing w:after="0" w:line="254" w:lineRule="auto"/>
        <w:tabs>
          <w:tab w:leader="none" w:pos="632" w:val="left"/>
        </w:tabs>
        <w:numPr>
          <w:ilvl w:val="0"/>
          <w:numId w:val="3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ACCEPTANCE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hereby unconditionally accepts the employment set forth hereunder,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for Employee’s existing commitments as a part-time instructor at the Cornell University and the University of Nevada-Las Vegas, or upon Employer’s prior express written authorization to the contrary, Employee shall not perform any services for any casino, hotel/casino or other similar gaming or gambling operation not owned by Employer or any of Employer’s Affiliates.</w:t>
      </w:r>
    </w:p>
    <w:p>
      <w:pPr>
        <w:spacing w:after="0" w:line="124" w:lineRule="exact"/>
        <w:rPr>
          <w:rFonts w:ascii="Arial" w:cs="Arial" w:eastAsia="Arial" w:hAnsi="Arial"/>
          <w:sz w:val="18"/>
          <w:szCs w:val="18"/>
          <w:b w:val="1"/>
          <w:bCs w:val="1"/>
          <w:i w:val="1"/>
          <w:iCs w:val="1"/>
          <w:color w:val="auto"/>
        </w:rPr>
      </w:pPr>
    </w:p>
    <w:p>
      <w:pPr>
        <w:ind w:firstLine="464"/>
        <w:spacing w:after="0" w:line="339" w:lineRule="auto"/>
        <w:tabs>
          <w:tab w:leader="none" w:pos="632" w:val="left"/>
        </w:tabs>
        <w:numPr>
          <w:ilvl w:val="0"/>
          <w:numId w:val="3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sooner terminated as provided in this Agreement, the term of this Agreement (the “</w:t>
      </w:r>
      <w:r>
        <w:rPr>
          <w:rFonts w:ascii="Arial" w:cs="Arial" w:eastAsia="Arial" w:hAnsi="Arial"/>
          <w:sz w:val="16"/>
          <w:szCs w:val="16"/>
          <w:b w:val="1"/>
          <w:bCs w:val="1"/>
          <w:color w:val="auto"/>
        </w:rPr>
        <w:t>Term”</w:t>
      </w:r>
      <w:r>
        <w:rPr>
          <w:rFonts w:ascii="Arial" w:cs="Arial" w:eastAsia="Arial" w:hAnsi="Arial"/>
          <w:sz w:val="16"/>
          <w:szCs w:val="16"/>
          <w:color w:val="auto"/>
        </w:rPr>
        <w:t>) shall commence on the Effective Date of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and continue for a period of four (4) years, expiring at the end of the day preceding the fourth Anniversary of the Effective Date.</w:t>
      </w:r>
    </w:p>
    <w:p>
      <w:pPr>
        <w:spacing w:after="0" w:line="66" w:lineRule="exact"/>
        <w:rPr>
          <w:rFonts w:ascii="Arial" w:cs="Arial" w:eastAsia="Arial" w:hAnsi="Arial"/>
          <w:sz w:val="16"/>
          <w:szCs w:val="16"/>
          <w:b w:val="1"/>
          <w:bCs w:val="1"/>
          <w:i w:val="1"/>
          <w:iCs w:val="1"/>
          <w:color w:val="auto"/>
        </w:rPr>
      </w:pPr>
    </w:p>
    <w:p>
      <w:pPr>
        <w:ind w:right="20" w:firstLine="464"/>
        <w:spacing w:after="0" w:line="268" w:lineRule="auto"/>
        <w:tabs>
          <w:tab w:leader="none" w:pos="632" w:val="left"/>
        </w:tabs>
        <w:numPr>
          <w:ilvl w:val="0"/>
          <w:numId w:val="3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provisions of Paragraph 6 of this Agreement, this Agreement shall terminate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any of the following events:</w:t>
      </w:r>
    </w:p>
    <w:p>
      <w:pPr>
        <w:spacing w:after="0" w:line="37" w:lineRule="exact"/>
        <w:rPr>
          <w:rFonts w:ascii="Arial" w:cs="Arial" w:eastAsia="Arial" w:hAnsi="Arial"/>
          <w:sz w:val="18"/>
          <w:szCs w:val="18"/>
          <w:b w:val="1"/>
          <w:bCs w:val="1"/>
          <w:i w:val="1"/>
          <w:iCs w:val="1"/>
          <w:color w:val="auto"/>
        </w:rPr>
      </w:pPr>
    </w:p>
    <w:p>
      <w:pPr>
        <w:ind w:left="1140" w:hanging="237"/>
        <w:spacing w:after="0"/>
        <w:tabs>
          <w:tab w:leader="none" w:pos="114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99" w:lineRule="exact"/>
        <w:rPr>
          <w:rFonts w:ascii="Arial" w:cs="Arial" w:eastAsia="Arial" w:hAnsi="Arial"/>
          <w:sz w:val="16"/>
          <w:szCs w:val="16"/>
          <w:color w:val="auto"/>
        </w:rPr>
      </w:pPr>
    </w:p>
    <w:p>
      <w:pPr>
        <w:ind w:left="1140" w:hanging="237"/>
        <w:spacing w:after="0"/>
        <w:tabs>
          <w:tab w:leader="none" w:pos="114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415" w:name="page416"/>
    <w:bookmarkEnd w:id="415"/>
    <w:p>
      <w:pPr>
        <w:ind w:left="460" w:right="480" w:firstLine="443"/>
        <w:spacing w:after="0" w:line="268" w:lineRule="auto"/>
        <w:tabs>
          <w:tab w:leader="none" w:pos="1147" w:val="left"/>
        </w:tabs>
        <w:numPr>
          <w:ilvl w:val="1"/>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giving of written notice by Employer to Employee of the termination of this Agreement following a denial or revocation of Employee’s License (as defined in Subparagraph 9(b) of this Agreement).</w:t>
      </w:r>
    </w:p>
    <w:p>
      <w:pPr>
        <w:spacing w:after="0" w:line="31" w:lineRule="exact"/>
        <w:rPr>
          <w:rFonts w:ascii="Arial" w:cs="Arial" w:eastAsia="Arial" w:hAnsi="Arial"/>
          <w:sz w:val="18"/>
          <w:szCs w:val="18"/>
          <w:color w:val="auto"/>
        </w:rPr>
      </w:pPr>
    </w:p>
    <w:p>
      <w:pPr>
        <w:ind w:left="1140" w:hanging="237"/>
        <w:spacing w:after="0"/>
        <w:tabs>
          <w:tab w:leader="none" w:pos="114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Employer to Employee of the termination of this Agreement without Cause,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b w:val="1"/>
          <w:bCs w:val="1"/>
          <w:color w:val="auto"/>
        </w:rPr>
        <w:t>,</w:t>
      </w:r>
      <w:r>
        <w:rPr>
          <w:rFonts w:ascii="Arial" w:cs="Arial" w:eastAsia="Arial" w:hAnsi="Arial"/>
          <w:sz w:val="16"/>
          <w:szCs w:val="16"/>
          <w:color w:val="auto"/>
        </w:rPr>
        <w:t xml:space="preserve"> that, within ten</w:t>
      </w:r>
    </w:p>
    <w:p>
      <w:pPr>
        <w:spacing w:after="0" w:line="44" w:lineRule="exact"/>
        <w:rPr>
          <w:rFonts w:ascii="Arial" w:cs="Arial" w:eastAsia="Arial" w:hAnsi="Arial"/>
          <w:sz w:val="16"/>
          <w:szCs w:val="16"/>
          <w:color w:val="auto"/>
        </w:rPr>
      </w:pPr>
    </w:p>
    <w:p>
      <w:pPr>
        <w:ind w:left="800" w:hanging="336"/>
        <w:spacing w:after="0"/>
        <w:tabs>
          <w:tab w:leader="none" w:pos="8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calendar days after such notice, Employer must tender the Separation Payment to Employee;</w:t>
      </w:r>
    </w:p>
    <w:p>
      <w:pPr>
        <w:spacing w:after="0" w:line="70" w:lineRule="exact"/>
        <w:rPr>
          <w:rFonts w:ascii="Arial" w:cs="Arial" w:eastAsia="Arial" w:hAnsi="Arial"/>
          <w:sz w:val="18"/>
          <w:szCs w:val="18"/>
          <w:color w:val="auto"/>
        </w:rPr>
      </w:pPr>
    </w:p>
    <w:p>
      <w:pPr>
        <w:ind w:left="460" w:right="40" w:firstLine="443"/>
        <w:spacing w:after="0" w:line="259" w:lineRule="auto"/>
        <w:tabs>
          <w:tab w:leader="none" w:pos="1117"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b w:val="1"/>
          <w:bCs w:val="1"/>
          <w:color w:val="auto"/>
        </w:rPr>
        <w:t>,</w:t>
      </w:r>
      <w:r>
        <w:rPr>
          <w:rFonts w:ascii="Arial" w:cs="Arial" w:eastAsia="Arial" w:hAnsi="Arial"/>
          <w:sz w:val="18"/>
          <w:szCs w:val="18"/>
          <w:color w:val="auto"/>
        </w:rPr>
        <w:t xml:space="preserve"> that, within ten (10) days after the expiration of such cure period without the cure having been effected, Employer must tender the Separation Payment to Employee; or</w:t>
      </w:r>
    </w:p>
    <w:p>
      <w:pPr>
        <w:spacing w:after="0" w:line="45" w:lineRule="exact"/>
        <w:rPr>
          <w:rFonts w:ascii="Arial" w:cs="Arial" w:eastAsia="Arial" w:hAnsi="Arial"/>
          <w:sz w:val="18"/>
          <w:szCs w:val="18"/>
          <w:color w:val="auto"/>
        </w:rPr>
      </w:pPr>
    </w:p>
    <w:p>
      <w:pPr>
        <w:ind w:left="460" w:right="360" w:firstLine="443"/>
        <w:spacing w:after="0" w:line="259" w:lineRule="auto"/>
        <w:tabs>
          <w:tab w:leader="none" w:pos="1147"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at Employee’s sole election in writing as provided in Paragraph 17 of this Agreement, after both a Change of Control and as a result of Good Reason,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b w:val="1"/>
          <w:bCs w:val="1"/>
          <w:color w:val="auto"/>
        </w:rPr>
        <w:t>,</w:t>
      </w:r>
      <w:r>
        <w:rPr>
          <w:rFonts w:ascii="Arial" w:cs="Arial" w:eastAsia="Arial" w:hAnsi="Arial"/>
          <w:sz w:val="18"/>
          <w:szCs w:val="18"/>
          <w:color w:val="auto"/>
        </w:rPr>
        <w:t xml:space="preserve"> that, within ten (10) calendar days after Employer’s receipt of Employee’s written election, Employer must tender the Separation Payment to Employee.</w:t>
      </w:r>
    </w:p>
    <w:p>
      <w:pPr>
        <w:spacing w:after="0" w:line="1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the event of a termination of this Agreement pursuant to the provisions of Subparagraph 7(a), (b), (c) or (d), Employer shall not be required to make any payments to Employee other than payment of Base Salary and vacation pay accrued but unpaid through the termination date. In the event of a termination of this Agreement pursuant to the provisions of Subparagraph (e),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7 shall continue until the earlier of (x) the expiration of the period for which the Separation Payment is paid, (y) the date Employee becomes covered under any other group health plan not maintained by Employer or any of its Affiliates;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such other group health plan excludes any pre-existing condition that Employee or Employee’s dependents may have when coverage under such group health plan would otherwise begin, coverage under this Paragraph 7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7, the obligations of Employer and its Affiliates under this Paragraph 7 shall be conditioned upon Employee’s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16" w:name="page417"/>
    <w:bookmarkEnd w:id="416"/>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timely making such an election. In the event of a termination of this Agreement pursuant to any of the provisions of this Paragraph 7, Employee shall not be entitled to any benefits pursuant to any severance plan in effect by Employer or any of Employer’s Affiliates.</w:t>
      </w:r>
    </w:p>
    <w:p>
      <w:pPr>
        <w:spacing w:after="0" w:line="118" w:lineRule="exact"/>
        <w:rPr>
          <w:sz w:val="20"/>
          <w:szCs w:val="20"/>
          <w:color w:val="auto"/>
        </w:rPr>
      </w:pPr>
    </w:p>
    <w:p>
      <w:pPr>
        <w:ind w:right="180" w:firstLine="464"/>
        <w:spacing w:after="0" w:line="259" w:lineRule="auto"/>
        <w:tabs>
          <w:tab w:leader="none" w:pos="632" w:val="left"/>
        </w:tabs>
        <w:numPr>
          <w:ilvl w:val="0"/>
          <w:numId w:val="3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39" w:lineRule="exact"/>
        <w:rPr>
          <w:rFonts w:ascii="Arial" w:cs="Arial" w:eastAsia="Arial" w:hAnsi="Arial"/>
          <w:sz w:val="18"/>
          <w:szCs w:val="18"/>
          <w:b w:val="1"/>
          <w:bCs w:val="1"/>
          <w:i w:val="1"/>
          <w:iCs w:val="1"/>
          <w:color w:val="auto"/>
        </w:rPr>
      </w:pPr>
    </w:p>
    <w:p>
      <w:pPr>
        <w:ind w:left="460" w:right="220" w:firstLine="443"/>
        <w:spacing w:after="0" w:line="255" w:lineRule="auto"/>
        <w:tabs>
          <w:tab w:leader="none" w:pos="1147" w:val="left"/>
        </w:tabs>
        <w:numPr>
          <w:ilvl w:val="1"/>
          <w:numId w:val="3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hereby covenants and agrees to pay to Employee, and Employee hereby covenants and agrees to accept from</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a base salary at the rate of Three Hundred Thousand Dollars ($300,000.00) per annum during the Term, payable in such weekly, bi-weekly or semi-monthly installments as shall be convenient to Employer (the “</w:t>
      </w:r>
      <w:r>
        <w:rPr>
          <w:rFonts w:ascii="Arial" w:cs="Arial" w:eastAsia="Arial" w:hAnsi="Arial"/>
          <w:sz w:val="18"/>
          <w:szCs w:val="18"/>
          <w:b w:val="1"/>
          <w:bCs w:val="1"/>
          <w:color w:val="auto"/>
        </w:rPr>
        <w:t>Base Salary</w:t>
      </w:r>
      <w:r>
        <w:rPr>
          <w:rFonts w:ascii="Arial" w:cs="Arial" w:eastAsia="Arial" w:hAnsi="Arial"/>
          <w:sz w:val="18"/>
          <w:szCs w:val="18"/>
          <w:color w:val="auto"/>
        </w:rPr>
        <w:t>”). Employee’s Base Salary shall be exclusive of and in addition to any other benefits which Employer, in its sole discretion, may make available to Employee, including, but not limited to, those benefits described in Subparagraphs 8(b) through (f) of this Agreement. Employee’s Base Salary shall be subject to periodic merit review, and may be increased, but not decreased, as a result of any such review.</w:t>
      </w:r>
    </w:p>
    <w:p>
      <w:pPr>
        <w:spacing w:after="0" w:line="44" w:lineRule="exact"/>
        <w:rPr>
          <w:rFonts w:ascii="Arial" w:cs="Arial" w:eastAsia="Arial" w:hAnsi="Arial"/>
          <w:sz w:val="18"/>
          <w:szCs w:val="18"/>
          <w:b w:val="1"/>
          <w:bCs w:val="1"/>
          <w:color w:val="auto"/>
        </w:rPr>
      </w:pPr>
    </w:p>
    <w:p>
      <w:pPr>
        <w:ind w:left="460" w:right="100" w:firstLine="443"/>
        <w:spacing w:after="0" w:line="258" w:lineRule="auto"/>
        <w:tabs>
          <w:tab w:leader="none" w:pos="1156" w:val="left"/>
        </w:tabs>
        <w:numPr>
          <w:ilvl w:val="1"/>
          <w:numId w:val="3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BONUS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also will be eligible to receive a bonus at such times and in such amounts as Employer, in its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discretion, may determine until such time as Employer may adopt a performance based bonus plan, and thereafter in accordance with such plan. Nothing in this Agreement shall limit Employer’s or its Affiliates’ discretion to adopt, amend or terminate any performance based bonus plan at any time prior to a Change of Control.</w:t>
      </w:r>
    </w:p>
    <w:p>
      <w:pPr>
        <w:spacing w:after="0" w:line="41" w:lineRule="exact"/>
        <w:rPr>
          <w:rFonts w:ascii="Arial" w:cs="Arial" w:eastAsia="Arial" w:hAnsi="Arial"/>
          <w:sz w:val="18"/>
          <w:szCs w:val="18"/>
          <w:b w:val="1"/>
          <w:bCs w:val="1"/>
          <w:color w:val="auto"/>
        </w:rPr>
      </w:pPr>
    </w:p>
    <w:p>
      <w:pPr>
        <w:ind w:left="460" w:firstLine="443"/>
        <w:spacing w:after="0" w:line="279" w:lineRule="auto"/>
        <w:tabs>
          <w:tab w:leader="none" w:pos="1137" w:val="left"/>
        </w:tabs>
        <w:numPr>
          <w:ilvl w:val="1"/>
          <w:numId w:val="3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EMPLOYEE BENEFIT PLANS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that it shall include Employee, if otherwise eligible, in any profit</w:t>
      </w:r>
      <w:r>
        <w:rPr>
          <w:rFonts w:ascii="Arial" w:cs="Arial" w:eastAsia="Arial" w:hAnsi="Arial"/>
          <w:sz w:val="16"/>
          <w:szCs w:val="16"/>
          <w:b w:val="1"/>
          <w:bCs w:val="1"/>
          <w:color w:val="auto"/>
        </w:rPr>
        <w:t xml:space="preserve"> </w:t>
      </w:r>
      <w:r>
        <w:rPr>
          <w:rFonts w:ascii="Arial" w:cs="Arial" w:eastAsia="Arial" w:hAnsi="Arial"/>
          <w:sz w:val="16"/>
          <w:szCs w:val="16"/>
          <w:color w:val="auto"/>
        </w:rPr>
        <w:t>sharing plan, executive stock option plan, pension plan, retirement plan, disability or life insurance plan, medical and/or hospitalization plan, and/or any and all other benefit plans which may be placed in effect by Employer or any of its Affiliates for the benefit of Employer’s senior executives during the Term. Unless prohibited by law or the terms of the applicable plan, Employee’s eligibility for medical and/or hospitalization benefits shall commence on ninety-first (91</w:t>
      </w:r>
      <w:r>
        <w:rPr>
          <w:rFonts w:ascii="Arial" w:cs="Arial" w:eastAsia="Arial" w:hAnsi="Arial"/>
          <w:sz w:val="20"/>
          <w:szCs w:val="20"/>
          <w:color w:val="auto"/>
          <w:vertAlign w:val="superscript"/>
        </w:rPr>
        <w:t>st</w:t>
      </w:r>
      <w:r>
        <w:rPr>
          <w:rFonts w:ascii="Arial" w:cs="Arial" w:eastAsia="Arial" w:hAnsi="Arial"/>
          <w:sz w:val="16"/>
          <w:szCs w:val="16"/>
          <w:color w:val="auto"/>
        </w:rPr>
        <w:t>) day after the Effective Date of this Agreement. Until Employee achieves such eligibility, Employer shall reimburse Employee for any COBRA payments made by Employee to his former employer. Nothing in this Agreement shall limit Employer’s or any of its Affiliates’ ability to (i) exercise the discretion provided to it under any such plan, or (ii) adopt, amend or terminate any such benefit plans at any time prior to a Change of Control.</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417" w:name="page418"/>
    <w:bookmarkEnd w:id="417"/>
    <w:p>
      <w:pPr>
        <w:ind w:left="460" w:firstLine="443"/>
        <w:spacing w:after="0" w:line="293" w:lineRule="auto"/>
        <w:tabs>
          <w:tab w:leader="none" w:pos="1156" w:val="left"/>
        </w:tabs>
        <w:numPr>
          <w:ilvl w:val="1"/>
          <w:numId w:val="3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EXPENSE REIMBURSEMENT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and provided the same are authorized by Employer, Employer shall either pay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and (iv) the like. Prior to reimbursement, Employee shall provide Employer with sufficient detailed invoices of such expenses as may be required by Employer’s expense reimbursement policy.</w:t>
      </w:r>
    </w:p>
    <w:p>
      <w:pPr>
        <w:spacing w:after="0" w:line="16" w:lineRule="exact"/>
        <w:rPr>
          <w:rFonts w:ascii="Arial" w:cs="Arial" w:eastAsia="Arial" w:hAnsi="Arial"/>
          <w:sz w:val="16"/>
          <w:szCs w:val="16"/>
          <w:b w:val="1"/>
          <w:bCs w:val="1"/>
          <w:color w:val="auto"/>
        </w:rPr>
      </w:pPr>
    </w:p>
    <w:p>
      <w:pPr>
        <w:ind w:left="460" w:right="200" w:firstLine="443"/>
        <w:spacing w:after="0" w:line="325" w:lineRule="auto"/>
        <w:tabs>
          <w:tab w:leader="none" w:pos="1137" w:val="left"/>
        </w:tabs>
        <w:numPr>
          <w:ilvl w:val="1"/>
          <w:numId w:val="3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VACATIONS AND HOLIDAYS</w:t>
      </w:r>
      <w:r>
        <w:rPr>
          <w:rFonts w:ascii="Arial" w:cs="Arial" w:eastAsia="Arial" w:hAnsi="Arial"/>
          <w:sz w:val="16"/>
          <w:szCs w:val="16"/>
          <w:b w:val="1"/>
          <w:bCs w:val="1"/>
          <w:color w:val="auto"/>
        </w:rPr>
        <w:t xml:space="preserve">. </w:t>
      </w:r>
      <w:r>
        <w:rPr>
          <w:rFonts w:ascii="Arial" w:cs="Arial" w:eastAsia="Arial" w:hAnsi="Arial"/>
          <w:sz w:val="16"/>
          <w:szCs w:val="16"/>
          <w:color w:val="auto"/>
        </w:rPr>
        <w:t>Commencing as of the Effective Date of this Agreement, Employee shall be entitled to annual paid vacation</w:t>
      </w:r>
      <w:r>
        <w:rPr>
          <w:rFonts w:ascii="Arial" w:cs="Arial" w:eastAsia="Arial" w:hAnsi="Arial"/>
          <w:sz w:val="16"/>
          <w:szCs w:val="16"/>
          <w:b w:val="1"/>
          <w:bCs w:val="1"/>
          <w:color w:val="auto"/>
        </w:rPr>
        <w:t xml:space="preserve"> </w:t>
      </w:r>
      <w:r>
        <w:rPr>
          <w:rFonts w:ascii="Arial" w:cs="Arial" w:eastAsia="Arial" w:hAnsi="Arial"/>
          <w:sz w:val="16"/>
          <w:szCs w:val="16"/>
          <w:color w:val="auto"/>
        </w:rPr>
        <w:t>leave and paid holidays (or, at Employer’s option, an equivalent number of paid days off) in accordance with Employer’s standard policies.</w:t>
      </w:r>
    </w:p>
    <w:p>
      <w:pPr>
        <w:spacing w:after="0" w:line="1" w:lineRule="exact"/>
        <w:rPr>
          <w:rFonts w:ascii="Arial" w:cs="Arial" w:eastAsia="Arial" w:hAnsi="Arial"/>
          <w:sz w:val="16"/>
          <w:szCs w:val="16"/>
          <w:b w:val="1"/>
          <w:bCs w:val="1"/>
          <w:color w:val="auto"/>
        </w:rPr>
      </w:pPr>
    </w:p>
    <w:p>
      <w:pPr>
        <w:ind w:left="460" w:right="320" w:firstLine="443"/>
        <w:spacing w:after="0" w:line="275" w:lineRule="auto"/>
        <w:tabs>
          <w:tab w:leader="none" w:pos="1117" w:val="left"/>
        </w:tabs>
        <w:numPr>
          <w:ilvl w:val="1"/>
          <w:numId w:val="3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INCENTIVE BONUS</w:t>
      </w:r>
      <w:r>
        <w:rPr>
          <w:rFonts w:ascii="Arial" w:cs="Arial" w:eastAsia="Arial" w:hAnsi="Arial"/>
          <w:sz w:val="18"/>
          <w:szCs w:val="18"/>
          <w:b w:val="1"/>
          <w:bCs w:val="1"/>
          <w:color w:val="auto"/>
        </w:rPr>
        <w:t xml:space="preserve">. </w:t>
      </w:r>
      <w:r>
        <w:rPr>
          <w:rFonts w:ascii="Arial" w:cs="Arial" w:eastAsia="Arial" w:hAnsi="Arial"/>
          <w:sz w:val="18"/>
          <w:szCs w:val="18"/>
          <w:color w:val="auto"/>
        </w:rPr>
        <w:t>As additional consideration for this Agreement, Employer shall pay to Employee upon execution of this Agreement a</w:t>
      </w:r>
      <w:r>
        <w:rPr>
          <w:rFonts w:ascii="Arial" w:cs="Arial" w:eastAsia="Arial" w:hAnsi="Arial"/>
          <w:sz w:val="18"/>
          <w:szCs w:val="18"/>
          <w:b w:val="1"/>
          <w:bCs w:val="1"/>
          <w:color w:val="auto"/>
        </w:rPr>
        <w:t xml:space="preserve"> </w:t>
      </w:r>
      <w:r>
        <w:rPr>
          <w:rFonts w:ascii="Arial" w:cs="Arial" w:eastAsia="Arial" w:hAnsi="Arial"/>
          <w:sz w:val="18"/>
          <w:szCs w:val="18"/>
          <w:color w:val="auto"/>
        </w:rPr>
        <w:t>one-time, lump-sum bonus of Fifty Thousand Dollars ($50,000), net of the withholdings set forth in Subsection 8(g).</w:t>
      </w:r>
    </w:p>
    <w:p>
      <w:pPr>
        <w:spacing w:after="0" w:line="25" w:lineRule="exact"/>
        <w:rPr>
          <w:rFonts w:ascii="Arial" w:cs="Arial" w:eastAsia="Arial" w:hAnsi="Arial"/>
          <w:sz w:val="18"/>
          <w:szCs w:val="18"/>
          <w:b w:val="1"/>
          <w:bCs w:val="1"/>
          <w:color w:val="auto"/>
        </w:rPr>
      </w:pPr>
    </w:p>
    <w:p>
      <w:pPr>
        <w:ind w:left="460" w:right="60" w:firstLine="443"/>
        <w:spacing w:after="0" w:line="262" w:lineRule="auto"/>
        <w:tabs>
          <w:tab w:leader="none" w:pos="1147" w:val="left"/>
        </w:tabs>
        <w:numPr>
          <w:ilvl w:val="1"/>
          <w:numId w:val="3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color w:val="auto"/>
        </w:rPr>
        <w:t>. All compensation to Employee identified in this Paragraph 8 shall be subject to applicable withholdings for federal, state or</w:t>
      </w:r>
      <w:r>
        <w:rPr>
          <w:rFonts w:ascii="Arial" w:cs="Arial" w:eastAsia="Arial" w:hAnsi="Arial"/>
          <w:sz w:val="18"/>
          <w:szCs w:val="18"/>
          <w:b w:val="1"/>
          <w:bCs w:val="1"/>
          <w:color w:val="auto"/>
        </w:rPr>
        <w:t xml:space="preserve"> </w:t>
      </w:r>
      <w:r>
        <w:rPr>
          <w:rFonts w:ascii="Arial" w:cs="Arial" w:eastAsia="Arial" w:hAnsi="Arial"/>
          <w:sz w:val="18"/>
          <w:szCs w:val="18"/>
          <w:color w:val="auto"/>
        </w:rPr>
        <w:t>local income or other taxes, Social Security Tax, Medicare Tax, State Unemployment Insurance, State Disability Insurance, voluntary charitable contributions and the like.</w:t>
      </w:r>
    </w:p>
    <w:p>
      <w:pPr>
        <w:spacing w:after="0" w:line="124" w:lineRule="exact"/>
        <w:rPr>
          <w:rFonts w:ascii="Arial" w:cs="Arial" w:eastAsia="Arial" w:hAnsi="Arial"/>
          <w:sz w:val="18"/>
          <w:szCs w:val="18"/>
          <w:b w:val="1"/>
          <w:bCs w:val="1"/>
          <w:color w:val="auto"/>
        </w:rPr>
      </w:pPr>
    </w:p>
    <w:p>
      <w:pPr>
        <w:ind w:left="640" w:hanging="176"/>
        <w:spacing w:after="0"/>
        <w:tabs>
          <w:tab w:leader="none" w:pos="640" w:val="left"/>
        </w:tabs>
        <w:numPr>
          <w:ilvl w:val="0"/>
          <w:numId w:val="3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right="160" w:firstLine="921"/>
        <w:spacing w:after="0" w:line="291" w:lineRule="auto"/>
        <w:tabs>
          <w:tab w:leader="none" w:pos="1152" w:val="left"/>
        </w:tabs>
        <w:numPr>
          <w:ilvl w:val="2"/>
          <w:numId w:val="341"/>
        </w:numPr>
        <w:rPr>
          <w:rFonts w:ascii="Arial" w:cs="Arial" w:eastAsia="Arial" w:hAnsi="Arial"/>
          <w:sz w:val="16"/>
          <w:szCs w:val="16"/>
          <w:color w:val="auto"/>
        </w:rPr>
      </w:pPr>
      <w:r>
        <w:rPr>
          <w:rFonts w:ascii="Arial" w:cs="Arial" w:eastAsia="Arial" w:hAnsi="Arial"/>
          <w:sz w:val="16"/>
          <w:szCs w:val="16"/>
          <w:color w:val="auto"/>
        </w:rPr>
        <w:t xml:space="preserve">Employer and Employee hereby covenant and agree that this Agreement may be subject to the approval of one or more gaming regulatory authorities (the </w:t>
      </w:r>
      <w:r>
        <w:rPr>
          <w:rFonts w:ascii="Arial" w:cs="Arial" w:eastAsia="Arial" w:hAnsi="Arial"/>
          <w:sz w:val="16"/>
          <w:szCs w:val="16"/>
          <w:b w:val="1"/>
          <w:bCs w:val="1"/>
          <w:color w:val="auto"/>
        </w:rPr>
        <w:t>“Gaming Authorities</w:t>
      </w:r>
      <w:r>
        <w:rPr>
          <w:rFonts w:ascii="Arial" w:cs="Arial" w:eastAsia="Arial" w:hAnsi="Arial"/>
          <w:sz w:val="16"/>
          <w:szCs w:val="16"/>
          <w:color w:val="auto"/>
        </w:rPr>
        <w:t xml:space="preserve">”) pursuant to the provisions of the applicable gaming regulatory statutes and the regulations promulgated thereunder (the </w:t>
      </w:r>
      <w:r>
        <w:rPr>
          <w:rFonts w:ascii="Arial" w:cs="Arial" w:eastAsia="Arial" w:hAnsi="Arial"/>
          <w:sz w:val="16"/>
          <w:szCs w:val="16"/>
          <w:b w:val="1"/>
          <w:bCs w:val="1"/>
          <w:color w:val="auto"/>
        </w:rPr>
        <w:t>“Gaming Laws</w:t>
      </w:r>
      <w:r>
        <w:rPr>
          <w:rFonts w:ascii="Arial" w:cs="Arial" w:eastAsia="Arial" w:hAnsi="Arial"/>
          <w:sz w:val="16"/>
          <w:szCs w:val="16"/>
          <w:color w:val="auto"/>
        </w:rPr>
        <w:t>”). Employer and Employee hereby covenant and agree to use their best efforts, at Employer’s sole cost and expense, to obtain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approvals required by the Gaming Laws. In the event that (i) an approval of this Agreement by the Gaming Authorities is required for Employee to carry out his duties and responsibilities set forth in Paragraph 4 of this Agreement, (ii) Employer and Employee have used their best efforts to obtain such approval, and (iii) this Agreement is not so approved by the Gaming Authorities, then this Agreement shall immediately terminate and shall be null and void.</w:t>
      </w:r>
    </w:p>
    <w:p>
      <w:pPr>
        <w:spacing w:after="0" w:line="106" w:lineRule="exact"/>
        <w:rPr>
          <w:rFonts w:ascii="Arial" w:cs="Arial" w:eastAsia="Arial" w:hAnsi="Arial"/>
          <w:sz w:val="16"/>
          <w:szCs w:val="16"/>
          <w:color w:val="auto"/>
        </w:rPr>
      </w:pPr>
    </w:p>
    <w:p>
      <w:pPr>
        <w:ind w:right="20" w:firstLine="921"/>
        <w:spacing w:after="0" w:line="268" w:lineRule="auto"/>
        <w:tabs>
          <w:tab w:leader="none" w:pos="1162" w:val="left"/>
        </w:tabs>
        <w:numPr>
          <w:ilvl w:val="2"/>
          <w:numId w:val="341"/>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in order for Employee to discharge the duties required under this Agreement, Employee may be required to apply for or hold a license, registration, permit or other approval as issued 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418" w:name="page419"/>
    <w:bookmarkEnd w:id="418"/>
    <w:p>
      <w:pPr>
        <w:ind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Gaming Authorities pursuant to the terms of the applicable Gaming Laws and as otherwise required by this Agreement (the “</w:t>
      </w:r>
      <w:r>
        <w:rPr>
          <w:rFonts w:ascii="Arial" w:cs="Arial" w:eastAsia="Arial" w:hAnsi="Arial"/>
          <w:sz w:val="16"/>
          <w:szCs w:val="16"/>
          <w:b w:val="1"/>
          <w:bCs w:val="1"/>
          <w:color w:val="auto"/>
        </w:rPr>
        <w:t>License</w:t>
      </w:r>
      <w:r>
        <w:rPr>
          <w:rFonts w:ascii="Arial" w:cs="Arial" w:eastAsia="Arial" w:hAnsi="Arial"/>
          <w:sz w:val="16"/>
          <w:szCs w:val="16"/>
          <w:color w:val="auto"/>
        </w:rPr>
        <w:t>”).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1(c) of this Agreement, then Employer’s obligations under this Paragraph 9 shall not be operative and Employee shall promptly reimburse Employer upon demand for any expenses incurred by Employer pursuant to this Paragraph 9.</w:t>
      </w:r>
    </w:p>
    <w:p>
      <w:pPr>
        <w:spacing w:after="0" w:line="106" w:lineRule="exact"/>
        <w:rPr>
          <w:sz w:val="20"/>
          <w:szCs w:val="20"/>
          <w:color w:val="auto"/>
        </w:rPr>
      </w:pPr>
    </w:p>
    <w:p>
      <w:pPr>
        <w:ind w:firstLine="921"/>
        <w:spacing w:after="0" w:line="268" w:lineRule="auto"/>
        <w:tabs>
          <w:tab w:leader="none" w:pos="1152" w:val="left"/>
        </w:tabs>
        <w:numPr>
          <w:ilvl w:val="1"/>
          <w:numId w:val="342"/>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Paragraph 9 shall apply in the event Employee’s duties require that Employee also be licensed by such relevant governmental agencies other than the Gaming Authorities.</w:t>
      </w:r>
    </w:p>
    <w:p>
      <w:pPr>
        <w:spacing w:after="0" w:line="118" w:lineRule="exact"/>
        <w:rPr>
          <w:rFonts w:ascii="Arial" w:cs="Arial" w:eastAsia="Arial" w:hAnsi="Arial"/>
          <w:sz w:val="18"/>
          <w:szCs w:val="18"/>
          <w:color w:val="auto"/>
        </w:rPr>
      </w:pPr>
    </w:p>
    <w:p>
      <w:pPr>
        <w:ind w:right="100" w:firstLine="464"/>
        <w:spacing w:after="0" w:line="287" w:lineRule="auto"/>
        <w:tabs>
          <w:tab w:leader="none" w:pos="720" w:val="left"/>
        </w:tabs>
        <w:numPr>
          <w:ilvl w:val="0"/>
          <w:numId w:val="34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CONFIDENTIALITY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hereby warrants, covenants and agrees that, without the prior express written approval of Employer or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by law or court order, Employee shall hold in the strictest confidence, and shall not disclose to any person, firm, corporation or other entity, any and all of Employer’s confidential data, including but not limited to (a) information, drawings, sketches, plans or other documents concerning Employer’s business or development plans, customers or suppliers or those of Employer’s Affiliates, (b) Employer’s or its Affiliates’ development, design, construction or sales and marketing methods or techniques, or (c) Employer’s trade secrets and other “know-how” or information not of a public nature, regardless of how such information came to the custody of Employee. For purposes of this Agreement, such confidential information shall include, but not be limited to, information, including a formula, pattern, compilation, program, device, method, technique or process, that (i) derives independent economic value, present or potential, from not being generally known to, and not being readily ascertainable by proper means by, other persons who can obtain economic value from its disclosure or use, and (ii) is the subject of efforts that are reasonable under the circumstances to maintain its secrecy. The warranty, covenant and agreement set forth in this Paragraph 10 shall not expire, shall survive this Agreement and shall be binding upon Employee without regard to the passage of time or other events.</w:t>
      </w:r>
    </w:p>
    <w:p>
      <w:pPr>
        <w:spacing w:after="0" w:line="109" w:lineRule="exact"/>
        <w:rPr>
          <w:rFonts w:ascii="Arial" w:cs="Arial" w:eastAsia="Arial" w:hAnsi="Arial"/>
          <w:sz w:val="16"/>
          <w:szCs w:val="16"/>
          <w:b w:val="1"/>
          <w:bCs w:val="1"/>
          <w:i w:val="1"/>
          <w:iCs w:val="1"/>
          <w:color w:val="auto"/>
        </w:rPr>
      </w:pPr>
    </w:p>
    <w:p>
      <w:pPr>
        <w:ind w:left="720" w:hanging="256"/>
        <w:spacing w:after="0"/>
        <w:tabs>
          <w:tab w:leader="none" w:pos="720" w:val="left"/>
        </w:tabs>
        <w:numPr>
          <w:ilvl w:val="0"/>
          <w:numId w:val="3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right="40" w:firstLine="921"/>
        <w:spacing w:after="0" w:line="298" w:lineRule="auto"/>
        <w:tabs>
          <w:tab w:leader="none" w:pos="1152" w:val="left"/>
        </w:tabs>
        <w:numPr>
          <w:ilvl w:val="1"/>
          <w:numId w:val="343"/>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period as Employee receives cash compensation under this Agreement, whichever period is shorter, Employee shall not, either as a principal, agent, employee, employer, consultant, partner, member or manager of a limited liability company, shareholder of a closely held corporation, or shareholder in excess of two percent (2%) of a publicly traded corporation, corporate officer or director, or in any other individual or representative capacity, engage or otherwise participate in any manner or fashion in any gaming or hotel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419" w:name="page420"/>
    <w:bookmarkEnd w:id="419"/>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that is in competition in any manner whatsoever with the principal business activity of Employer or Employer’s Affiliates, in or about any market in which Employer or Employer’s Affiliates have or have publicly announced a plan for gaming or hotel operations. Employee hereby further covenants and agrees that the restrictive covenant contained in this Paragraph 11 is reasonable as to duration, terms and geographical area and that the same protects the legitimate interests of Employer, imposes no undue hardship on Employee, and is not injurious to the public.</w:t>
      </w:r>
    </w:p>
    <w:p>
      <w:pPr>
        <w:spacing w:after="0" w:line="99" w:lineRule="exact"/>
        <w:rPr>
          <w:sz w:val="20"/>
          <w:szCs w:val="20"/>
          <w:color w:val="auto"/>
        </w:rPr>
      </w:pPr>
    </w:p>
    <w:p>
      <w:pPr>
        <w:jc w:val="both"/>
        <w:ind w:firstLine="921"/>
        <w:spacing w:after="0" w:line="256" w:lineRule="auto"/>
        <w:tabs>
          <w:tab w:leader="none" w:pos="1162" w:val="left"/>
        </w:tabs>
        <w:numPr>
          <w:ilvl w:val="1"/>
          <w:numId w:val="344"/>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for the period described in Subparagraph 11(a), Employee shall not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have publicly announced a plan for gaming or hotel operations.</w:t>
      </w:r>
    </w:p>
    <w:p>
      <w:pPr>
        <w:spacing w:after="0" w:line="129" w:lineRule="exact"/>
        <w:rPr>
          <w:rFonts w:ascii="Arial" w:cs="Arial" w:eastAsia="Arial" w:hAnsi="Arial"/>
          <w:sz w:val="18"/>
          <w:szCs w:val="18"/>
          <w:color w:val="auto"/>
        </w:rPr>
      </w:pPr>
    </w:p>
    <w:p>
      <w:pPr>
        <w:ind w:right="160" w:firstLine="464"/>
        <w:spacing w:after="0" w:line="268" w:lineRule="auto"/>
        <w:tabs>
          <w:tab w:leader="none" w:pos="720" w:val="left"/>
        </w:tabs>
        <w:numPr>
          <w:ilvl w:val="0"/>
          <w:numId w:val="3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BEST EVIDENCE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18" w:lineRule="exact"/>
        <w:rPr>
          <w:rFonts w:ascii="Arial" w:cs="Arial" w:eastAsia="Arial" w:hAnsi="Arial"/>
          <w:sz w:val="18"/>
          <w:szCs w:val="18"/>
          <w:b w:val="1"/>
          <w:bCs w:val="1"/>
          <w:i w:val="1"/>
          <w:iCs w:val="1"/>
          <w:color w:val="auto"/>
        </w:rPr>
      </w:pPr>
    </w:p>
    <w:p>
      <w:pPr>
        <w:ind w:left="720" w:hanging="256"/>
        <w:spacing w:after="0"/>
        <w:tabs>
          <w:tab w:leader="none" w:pos="720" w:val="left"/>
        </w:tabs>
        <w:numPr>
          <w:ilvl w:val="0"/>
          <w:numId w:val="34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SUCCESSION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Agreement shall be binding upon and inure to the benefit of Employer and Employee and their respective successors and assigns.</w:t>
      </w:r>
    </w:p>
    <w:p>
      <w:pPr>
        <w:spacing w:after="0" w:line="192" w:lineRule="exact"/>
        <w:rPr>
          <w:rFonts w:ascii="Arial" w:cs="Arial" w:eastAsia="Arial" w:hAnsi="Arial"/>
          <w:sz w:val="15"/>
          <w:szCs w:val="15"/>
          <w:b w:val="1"/>
          <w:bCs w:val="1"/>
          <w:i w:val="1"/>
          <w:iCs w:val="1"/>
          <w:color w:val="auto"/>
        </w:rPr>
      </w:pPr>
    </w:p>
    <w:p>
      <w:pPr>
        <w:ind w:firstLine="464"/>
        <w:spacing w:after="0" w:line="255" w:lineRule="auto"/>
        <w:tabs>
          <w:tab w:leader="none" w:pos="720" w:val="left"/>
        </w:tabs>
        <w:numPr>
          <w:ilvl w:val="0"/>
          <w:numId w:val="3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his duties hereunder without the express written prior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Paragraph 14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129" w:lineRule="exact"/>
        <w:rPr>
          <w:rFonts w:ascii="Arial" w:cs="Arial" w:eastAsia="Arial" w:hAnsi="Arial"/>
          <w:sz w:val="18"/>
          <w:szCs w:val="18"/>
          <w:b w:val="1"/>
          <w:bCs w:val="1"/>
          <w:i w:val="1"/>
          <w:iCs w:val="1"/>
          <w:color w:val="auto"/>
        </w:rPr>
      </w:pPr>
    </w:p>
    <w:p>
      <w:pPr>
        <w:ind w:right="540" w:firstLine="464"/>
        <w:spacing w:after="0" w:line="268" w:lineRule="auto"/>
        <w:tabs>
          <w:tab w:leader="none" w:pos="720" w:val="left"/>
        </w:tabs>
        <w:numPr>
          <w:ilvl w:val="0"/>
          <w:numId w:val="3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18" w:lineRule="exact"/>
        <w:rPr>
          <w:rFonts w:ascii="Arial" w:cs="Arial" w:eastAsia="Arial" w:hAnsi="Arial"/>
          <w:sz w:val="18"/>
          <w:szCs w:val="18"/>
          <w:b w:val="1"/>
          <w:bCs w:val="1"/>
          <w:i w:val="1"/>
          <w:iCs w:val="1"/>
          <w:color w:val="auto"/>
        </w:rPr>
      </w:pPr>
    </w:p>
    <w:p>
      <w:pPr>
        <w:ind w:right="180" w:firstLine="464"/>
        <w:spacing w:after="0" w:line="268" w:lineRule="auto"/>
        <w:tabs>
          <w:tab w:leader="none" w:pos="720" w:val="left"/>
        </w:tabs>
        <w:numPr>
          <w:ilvl w:val="0"/>
          <w:numId w:val="3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jurisdiction where Employer’s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 of business is located in effect on the Effective Date of this Agreement.</w:t>
      </w:r>
    </w:p>
    <w:p>
      <w:pPr>
        <w:spacing w:after="0" w:line="118" w:lineRule="exact"/>
        <w:rPr>
          <w:rFonts w:ascii="Arial" w:cs="Arial" w:eastAsia="Arial" w:hAnsi="Arial"/>
          <w:sz w:val="18"/>
          <w:szCs w:val="18"/>
          <w:b w:val="1"/>
          <w:bCs w:val="1"/>
          <w:i w:val="1"/>
          <w:iCs w:val="1"/>
          <w:color w:val="auto"/>
        </w:rPr>
      </w:pPr>
    </w:p>
    <w:p>
      <w:pPr>
        <w:ind w:right="280" w:firstLine="464"/>
        <w:spacing w:after="0" w:line="268" w:lineRule="auto"/>
        <w:tabs>
          <w:tab w:leader="none" w:pos="720" w:val="left"/>
        </w:tabs>
        <w:numPr>
          <w:ilvl w:val="0"/>
          <w:numId w:val="3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1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880" w:type="dxa"/>
            <w:vAlign w:val="bottom"/>
            <w:gridSpan w:val="2"/>
          </w:tcPr>
          <w:p>
            <w:pPr>
              <w:spacing w:after="0"/>
              <w:rPr>
                <w:sz w:val="20"/>
                <w:szCs w:val="20"/>
                <w:color w:val="auto"/>
              </w:rPr>
            </w:pPr>
            <w:r>
              <w:rPr>
                <w:rFonts w:ascii="Arial" w:cs="Arial" w:eastAsia="Arial" w:hAnsi="Arial"/>
                <w:sz w:val="18"/>
                <w:szCs w:val="18"/>
                <w:color w:val="auto"/>
              </w:rPr>
              <w:t>TO EMPLOYER:</w:t>
            </w:r>
          </w:p>
        </w:tc>
        <w:tc>
          <w:tcPr>
            <w:tcW w:w="4640" w:type="dxa"/>
            <w:vAlign w:val="bottom"/>
          </w:tcPr>
          <w:p>
            <w:pPr>
              <w:ind w:left="2080"/>
              <w:spacing w:after="0"/>
              <w:rPr>
                <w:sz w:val="20"/>
                <w:szCs w:val="20"/>
                <w:color w:val="auto"/>
              </w:rPr>
            </w:pPr>
            <w:r>
              <w:rPr>
                <w:rFonts w:ascii="Arial" w:cs="Arial" w:eastAsia="Arial" w:hAnsi="Arial"/>
                <w:sz w:val="18"/>
                <w:szCs w:val="18"/>
                <w:color w:val="auto"/>
                <w:w w:val="87"/>
              </w:rPr>
              <w:t>Wynn Las Vegas, LLC, dba Le Rêve</w:t>
            </w:r>
          </w:p>
        </w:tc>
      </w:tr>
      <w:tr>
        <w:trPr>
          <w:trHeight w:val="228"/>
        </w:trPr>
        <w:tc>
          <w:tcPr>
            <w:tcW w:w="1220" w:type="dxa"/>
            <w:vAlign w:val="bottom"/>
            <w:tcBorders>
              <w:top w:val="single" w:sz="8" w:color="auto"/>
            </w:tcBorders>
          </w:tcPr>
          <w:p>
            <w:pPr>
              <w:spacing w:after="0"/>
              <w:rPr>
                <w:sz w:val="19"/>
                <w:szCs w:val="19"/>
                <w:color w:val="auto"/>
              </w:rPr>
            </w:pPr>
          </w:p>
        </w:tc>
        <w:tc>
          <w:tcPr>
            <w:tcW w:w="1660" w:type="dxa"/>
            <w:vAlign w:val="bottom"/>
          </w:tcPr>
          <w:p>
            <w:pPr>
              <w:spacing w:after="0"/>
              <w:rPr>
                <w:sz w:val="19"/>
                <w:szCs w:val="19"/>
                <w:color w:val="auto"/>
              </w:rPr>
            </w:pPr>
          </w:p>
        </w:tc>
        <w:tc>
          <w:tcPr>
            <w:tcW w:w="4640" w:type="dxa"/>
            <w:vAlign w:val="bottom"/>
          </w:tcPr>
          <w:p>
            <w:pPr>
              <w:ind w:left="2080"/>
              <w:spacing w:after="0"/>
              <w:rPr>
                <w:sz w:val="20"/>
                <w:szCs w:val="20"/>
                <w:color w:val="auto"/>
              </w:rPr>
            </w:pPr>
            <w:r>
              <w:rPr>
                <w:rFonts w:ascii="Arial" w:cs="Arial" w:eastAsia="Arial" w:hAnsi="Arial"/>
                <w:sz w:val="18"/>
                <w:szCs w:val="18"/>
                <w:color w:val="auto"/>
                <w:w w:val="94"/>
              </w:rPr>
              <w:t>3145 Las Vegas Boulevard South</w:t>
            </w:r>
          </w:p>
        </w:tc>
      </w:tr>
      <w:tr>
        <w:trPr>
          <w:trHeight w:val="222"/>
        </w:trPr>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40" w:type="dxa"/>
            <w:vAlign w:val="bottom"/>
          </w:tcPr>
          <w:p>
            <w:pPr>
              <w:ind w:left="2080"/>
              <w:spacing w:after="0"/>
              <w:rPr>
                <w:sz w:val="20"/>
                <w:szCs w:val="20"/>
                <w:color w:val="auto"/>
              </w:rPr>
            </w:pPr>
            <w:r>
              <w:rPr>
                <w:rFonts w:ascii="Arial" w:cs="Arial" w:eastAsia="Arial" w:hAnsi="Arial"/>
                <w:sz w:val="18"/>
                <w:szCs w:val="18"/>
                <w:color w:val="auto"/>
              </w:rPr>
              <w:t>Las Vegas, Nevada 89109</w:t>
            </w:r>
          </w:p>
        </w:tc>
      </w:tr>
      <w:tr>
        <w:trPr>
          <w:trHeight w:val="365"/>
        </w:trPr>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40" w:type="dxa"/>
            <w:vAlign w:val="bottom"/>
          </w:tcPr>
          <w:p>
            <w:pPr>
              <w:jc w:val="right"/>
              <w:ind w:right="2772"/>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380"/>
          </w:cols>
          <w:pgMar w:left="240" w:top="280" w:right="279" w:bottom="1440" w:gutter="0" w:footer="0" w:header="0"/>
        </w:sectPr>
      </w:pPr>
    </w:p>
    <w:bookmarkStart w:id="420" w:name="page421"/>
    <w:bookmarkEnd w:id="4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207"/>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WITH A COPY</w:t>
            </w:r>
          </w:p>
        </w:tc>
        <w:tc>
          <w:tcPr>
            <w:tcW w:w="2180" w:type="dxa"/>
            <w:vAlign w:val="bottom"/>
            <w:gridSpan w:val="3"/>
          </w:tcPr>
          <w:p>
            <w:pPr>
              <w:spacing w:after="0"/>
              <w:rPr>
                <w:sz w:val="17"/>
                <w:szCs w:val="17"/>
                <w:color w:val="auto"/>
              </w:rPr>
            </w:pPr>
          </w:p>
        </w:tc>
        <w:tc>
          <w:tcPr>
            <w:tcW w:w="4180" w:type="dxa"/>
            <w:vAlign w:val="bottom"/>
          </w:tcPr>
          <w:p>
            <w:pPr>
              <w:ind w:left="1620"/>
              <w:spacing w:after="0"/>
              <w:rPr>
                <w:sz w:val="20"/>
                <w:szCs w:val="20"/>
                <w:color w:val="auto"/>
              </w:rPr>
            </w:pPr>
            <w:r>
              <w:rPr>
                <w:rFonts w:ascii="Arial" w:cs="Arial" w:eastAsia="Arial" w:hAnsi="Arial"/>
                <w:sz w:val="18"/>
                <w:szCs w:val="18"/>
                <w:color w:val="auto"/>
                <w:w w:val="87"/>
              </w:rPr>
              <w:t>Wynn Las Vegas, LLC, dba Le Rêve</w:t>
            </w:r>
          </w:p>
        </w:tc>
      </w:tr>
      <w:tr>
        <w:trPr>
          <w:trHeight w:val="196"/>
        </w:trPr>
        <w:tc>
          <w:tcPr>
            <w:tcW w:w="3340" w:type="dxa"/>
            <w:vAlign w:val="bottom"/>
            <w:gridSpan w:val="5"/>
          </w:tcPr>
          <w:p>
            <w:pPr>
              <w:spacing w:after="0" w:line="196" w:lineRule="exact"/>
              <w:rPr>
                <w:sz w:val="20"/>
                <w:szCs w:val="20"/>
                <w:color w:val="auto"/>
              </w:rPr>
            </w:pPr>
            <w:r>
              <w:rPr>
                <w:rFonts w:ascii="Arial" w:cs="Arial" w:eastAsia="Arial" w:hAnsi="Arial"/>
                <w:sz w:val="18"/>
                <w:szCs w:val="18"/>
                <w:color w:val="auto"/>
              </w:rPr>
              <w:t>THAT SHALL NOT BE</w:t>
            </w:r>
          </w:p>
        </w:tc>
        <w:tc>
          <w:tcPr>
            <w:tcW w:w="4180" w:type="dxa"/>
            <w:vAlign w:val="bottom"/>
          </w:tcPr>
          <w:p>
            <w:pPr>
              <w:ind w:left="1620"/>
              <w:spacing w:after="0" w:line="196" w:lineRule="exact"/>
              <w:rPr>
                <w:sz w:val="20"/>
                <w:szCs w:val="20"/>
                <w:color w:val="auto"/>
              </w:rPr>
            </w:pPr>
            <w:r>
              <w:rPr>
                <w:rFonts w:ascii="Arial" w:cs="Arial" w:eastAsia="Arial" w:hAnsi="Arial"/>
                <w:sz w:val="18"/>
                <w:szCs w:val="18"/>
                <w:color w:val="auto"/>
                <w:w w:val="94"/>
              </w:rPr>
              <w:t>3145 Las Vegas Boulevard South</w:t>
            </w:r>
          </w:p>
        </w:tc>
      </w:tr>
      <w:tr>
        <w:trPr>
          <w:trHeight w:val="196"/>
        </w:trPr>
        <w:tc>
          <w:tcPr>
            <w:tcW w:w="174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NOTICE TO:</w:t>
            </w:r>
          </w:p>
        </w:tc>
        <w:tc>
          <w:tcPr>
            <w:tcW w:w="1600" w:type="dxa"/>
            <w:vAlign w:val="bottom"/>
          </w:tcPr>
          <w:p>
            <w:pPr>
              <w:spacing w:after="0"/>
              <w:rPr>
                <w:sz w:val="17"/>
                <w:szCs w:val="17"/>
                <w:color w:val="auto"/>
              </w:rPr>
            </w:pPr>
          </w:p>
        </w:tc>
        <w:tc>
          <w:tcPr>
            <w:tcW w:w="4180" w:type="dxa"/>
            <w:vAlign w:val="bottom"/>
          </w:tcPr>
          <w:p>
            <w:pPr>
              <w:ind w:left="1620"/>
              <w:spacing w:after="0" w:line="196" w:lineRule="exact"/>
              <w:rPr>
                <w:sz w:val="20"/>
                <w:szCs w:val="20"/>
                <w:color w:val="auto"/>
              </w:rPr>
            </w:pPr>
            <w:r>
              <w:rPr>
                <w:rFonts w:ascii="Arial" w:cs="Arial" w:eastAsia="Arial" w:hAnsi="Arial"/>
                <w:sz w:val="18"/>
                <w:szCs w:val="18"/>
                <w:color w:val="auto"/>
              </w:rPr>
              <w:t>Las Vegas, Nevada 89109</w:t>
            </w:r>
          </w:p>
        </w:tc>
      </w:tr>
      <w:tr>
        <w:trPr>
          <w:trHeight w:val="235"/>
        </w:trPr>
        <w:tc>
          <w:tcPr>
            <w:tcW w:w="9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80" w:type="dxa"/>
            <w:vAlign w:val="bottom"/>
          </w:tcPr>
          <w:p>
            <w:pPr>
              <w:ind w:left="1620"/>
              <w:spacing w:after="0"/>
              <w:rPr>
                <w:sz w:val="20"/>
                <w:szCs w:val="20"/>
                <w:color w:val="auto"/>
              </w:rPr>
            </w:pPr>
            <w:r>
              <w:rPr>
                <w:rFonts w:ascii="Arial" w:cs="Arial" w:eastAsia="Arial" w:hAnsi="Arial"/>
                <w:sz w:val="18"/>
                <w:szCs w:val="18"/>
                <w:color w:val="auto"/>
              </w:rPr>
              <w:t>Attn: Legal Department</w:t>
            </w:r>
          </w:p>
        </w:tc>
      </w:tr>
      <w:tr>
        <w:trPr>
          <w:trHeight w:val="286"/>
        </w:trPr>
        <w:tc>
          <w:tcPr>
            <w:tcW w:w="3340" w:type="dxa"/>
            <w:vAlign w:val="bottom"/>
            <w:gridSpan w:val="5"/>
          </w:tcPr>
          <w:p>
            <w:pPr>
              <w:spacing w:after="0"/>
              <w:rPr>
                <w:sz w:val="20"/>
                <w:szCs w:val="20"/>
                <w:color w:val="auto"/>
              </w:rPr>
            </w:pPr>
            <w:r>
              <w:rPr>
                <w:rFonts w:ascii="Arial" w:cs="Arial" w:eastAsia="Arial" w:hAnsi="Arial"/>
                <w:sz w:val="18"/>
                <w:szCs w:val="18"/>
                <w:color w:val="auto"/>
              </w:rPr>
              <w:t>TO EMPLOYEE:</w:t>
            </w:r>
          </w:p>
        </w:tc>
        <w:tc>
          <w:tcPr>
            <w:tcW w:w="4180" w:type="dxa"/>
            <w:vAlign w:val="bottom"/>
          </w:tcPr>
          <w:p>
            <w:pPr>
              <w:ind w:left="1620"/>
              <w:spacing w:after="0"/>
              <w:rPr>
                <w:sz w:val="20"/>
                <w:szCs w:val="20"/>
                <w:color w:val="auto"/>
              </w:rPr>
            </w:pPr>
            <w:r>
              <w:rPr>
                <w:rFonts w:ascii="Arial" w:cs="Arial" w:eastAsia="Arial" w:hAnsi="Arial"/>
                <w:sz w:val="18"/>
                <w:szCs w:val="18"/>
                <w:color w:val="auto"/>
              </w:rPr>
              <w:t>Arthur Nathan</w:t>
            </w:r>
          </w:p>
        </w:tc>
      </w:tr>
      <w:tr>
        <w:trPr>
          <w:trHeight w:val="228"/>
        </w:trPr>
        <w:tc>
          <w:tcPr>
            <w:tcW w:w="9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180" w:type="dxa"/>
            <w:vAlign w:val="bottom"/>
          </w:tcPr>
          <w:p>
            <w:pPr>
              <w:ind w:left="1620"/>
              <w:spacing w:after="0"/>
              <w:rPr>
                <w:sz w:val="20"/>
                <w:szCs w:val="20"/>
                <w:color w:val="auto"/>
              </w:rPr>
            </w:pPr>
            <w:r>
              <w:rPr>
                <w:rFonts w:ascii="Arial" w:cs="Arial" w:eastAsia="Arial" w:hAnsi="Arial"/>
                <w:sz w:val="18"/>
                <w:szCs w:val="18"/>
                <w:color w:val="auto"/>
              </w:rPr>
              <w:t>2005 Grouse Street</w:t>
            </w:r>
          </w:p>
        </w:tc>
      </w:tr>
      <w:tr>
        <w:trPr>
          <w:trHeight w:val="222"/>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180" w:type="dxa"/>
            <w:vAlign w:val="bottom"/>
          </w:tcPr>
          <w:p>
            <w:pPr>
              <w:ind w:left="1620"/>
              <w:spacing w:after="0"/>
              <w:rPr>
                <w:sz w:val="20"/>
                <w:szCs w:val="20"/>
                <w:color w:val="auto"/>
              </w:rPr>
            </w:pPr>
            <w:r>
              <w:rPr>
                <w:rFonts w:ascii="Arial" w:cs="Arial" w:eastAsia="Arial" w:hAnsi="Arial"/>
                <w:sz w:val="18"/>
                <w:szCs w:val="18"/>
                <w:color w:val="auto"/>
              </w:rPr>
              <w:t>Las Vegas, Nevada 89134</w:t>
            </w:r>
          </w:p>
        </w:tc>
      </w:tr>
    </w:tbl>
    <w:p>
      <w:pPr>
        <w:spacing w:after="0" w:line="14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17.</w:t>
      </w:r>
    </w:p>
    <w:p>
      <w:pPr>
        <w:spacing w:after="0" w:line="72" w:lineRule="exact"/>
        <w:rPr>
          <w:sz w:val="20"/>
          <w:szCs w:val="20"/>
          <w:color w:val="auto"/>
        </w:rPr>
      </w:pPr>
    </w:p>
    <w:p>
      <w:pPr>
        <w:ind w:right="260" w:firstLine="464"/>
        <w:spacing w:after="0" w:line="268" w:lineRule="auto"/>
        <w:tabs>
          <w:tab w:leader="none" w:pos="720" w:val="left"/>
        </w:tabs>
        <w:numPr>
          <w:ilvl w:val="0"/>
          <w:numId w:val="3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18" w:lineRule="exact"/>
        <w:rPr>
          <w:rFonts w:ascii="Arial" w:cs="Arial" w:eastAsia="Arial" w:hAnsi="Arial"/>
          <w:sz w:val="18"/>
          <w:szCs w:val="18"/>
          <w:b w:val="1"/>
          <w:bCs w:val="1"/>
          <w:i w:val="1"/>
          <w:iCs w:val="1"/>
          <w:color w:val="auto"/>
        </w:rPr>
      </w:pPr>
    </w:p>
    <w:p>
      <w:pPr>
        <w:ind w:right="100" w:firstLine="464"/>
        <w:spacing w:after="0" w:line="332" w:lineRule="auto"/>
        <w:tabs>
          <w:tab w:leader="none" w:pos="720" w:val="left"/>
        </w:tabs>
        <w:numPr>
          <w:ilvl w:val="0"/>
          <w:numId w:val="34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SEVERABILITY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71" w:lineRule="exact"/>
        <w:rPr>
          <w:rFonts w:ascii="Arial" w:cs="Arial" w:eastAsia="Arial" w:hAnsi="Arial"/>
          <w:sz w:val="16"/>
          <w:szCs w:val="16"/>
          <w:b w:val="1"/>
          <w:bCs w:val="1"/>
          <w:i w:val="1"/>
          <w:iCs w:val="1"/>
          <w:color w:val="auto"/>
        </w:rPr>
      </w:pPr>
    </w:p>
    <w:p>
      <w:pPr>
        <w:ind w:firstLine="464"/>
        <w:spacing w:after="0" w:line="291" w:lineRule="auto"/>
        <w:tabs>
          <w:tab w:leader="none" w:pos="720" w:val="left"/>
        </w:tabs>
        <w:numPr>
          <w:ilvl w:val="0"/>
          <w:numId w:val="34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covenants in Paragraph 10 or 11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the state and county where Employer’s or its applicable Affiliate’s principal place of business is located, any and all claims, disputes, or controversies arising between the parties regarding any of the terms of this Agreement or the breach thereof, shall, on the written demand of either of the parties, be submitted to and be determined by final and binding arbitration held in the local jurisdiction where Employer’s or Employer’s Affiliate’s principal place of business is located, in accordance with Employer’s or Employer’s Affiliate’s arbitration policy governing employment disputes. This agreement to arbitrate shall be specifically enforceable in any court of competent jurisdiction.</w:t>
      </w:r>
    </w:p>
    <w:p>
      <w:pPr>
        <w:spacing w:after="0" w:line="106" w:lineRule="exact"/>
        <w:rPr>
          <w:rFonts w:ascii="Arial" w:cs="Arial" w:eastAsia="Arial" w:hAnsi="Arial"/>
          <w:sz w:val="16"/>
          <w:szCs w:val="16"/>
          <w:b w:val="1"/>
          <w:bCs w:val="1"/>
          <w:i w:val="1"/>
          <w:iCs w:val="1"/>
          <w:color w:val="auto"/>
        </w:rPr>
      </w:pPr>
    </w:p>
    <w:p>
      <w:pPr>
        <w:jc w:val="both"/>
        <w:ind w:right="220" w:firstLine="464"/>
        <w:spacing w:after="0" w:line="259" w:lineRule="auto"/>
        <w:tabs>
          <w:tab w:leader="none" w:pos="720" w:val="left"/>
        </w:tabs>
        <w:numPr>
          <w:ilvl w:val="0"/>
          <w:numId w:val="3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Paragraph 21, or any term, right or remedy hereunder shall be deemed waived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waiver is in writing and signed by the party to be charged therewith and in no event by reason of any failure to assert or delay in asserting any such term, right or remedy or similar term, right or remedy hereunder.</w:t>
      </w:r>
    </w:p>
    <w:p>
      <w:pPr>
        <w:spacing w:after="0" w:line="126" w:lineRule="exact"/>
        <w:rPr>
          <w:rFonts w:ascii="Arial" w:cs="Arial" w:eastAsia="Arial" w:hAnsi="Arial"/>
          <w:sz w:val="18"/>
          <w:szCs w:val="18"/>
          <w:b w:val="1"/>
          <w:bCs w:val="1"/>
          <w:i w:val="1"/>
          <w:iCs w:val="1"/>
          <w:color w:val="auto"/>
        </w:rPr>
      </w:pPr>
    </w:p>
    <w:p>
      <w:pPr>
        <w:ind w:right="140" w:firstLine="464"/>
        <w:spacing w:after="0" w:line="306" w:lineRule="auto"/>
        <w:tabs>
          <w:tab w:leader="none" w:pos="720" w:val="left"/>
        </w:tabs>
        <w:numPr>
          <w:ilvl w:val="0"/>
          <w:numId w:val="34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PAROL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constitutes the entire agreement between Employer and Employee with respect to the subject matter hereto, and supersedes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56" w:right="319" w:bottom="1440" w:gutter="0" w:footer="0" w:header="0"/>
        </w:sectPr>
      </w:pPr>
    </w:p>
    <w:bookmarkStart w:id="421" w:name="page422"/>
    <w:bookmarkEnd w:id="421"/>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0" w:type="dxa"/>
            <w:vAlign w:val="bottom"/>
            <w:gridSpan w:val="2"/>
          </w:tcPr>
          <w:p>
            <w:pPr>
              <w:jc w:val="right"/>
              <w:ind w:right="1232"/>
              <w:spacing w:after="0"/>
              <w:rPr>
                <w:sz w:val="20"/>
                <w:szCs w:val="20"/>
                <w:color w:val="auto"/>
              </w:rPr>
            </w:pPr>
            <w:r>
              <w:rPr>
                <w:rFonts w:ascii="Arial" w:cs="Arial" w:eastAsia="Arial" w:hAnsi="Arial"/>
                <w:sz w:val="18"/>
                <w:szCs w:val="18"/>
                <w:b w:val="1"/>
                <w:bCs w:val="1"/>
                <w:color w:val="auto"/>
                <w:w w:val="94"/>
              </w:rPr>
              <w:t>WYNN LAS VEGAS, LLC, dba Le Rêve</w:t>
            </w:r>
          </w:p>
        </w:tc>
        <w:tc>
          <w:tcPr>
            <w:tcW w:w="15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4400" w:type="dxa"/>
            <w:vAlign w:val="bottom"/>
            <w:gridSpan w:val="2"/>
          </w:tcPr>
          <w:p>
            <w:pPr>
              <w:jc w:val="right"/>
              <w:ind w:right="2852"/>
              <w:spacing w:after="0"/>
              <w:rPr>
                <w:sz w:val="20"/>
                <w:szCs w:val="20"/>
                <w:color w:val="auto"/>
              </w:rPr>
            </w:pPr>
            <w:r>
              <w:rPr>
                <w:rFonts w:ascii="Arial" w:cs="Arial" w:eastAsia="Arial" w:hAnsi="Arial"/>
                <w:sz w:val="18"/>
                <w:szCs w:val="18"/>
                <w:color w:val="auto"/>
                <w:w w:val="94"/>
              </w:rPr>
              <w:t>By: /s/ Marc Schorr</w:t>
            </w:r>
          </w:p>
        </w:tc>
        <w:tc>
          <w:tcPr>
            <w:tcW w:w="15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 Arthur Nathan</w:t>
            </w:r>
          </w:p>
        </w:tc>
      </w:tr>
      <w:tr>
        <w:trPr>
          <w:trHeight w:val="110"/>
        </w:trPr>
        <w:tc>
          <w:tcPr>
            <w:tcW w:w="380" w:type="dxa"/>
            <w:vAlign w:val="bottom"/>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c>
          <w:tcPr>
            <w:tcW w:w="1560" w:type="dxa"/>
            <w:vAlign w:val="bottom"/>
          </w:tcPr>
          <w:p>
            <w:pPr>
              <w:spacing w:after="0"/>
              <w:rPr>
                <w:sz w:val="9"/>
                <w:szCs w:val="9"/>
                <w:color w:val="auto"/>
              </w:rPr>
            </w:pPr>
          </w:p>
        </w:tc>
        <w:tc>
          <w:tcPr>
            <w:tcW w:w="5460" w:type="dxa"/>
            <w:vAlign w:val="bottom"/>
            <w:tcBorders>
              <w:bottom w:val="single" w:sz="8" w:color="auto"/>
            </w:tcBorders>
          </w:tcPr>
          <w:p>
            <w:pPr>
              <w:spacing w:after="0"/>
              <w:rPr>
                <w:sz w:val="9"/>
                <w:szCs w:val="9"/>
                <w:color w:val="auto"/>
              </w:rPr>
            </w:pPr>
          </w:p>
        </w:tc>
      </w:tr>
      <w:tr>
        <w:trPr>
          <w:trHeight w:val="309"/>
        </w:trPr>
        <w:tc>
          <w:tcPr>
            <w:tcW w:w="380" w:type="dxa"/>
            <w:vAlign w:val="bottom"/>
          </w:tcPr>
          <w:p>
            <w:pPr>
              <w:spacing w:after="0"/>
              <w:rPr>
                <w:sz w:val="24"/>
                <w:szCs w:val="24"/>
                <w:color w:val="auto"/>
              </w:rPr>
            </w:pPr>
          </w:p>
        </w:tc>
        <w:tc>
          <w:tcPr>
            <w:tcW w:w="4020" w:type="dxa"/>
            <w:vAlign w:val="bottom"/>
          </w:tcPr>
          <w:p>
            <w:pPr>
              <w:jc w:val="right"/>
              <w:ind w:right="2852"/>
              <w:spacing w:after="0"/>
              <w:rPr>
                <w:sz w:val="20"/>
                <w:szCs w:val="20"/>
                <w:color w:val="auto"/>
              </w:rPr>
            </w:pPr>
            <w:r>
              <w:rPr>
                <w:rFonts w:ascii="Arial" w:cs="Arial" w:eastAsia="Arial" w:hAnsi="Arial"/>
                <w:sz w:val="18"/>
                <w:szCs w:val="18"/>
                <w:color w:val="auto"/>
                <w:w w:val="87"/>
              </w:rPr>
              <w:t>Marc D. Schorr</w:t>
            </w:r>
          </w:p>
        </w:tc>
        <w:tc>
          <w:tcPr>
            <w:tcW w:w="15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Arthur Nathan</w:t>
            </w:r>
          </w:p>
        </w:tc>
      </w:tr>
      <w:tr>
        <w:trPr>
          <w:trHeight w:val="222"/>
        </w:trPr>
        <w:tc>
          <w:tcPr>
            <w:tcW w:w="380" w:type="dxa"/>
            <w:vAlign w:val="bottom"/>
          </w:tcPr>
          <w:p>
            <w:pPr>
              <w:spacing w:after="0"/>
              <w:rPr>
                <w:sz w:val="19"/>
                <w:szCs w:val="19"/>
                <w:color w:val="auto"/>
              </w:rPr>
            </w:pPr>
          </w:p>
        </w:tc>
        <w:tc>
          <w:tcPr>
            <w:tcW w:w="4020" w:type="dxa"/>
            <w:vAlign w:val="bottom"/>
          </w:tcPr>
          <w:p>
            <w:pPr>
              <w:jc w:val="right"/>
              <w:ind w:right="3292"/>
              <w:spacing w:after="0"/>
              <w:rPr>
                <w:sz w:val="20"/>
                <w:szCs w:val="20"/>
                <w:color w:val="auto"/>
              </w:rPr>
            </w:pPr>
            <w:r>
              <w:rPr>
                <w:rFonts w:ascii="Arial" w:cs="Arial" w:eastAsia="Arial" w:hAnsi="Arial"/>
                <w:sz w:val="18"/>
                <w:szCs w:val="18"/>
                <w:color w:val="auto"/>
                <w:w w:val="81"/>
              </w:rPr>
              <w:t>President</w:t>
            </w:r>
          </w:p>
        </w:tc>
        <w:tc>
          <w:tcPr>
            <w:tcW w:w="156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365"/>
        </w:trPr>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22" w:name="page423"/>
    <w:bookmarkEnd w:id="4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Indemnification and Gross-Up for Excise Taxes</w:t>
      </w:r>
    </w:p>
    <w:p>
      <w:pPr>
        <w:spacing w:after="0" w:line="158" w:lineRule="exact"/>
        <w:rPr>
          <w:sz w:val="20"/>
          <w:szCs w:val="20"/>
          <w:color w:val="auto"/>
        </w:rPr>
      </w:pPr>
    </w:p>
    <w:p>
      <w:pPr>
        <w:ind w:left="-20" w:right="80" w:firstLine="464"/>
        <w:spacing w:after="0" w:line="285" w:lineRule="auto"/>
        <w:tabs>
          <w:tab w:leader="none" w:pos="67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Section 2.3(c), Employer shall have the right to require Employee to protest, contest, or appeal any such determination or judgment. For purposes of this Section 2.3, any amount that Employer is required to withhold under Sections 3402 or 4999 of the Code or under any other provision of law shall be deemed to have been paid to Employee.</w:t>
      </w:r>
    </w:p>
    <w:p>
      <w:pPr>
        <w:spacing w:after="0" w:line="107" w:lineRule="exact"/>
        <w:rPr>
          <w:rFonts w:ascii="Arial" w:cs="Arial" w:eastAsia="Arial" w:hAnsi="Arial"/>
          <w:sz w:val="16"/>
          <w:szCs w:val="16"/>
          <w:color w:val="auto"/>
        </w:rPr>
      </w:pPr>
    </w:p>
    <w:p>
      <w:pPr>
        <w:ind w:left="-20" w:firstLine="464"/>
        <w:spacing w:after="0" w:line="298" w:lineRule="auto"/>
        <w:tabs>
          <w:tab w:leader="none" w:pos="68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3" w:right="239" w:bottom="1440" w:gutter="0" w:footer="0" w:header="0"/>
        </w:sectPr>
      </w:pPr>
    </w:p>
    <w:bookmarkStart w:id="423" w:name="page424"/>
    <w:bookmarkEnd w:id="423"/>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such statement, and, upon such filing, Employee shall certify in writing to Employer that such returns have been so prepared and filed. Notwithstanding the provisions of Section 2.3(a), Employer shall not be obligated to indemnify Employee from and against any tax liability, cost or expense (including, without limitation, any liability for the Excise Tax or attorney’s fees or costs) to the extent such tax liability, cost or expense is attributable to your failure to comply with the provisions of this Section 2.3(b).</w:t>
      </w:r>
    </w:p>
    <w:p>
      <w:pPr>
        <w:spacing w:after="0" w:line="130" w:lineRule="exact"/>
        <w:rPr>
          <w:sz w:val="20"/>
          <w:szCs w:val="20"/>
          <w:color w:val="auto"/>
        </w:rPr>
      </w:pPr>
    </w:p>
    <w:p>
      <w:pPr>
        <w:ind w:right="40" w:firstLine="464"/>
        <w:spacing w:after="0" w:line="286" w:lineRule="auto"/>
        <w:tabs>
          <w:tab w:leader="none" w:pos="69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Employee shall not be obligated to furnish to Employer copies of any portion of his or her tax returns which do not bear upon, and are not affected by, the Controversy.</w:t>
      </w:r>
    </w:p>
    <w:p>
      <w:pPr>
        <w:spacing w:after="0" w:line="107" w:lineRule="exact"/>
        <w:rPr>
          <w:rFonts w:ascii="Arial" w:cs="Arial" w:eastAsia="Arial" w:hAnsi="Arial"/>
          <w:sz w:val="16"/>
          <w:szCs w:val="16"/>
          <w:color w:val="auto"/>
        </w:rPr>
      </w:pPr>
    </w:p>
    <w:p>
      <w:pPr>
        <w:ind w:firstLine="464"/>
        <w:spacing w:after="0" w:line="290" w:lineRule="auto"/>
        <w:tabs>
          <w:tab w:leader="none" w:pos="70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Section 2.3(d),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424" w:name="page425"/>
    <w:bookmarkEnd w:id="424"/>
    <w:p>
      <w:pPr>
        <w:jc w:val="right"/>
        <w:spacing w:after="0"/>
        <w:rPr>
          <w:sz w:val="20"/>
          <w:szCs w:val="20"/>
          <w:color w:val="auto"/>
        </w:rPr>
      </w:pPr>
      <w:r>
        <w:rPr>
          <w:rFonts w:ascii="Arial" w:cs="Arial" w:eastAsia="Arial" w:hAnsi="Arial"/>
          <w:sz w:val="18"/>
          <w:szCs w:val="18"/>
          <w:b w:val="1"/>
          <w:bCs w:val="1"/>
          <w:color w:val="auto"/>
        </w:rPr>
        <w:t>Exhibit 10.35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45"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August 28, 2003, by and between Wynn Las Vegas, LLC (“</w:t>
      </w:r>
      <w:r>
        <w:rPr>
          <w:rFonts w:ascii="Arial" w:cs="Arial" w:eastAsia="Arial" w:hAnsi="Arial"/>
          <w:sz w:val="18"/>
          <w:szCs w:val="18"/>
          <w:b w:val="1"/>
          <w:bCs w:val="1"/>
          <w:color w:val="auto"/>
        </w:rPr>
        <w:t>Employer</w:t>
      </w:r>
      <w:r>
        <w:rPr>
          <w:rFonts w:ascii="Arial" w:cs="Arial" w:eastAsia="Arial" w:hAnsi="Arial"/>
          <w:sz w:val="18"/>
          <w:szCs w:val="18"/>
          <w:color w:val="auto"/>
        </w:rPr>
        <w:t>”) and Arthur Nathan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WHEREAS, Employer and Employee have entered into that certain Employment Agreement, dated as of December 11, 2002 (the “</w:t>
      </w:r>
      <w:r>
        <w:rPr>
          <w:rFonts w:ascii="Arial" w:cs="Arial" w:eastAsia="Arial" w:hAnsi="Arial"/>
          <w:sz w:val="16"/>
          <w:szCs w:val="16"/>
          <w:b w:val="1"/>
          <w:bCs w:val="1"/>
          <w:color w:val="auto"/>
        </w:rPr>
        <w:t>Agreement</w:t>
      </w:r>
      <w:r>
        <w:rPr>
          <w:rFonts w:ascii="Arial" w:cs="Arial" w:eastAsia="Arial" w:hAnsi="Arial"/>
          <w:sz w:val="16"/>
          <w:szCs w:val="16"/>
          <w:color w:val="auto"/>
        </w:rPr>
        <w:t>”); and</w:t>
      </w:r>
    </w:p>
    <w:p>
      <w:pPr>
        <w:spacing w:after="0" w:line="18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Employer and Employee desire to change the termination provisions of the Agreement on the terms and pursuant to the conditions set forth 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51" w:lineRule="exact"/>
        <w:rPr>
          <w:sz w:val="20"/>
          <w:szCs w:val="20"/>
          <w:color w:val="auto"/>
        </w:rPr>
      </w:pPr>
    </w:p>
    <w:p>
      <w:pPr>
        <w:ind w:left="640" w:hanging="176"/>
        <w:spacing w:after="0"/>
        <w:tabs>
          <w:tab w:leader="none" w:pos="640"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Subsection 7(c) of the Agreement is hereby amended to read as follows:</w:t>
      </w:r>
    </w:p>
    <w:p>
      <w:pPr>
        <w:spacing w:after="0" w:line="71" w:lineRule="exact"/>
        <w:rPr>
          <w:sz w:val="20"/>
          <w:szCs w:val="20"/>
          <w:color w:val="auto"/>
        </w:rPr>
      </w:pPr>
    </w:p>
    <w:p>
      <w:pPr>
        <w:ind w:left="460" w:right="300" w:firstLine="438"/>
        <w:spacing w:after="0" w:line="275"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w:t>
      </w:r>
      <w:r>
        <w:rPr>
          <w:rFonts w:ascii="Arial" w:cs="Arial" w:eastAsia="Arial" w:hAnsi="Arial"/>
          <w:sz w:val="18"/>
          <w:szCs w:val="18"/>
          <w:color w:val="auto"/>
        </w:rPr>
        <w:t>the giving of written notice by Employer to Employee of the termination of this Agreement upon the discharge of Employee for any reason, with or without Cause;”</w:t>
      </w:r>
    </w:p>
    <w:p>
      <w:pPr>
        <w:spacing w:after="0" w:line="31" w:lineRule="exact"/>
        <w:rPr>
          <w:sz w:val="20"/>
          <w:szCs w:val="20"/>
          <w:color w:val="auto"/>
        </w:rPr>
      </w:pPr>
    </w:p>
    <w:p>
      <w:pPr>
        <w:ind w:left="1160" w:hanging="257"/>
        <w:spacing w:after="0"/>
        <w:tabs>
          <w:tab w:leader="none" w:pos="11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Subsection 7(e) of the Agreement is hereby deleted.</w:t>
      </w:r>
    </w:p>
    <w:p>
      <w:pPr>
        <w:spacing w:after="0" w:line="157" w:lineRule="exact"/>
        <w:rPr>
          <w:rFonts w:ascii="Arial" w:cs="Arial" w:eastAsia="Arial" w:hAnsi="Arial"/>
          <w:sz w:val="18"/>
          <w:szCs w:val="18"/>
          <w:color w:val="auto"/>
        </w:rPr>
      </w:pPr>
    </w:p>
    <w:p>
      <w:pPr>
        <w:ind w:right="180" w:firstLine="464"/>
        <w:spacing w:after="0" w:line="268" w:lineRule="auto"/>
        <w:tabs>
          <w:tab w:leader="none" w:pos="632"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WYNN LAS VEGAS, LLC</w:t>
            </w:r>
          </w:p>
        </w:tc>
        <w:tc>
          <w:tcPr>
            <w:tcW w:w="15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By: /s/ Marc Schorr</w:t>
            </w:r>
          </w:p>
        </w:tc>
        <w:tc>
          <w:tcPr>
            <w:tcW w:w="15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 Arthur Nathan</w:t>
            </w:r>
          </w:p>
        </w:tc>
      </w:tr>
      <w:tr>
        <w:trPr>
          <w:trHeight w:val="110"/>
        </w:trPr>
        <w:tc>
          <w:tcPr>
            <w:tcW w:w="380" w:type="dxa"/>
            <w:vAlign w:val="bottom"/>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c>
          <w:tcPr>
            <w:tcW w:w="1560" w:type="dxa"/>
            <w:vAlign w:val="bottom"/>
          </w:tcPr>
          <w:p>
            <w:pPr>
              <w:spacing w:after="0"/>
              <w:rPr>
                <w:sz w:val="9"/>
                <w:szCs w:val="9"/>
                <w:color w:val="auto"/>
              </w:rPr>
            </w:pPr>
          </w:p>
        </w:tc>
        <w:tc>
          <w:tcPr>
            <w:tcW w:w="5460" w:type="dxa"/>
            <w:vAlign w:val="bottom"/>
            <w:tcBorders>
              <w:bottom w:val="single" w:sz="8" w:color="auto"/>
            </w:tcBorders>
          </w:tcPr>
          <w:p>
            <w:pPr>
              <w:spacing w:after="0"/>
              <w:rPr>
                <w:sz w:val="9"/>
                <w:szCs w:val="9"/>
                <w:color w:val="auto"/>
              </w:rPr>
            </w:pPr>
          </w:p>
        </w:tc>
      </w:tr>
      <w:tr>
        <w:trPr>
          <w:trHeight w:val="309"/>
        </w:trPr>
        <w:tc>
          <w:tcPr>
            <w:tcW w:w="3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Marc D. Schorr</w:t>
            </w:r>
          </w:p>
        </w:tc>
        <w:tc>
          <w:tcPr>
            <w:tcW w:w="15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Arthur Nathan</w:t>
            </w:r>
          </w:p>
        </w:tc>
      </w:tr>
      <w:tr>
        <w:trPr>
          <w:trHeight w:val="216"/>
        </w:trPr>
        <w:tc>
          <w:tcPr>
            <w:tcW w:w="3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Executive Officer and</w:t>
            </w:r>
          </w:p>
        </w:tc>
        <w:tc>
          <w:tcPr>
            <w:tcW w:w="156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w:t>
            </w:r>
          </w:p>
        </w:tc>
        <w:tc>
          <w:tcPr>
            <w:tcW w:w="156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ectPr>
          <w:pgSz w:w="11900" w:h="16838" w:orient="portrait"/>
          <w:cols w:equalWidth="0" w:num="1">
            <w:col w:w="11420"/>
          </w:cols>
          <w:pgMar w:left="240" w:top="125" w:right="2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b w:val="1"/>
          <w:bCs w:val="1"/>
          <w:color w:val="auto"/>
        </w:rPr>
        <w:t>Exhibit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EMPLOYMENT AGREEMENT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w:t>
      </w:r>
    </w:p>
    <w:p>
      <w:pPr>
        <w:spacing w:after="0" w:line="15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by and between -</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dba Le Rêve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(“Employer”)</w:t>
      </w:r>
    </w:p>
    <w:p>
      <w:pPr>
        <w:spacing w:after="0" w:line="15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and -</w:t>
      </w:r>
    </w:p>
    <w:p>
      <w:pPr>
        <w:spacing w:after="0" w:line="152"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JAMES E. PETTIS</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170180</wp:posOffset>
            </wp:positionV>
            <wp:extent cx="124333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as of December 16,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26" w:name="page427"/>
    <w:bookmarkEnd w:id="426"/>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AGREEMENT</w:t>
      </w:r>
    </w:p>
    <w:p>
      <w:pPr>
        <w:spacing w:after="0" w:line="15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16th day of December, 2002, by and between</w:t>
      </w:r>
      <w:r>
        <w:rPr>
          <w:rFonts w:ascii="Arial" w:cs="Arial" w:eastAsia="Arial" w:hAnsi="Arial"/>
          <w:sz w:val="18"/>
          <w:szCs w:val="18"/>
          <w:b w:val="1"/>
          <w:bCs w:val="1"/>
          <w:color w:val="auto"/>
        </w:rPr>
        <w:t xml:space="preserve"> WYNN LAS VEGAS, LLC, dba Le Rêve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JAMES E. PETTIS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15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limited liability company duly organized and existing under the laws of the State of Nevada, maintains its principal place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at 3145 Las Vegas Blvd. South, Las Vegas, Nevada, and is engaged in the business of developing, constructing and operating a casino resort at such place of business; and,</w:t>
      </w:r>
    </w:p>
    <w:p>
      <w:pPr>
        <w:spacing w:after="0" w:line="127" w:lineRule="exact"/>
        <w:rPr>
          <w:sz w:val="20"/>
          <w:szCs w:val="20"/>
          <w:color w:val="auto"/>
        </w:rPr>
      </w:pPr>
    </w:p>
    <w:p>
      <w:pPr>
        <w:ind w:left="460" w:right="3340"/>
        <w:spacing w:after="0" w:line="475" w:lineRule="auto"/>
        <w:rPr>
          <w:sz w:val="20"/>
          <w:szCs w:val="20"/>
          <w:color w:val="auto"/>
        </w:rPr>
      </w:pPr>
      <w:r>
        <w:rPr>
          <w:rFonts w:ascii="Arial" w:cs="Arial" w:eastAsia="Arial" w:hAnsi="Arial"/>
          <w:sz w:val="16"/>
          <w:szCs w:val="16"/>
          <w:b w:val="1"/>
          <w:bCs w:val="1"/>
          <w:i w:val="1"/>
          <w:iCs w:val="1"/>
          <w:color w:val="auto"/>
        </w:rPr>
        <w:t xml:space="preserve">WHEREAS, </w:t>
      </w:r>
      <w:r>
        <w:rPr>
          <w:rFonts w:ascii="Arial" w:cs="Arial" w:eastAsia="Arial" w:hAnsi="Arial"/>
          <w:sz w:val="16"/>
          <w:szCs w:val="16"/>
          <w:color w:val="auto"/>
        </w:rPr>
        <w:t>in furtherance of its business, Employer has need of qualified, experienced personnel; and,</w:t>
      </w:r>
      <w:r>
        <w:rPr>
          <w:rFonts w:ascii="Arial" w:cs="Arial" w:eastAsia="Arial" w:hAnsi="Arial"/>
          <w:sz w:val="16"/>
          <w:szCs w:val="16"/>
          <w:b w:val="1"/>
          <w:bCs w:val="1"/>
          <w:i w:val="1"/>
          <w:iCs w:val="1"/>
          <w:color w:val="auto"/>
        </w:rPr>
        <w:t xml:space="preserve"> WHEREAS, </w:t>
      </w:r>
      <w:r>
        <w:rPr>
          <w:rFonts w:ascii="Arial" w:cs="Arial" w:eastAsia="Arial" w:hAnsi="Arial"/>
          <w:sz w:val="16"/>
          <w:szCs w:val="16"/>
          <w:color w:val="auto"/>
        </w:rPr>
        <w:t>Employee is an adult individual residing at 1216 Strong Drive, Las Vegas, Nevada 89102; and,</w:t>
      </w:r>
    </w:p>
    <w:p>
      <w:pPr>
        <w:spacing w:after="0" w:line="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and expertise in order to fulfill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employment stated in this Agreement; and,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pacing w:after="0" w:line="118"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pacing w:after="0" w:line="46" w:lineRule="exact"/>
        <w:rPr>
          <w:sz w:val="20"/>
          <w:szCs w:val="20"/>
          <w:color w:val="auto"/>
        </w:rPr>
      </w:pPr>
    </w:p>
    <w:p>
      <w:pPr>
        <w:ind w:right="200" w:firstLine="464"/>
        <w:spacing w:after="0" w:line="268" w:lineRule="auto"/>
        <w:tabs>
          <w:tab w:leader="none" w:pos="632" w:val="left"/>
        </w:tabs>
        <w:numPr>
          <w:ilvl w:val="0"/>
          <w:numId w:val="3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unless a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 clearly appears from the context:</w:t>
      </w:r>
    </w:p>
    <w:p>
      <w:pPr>
        <w:spacing w:after="0" w:line="31" w:lineRule="exact"/>
        <w:rPr>
          <w:rFonts w:ascii="Arial" w:cs="Arial" w:eastAsia="Arial" w:hAnsi="Arial"/>
          <w:sz w:val="18"/>
          <w:szCs w:val="18"/>
          <w:b w:val="1"/>
          <w:bCs w:val="1"/>
          <w:i w:val="1"/>
          <w:iCs w:val="1"/>
          <w:color w:val="auto"/>
        </w:rPr>
      </w:pPr>
    </w:p>
    <w:p>
      <w:pPr>
        <w:ind w:left="460" w:right="220" w:firstLine="443"/>
        <w:spacing w:after="0" w:line="258" w:lineRule="auto"/>
        <w:tabs>
          <w:tab w:leader="none" w:pos="1137" w:val="left"/>
        </w:tabs>
        <w:numPr>
          <w:ilvl w:val="1"/>
          <w:numId w:val="3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xml:space="preserve">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w:t>
      </w:r>
    </w:p>
    <w:p>
      <w:pPr>
        <w:sectPr>
          <w:pgSz w:w="11900" w:h="16838" w:orient="portrait"/>
          <w:cols w:equalWidth="0" w:num="1">
            <w:col w:w="11420"/>
          </w:cols>
          <w:pgMar w:left="240" w:top="280" w:right="239" w:bottom="1440" w:gutter="0" w:footer="0" w:header="0"/>
        </w:sectPr>
      </w:pPr>
    </w:p>
    <w:bookmarkStart w:id="427" w:name="page428"/>
    <w:bookmarkEnd w:id="427"/>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individual, partnership, trust or other entity or association, the possession, directly or indirectly, of the power to direct or cause the direction of the management or policies of the controlled entity.</w:t>
      </w:r>
    </w:p>
    <w:p>
      <w:pPr>
        <w:spacing w:after="0" w:line="31" w:lineRule="exact"/>
        <w:rPr>
          <w:sz w:val="20"/>
          <w:szCs w:val="20"/>
          <w:color w:val="auto"/>
        </w:rPr>
      </w:pPr>
    </w:p>
    <w:p>
      <w:pPr>
        <w:ind w:left="700" w:hanging="257"/>
        <w:spacing w:after="0"/>
        <w:tabs>
          <w:tab w:leader="none" w:pos="7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 - means each anniversary date of the Effective Date during the Term (as defined in Paragraph 6 hereof).</w:t>
      </w:r>
    </w:p>
    <w:p>
      <w:pPr>
        <w:spacing w:after="0" w:line="76" w:lineRule="exact"/>
        <w:rPr>
          <w:rFonts w:ascii="Arial" w:cs="Arial" w:eastAsia="Arial" w:hAnsi="Arial"/>
          <w:sz w:val="18"/>
          <w:szCs w:val="18"/>
          <w:color w:val="auto"/>
        </w:rPr>
      </w:pPr>
    </w:p>
    <w:p>
      <w:pPr>
        <w:ind w:left="680" w:hanging="237"/>
        <w:spacing w:after="0"/>
        <w:tabs>
          <w:tab w:leader="none" w:pos="6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82" w:lineRule="exact"/>
        <w:rPr>
          <w:rFonts w:ascii="Arial" w:cs="Arial" w:eastAsia="Arial" w:hAnsi="Arial"/>
          <w:sz w:val="18"/>
          <w:szCs w:val="18"/>
          <w:color w:val="auto"/>
        </w:rPr>
      </w:pPr>
    </w:p>
    <w:p>
      <w:pPr>
        <w:ind w:left="1100" w:hanging="219"/>
        <w:spacing w:after="0"/>
        <w:tabs>
          <w:tab w:leader="none" w:pos="1100" w:val="left"/>
        </w:tabs>
        <w:numPr>
          <w:ilvl w:val="2"/>
          <w:numId w:val="353"/>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99" w:lineRule="exact"/>
        <w:rPr>
          <w:rFonts w:ascii="Arial" w:cs="Arial" w:eastAsia="Arial" w:hAnsi="Arial"/>
          <w:sz w:val="16"/>
          <w:szCs w:val="16"/>
          <w:color w:val="auto"/>
        </w:rPr>
      </w:pPr>
    </w:p>
    <w:p>
      <w:pPr>
        <w:ind w:left="460" w:right="60" w:firstLine="421"/>
        <w:spacing w:after="0" w:line="268" w:lineRule="auto"/>
        <w:tabs>
          <w:tab w:leader="none" w:pos="1138" w:val="left"/>
        </w:tabs>
        <w:numPr>
          <w:ilvl w:val="2"/>
          <w:numId w:val="353"/>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37" w:lineRule="exact"/>
        <w:rPr>
          <w:rFonts w:ascii="Arial" w:cs="Arial" w:eastAsia="Arial" w:hAnsi="Arial"/>
          <w:sz w:val="18"/>
          <w:szCs w:val="18"/>
          <w:color w:val="auto"/>
        </w:rPr>
      </w:pPr>
    </w:p>
    <w:p>
      <w:pPr>
        <w:ind w:left="460" w:firstLine="421"/>
        <w:spacing w:after="0" w:line="325" w:lineRule="auto"/>
        <w:tabs>
          <w:tab w:leader="none" w:pos="1187" w:val="left"/>
        </w:tabs>
        <w:numPr>
          <w:ilvl w:val="2"/>
          <w:numId w:val="353"/>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1" w:lineRule="exact"/>
        <w:rPr>
          <w:rFonts w:ascii="Arial" w:cs="Arial" w:eastAsia="Arial" w:hAnsi="Arial"/>
          <w:sz w:val="16"/>
          <w:szCs w:val="16"/>
          <w:color w:val="auto"/>
        </w:rPr>
      </w:pPr>
    </w:p>
    <w:p>
      <w:pPr>
        <w:ind w:left="1180" w:hanging="299"/>
        <w:spacing w:after="0"/>
        <w:tabs>
          <w:tab w:leader="none" w:pos="1180" w:val="left"/>
        </w:tabs>
        <w:numPr>
          <w:ilvl w:val="2"/>
          <w:numId w:val="353"/>
        </w:numPr>
        <w:rPr>
          <w:rFonts w:ascii="Arial" w:cs="Arial" w:eastAsia="Arial" w:hAnsi="Arial"/>
          <w:sz w:val="16"/>
          <w:szCs w:val="16"/>
          <w:color w:val="auto"/>
        </w:rPr>
      </w:pPr>
      <w:r>
        <w:rPr>
          <w:rFonts w:ascii="Arial" w:cs="Arial" w:eastAsia="Arial" w:hAnsi="Arial"/>
          <w:sz w:val="16"/>
          <w:szCs w:val="16"/>
          <w:color w:val="auto"/>
        </w:rPr>
        <w:t>Employee’s breach, neglect, refusal, or failure to materially discharge his duties (other than due to physical or mental illness)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commensurate with his title and function, or Employee’s failure to comply with the lawful directions of Employer, that is not cured within fifteen</w:t>
      </w:r>
    </w:p>
    <w:p>
      <w:pPr>
        <w:spacing w:after="0" w:line="32" w:lineRule="exact"/>
        <w:rPr>
          <w:rFonts w:ascii="Arial" w:cs="Arial" w:eastAsia="Arial" w:hAnsi="Arial"/>
          <w:sz w:val="16"/>
          <w:szCs w:val="16"/>
          <w:color w:val="auto"/>
        </w:rPr>
      </w:pPr>
    </w:p>
    <w:p>
      <w:pPr>
        <w:ind w:left="800" w:hanging="339"/>
        <w:spacing w:after="0"/>
        <w:tabs>
          <w:tab w:leader="none" w:pos="80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days after Employee has received written notice thereof from Employer;</w:t>
      </w:r>
    </w:p>
    <w:p>
      <w:pPr>
        <w:spacing w:after="0" w:line="70" w:lineRule="exact"/>
        <w:rPr>
          <w:rFonts w:ascii="Arial" w:cs="Arial" w:eastAsia="Arial" w:hAnsi="Arial"/>
          <w:sz w:val="18"/>
          <w:szCs w:val="18"/>
          <w:color w:val="auto"/>
        </w:rPr>
      </w:pPr>
    </w:p>
    <w:p>
      <w:pPr>
        <w:ind w:left="1120" w:hanging="239"/>
        <w:spacing w:after="0"/>
        <w:tabs>
          <w:tab w:leader="none" w:pos="1120" w:val="left"/>
        </w:tabs>
        <w:numPr>
          <w:ilvl w:val="2"/>
          <w:numId w:val="354"/>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or an Affiliate’s Board of Directors;</w:t>
      </w:r>
    </w:p>
    <w:p>
      <w:pPr>
        <w:spacing w:after="0" w:line="76" w:lineRule="exact"/>
        <w:rPr>
          <w:rFonts w:ascii="Arial" w:cs="Arial" w:eastAsia="Arial" w:hAnsi="Arial"/>
          <w:sz w:val="18"/>
          <w:szCs w:val="18"/>
          <w:color w:val="auto"/>
        </w:rPr>
      </w:pPr>
    </w:p>
    <w:p>
      <w:pPr>
        <w:ind w:left="460" w:right="620" w:firstLine="421"/>
        <w:spacing w:after="0" w:line="268" w:lineRule="auto"/>
        <w:tabs>
          <w:tab w:leader="none" w:pos="1177" w:val="left"/>
        </w:tabs>
        <w:numPr>
          <w:ilvl w:val="2"/>
          <w:numId w:val="354"/>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or an Affiliate, which does or could result in material harm to Employer or to Employer’s reputation, or that of an Affiliate; or</w:t>
      </w:r>
    </w:p>
    <w:p>
      <w:pPr>
        <w:spacing w:after="0" w:line="37" w:lineRule="exact"/>
        <w:rPr>
          <w:rFonts w:ascii="Arial" w:cs="Arial" w:eastAsia="Arial" w:hAnsi="Arial"/>
          <w:sz w:val="18"/>
          <w:szCs w:val="18"/>
          <w:color w:val="auto"/>
        </w:rPr>
      </w:pPr>
    </w:p>
    <w:p>
      <w:pPr>
        <w:ind w:left="1220" w:hanging="339"/>
        <w:spacing w:after="0"/>
        <w:tabs>
          <w:tab w:leader="none" w:pos="1220" w:val="left"/>
        </w:tabs>
        <w:numPr>
          <w:ilvl w:val="2"/>
          <w:numId w:val="354"/>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 or an Affiliate,</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700" w:top="279" w:right="339" w:bottom="1440" w:gutter="0" w:footer="0" w:header="0"/>
        </w:sectPr>
      </w:pPr>
    </w:p>
    <w:bookmarkStart w:id="428" w:name="page429"/>
    <w:bookmarkEnd w:id="428"/>
    <w:p>
      <w:pPr>
        <w:ind w:left="17" w:right="240"/>
        <w:spacing w:after="0" w:line="268" w:lineRule="auto"/>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herein.</w:t>
      </w:r>
    </w:p>
    <w:p>
      <w:pPr>
        <w:spacing w:after="0" w:line="31" w:lineRule="exact"/>
        <w:rPr>
          <w:sz w:val="20"/>
          <w:szCs w:val="20"/>
          <w:color w:val="auto"/>
        </w:rPr>
      </w:pPr>
    </w:p>
    <w:p>
      <w:pPr>
        <w:ind w:left="257" w:hanging="257"/>
        <w:spacing w:after="0"/>
        <w:tabs>
          <w:tab w:leader="none" w:pos="257" w:val="left"/>
        </w:tabs>
        <w:numPr>
          <w:ilvl w:val="0"/>
          <w:numId w:val="3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 means the occurrence, after the Effective Date, of any of the following events:</w:t>
      </w:r>
    </w:p>
    <w:p>
      <w:pPr>
        <w:spacing w:after="0" w:line="82" w:lineRule="exact"/>
        <w:rPr>
          <w:rFonts w:ascii="Arial" w:cs="Arial" w:eastAsia="Arial" w:hAnsi="Arial"/>
          <w:sz w:val="18"/>
          <w:szCs w:val="18"/>
          <w:color w:val="auto"/>
        </w:rPr>
      </w:pPr>
    </w:p>
    <w:p>
      <w:pPr>
        <w:ind w:left="17" w:right="60" w:firstLine="421"/>
        <w:spacing w:after="0" w:line="255" w:lineRule="auto"/>
        <w:tabs>
          <w:tab w:leader="none" w:pos="647"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Employer, or of any entity resulting from a merger or consolidation involving Employer, representing more than fifty percent (50%) of the combined voting power of the then outstanding securities of Employer or such entity;</w:t>
      </w:r>
    </w:p>
    <w:p>
      <w:pPr>
        <w:spacing w:after="0" w:line="48" w:lineRule="exact"/>
        <w:rPr>
          <w:rFonts w:ascii="Arial" w:cs="Arial" w:eastAsia="Arial" w:hAnsi="Arial"/>
          <w:sz w:val="18"/>
          <w:szCs w:val="18"/>
          <w:color w:val="auto"/>
        </w:rPr>
      </w:pPr>
    </w:p>
    <w:p>
      <w:pPr>
        <w:ind w:left="17" w:firstLine="421"/>
        <w:spacing w:after="0" w:line="289" w:lineRule="auto"/>
        <w:tabs>
          <w:tab w:leader="none" w:pos="696" w:val="left"/>
        </w:tabs>
        <w:numPr>
          <w:ilvl w:val="1"/>
          <w:numId w:val="355"/>
        </w:numPr>
        <w:rPr>
          <w:rFonts w:ascii="Arial" w:cs="Arial" w:eastAsia="Arial" w:hAnsi="Arial"/>
          <w:sz w:val="16"/>
          <w:szCs w:val="16"/>
          <w:color w:val="auto"/>
        </w:rPr>
      </w:pPr>
      <w:r>
        <w:rPr>
          <w:rFonts w:ascii="Arial" w:cs="Arial" w:eastAsia="Arial" w:hAnsi="Arial"/>
          <w:sz w:val="16"/>
          <w:szCs w:val="16"/>
          <w:color w:val="auto"/>
        </w:rPr>
        <w:t xml:space="preserve">the individuals who, as of the time immediately following the closing of Employer’s initial public offering, are members of Employer’s Board of Directors (the “Existing Directors”) cease, for any reason, to constitute more than fifty percent (50%) of the number of authorized directors of Employer as determined in the manner prescribed in Employer’s Articles of Incorporation and Bylaws;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if the election, or nomination for election, by Employer’s stockholders of any new director was approved by a vote of at least fifty percent (50%) of the Existing Directors, such new director shall be considered an Existing Director; </w:t>
      </w:r>
      <w:r>
        <w:rPr>
          <w:rFonts w:ascii="Arial" w:cs="Arial" w:eastAsia="Arial" w:hAnsi="Arial"/>
          <w:sz w:val="16"/>
          <w:szCs w:val="16"/>
          <w:i w:val="1"/>
          <w:iCs w:val="1"/>
          <w:u w:val="single" w:color="auto"/>
          <w:color w:val="auto"/>
        </w:rPr>
        <w:t>provided further</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23" w:lineRule="exact"/>
        <w:rPr>
          <w:rFonts w:ascii="Arial" w:cs="Arial" w:eastAsia="Arial" w:hAnsi="Arial"/>
          <w:sz w:val="16"/>
          <w:szCs w:val="16"/>
          <w:color w:val="auto"/>
        </w:rPr>
      </w:pPr>
    </w:p>
    <w:p>
      <w:pPr>
        <w:ind w:left="17" w:right="20" w:firstLine="421"/>
        <w:spacing w:after="0" w:line="306" w:lineRule="auto"/>
        <w:tabs>
          <w:tab w:leader="none" w:pos="744" w:val="left"/>
        </w:tabs>
        <w:numPr>
          <w:ilvl w:val="1"/>
          <w:numId w:val="355"/>
        </w:numPr>
        <w:rPr>
          <w:rFonts w:ascii="Arial" w:cs="Arial" w:eastAsia="Arial" w:hAnsi="Arial"/>
          <w:sz w:val="16"/>
          <w:szCs w:val="16"/>
          <w:color w:val="auto"/>
        </w:rPr>
      </w:pPr>
      <w:r>
        <w:rPr>
          <w:rFonts w:ascii="Arial" w:cs="Arial" w:eastAsia="Arial" w:hAnsi="Arial"/>
          <w:sz w:val="16"/>
          <w:szCs w:val="16"/>
          <w:color w:val="auto"/>
        </w:rPr>
        <w:t>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w:t>
      </w:r>
    </w:p>
    <w:p>
      <w:pPr>
        <w:spacing w:after="0" w:line="93" w:lineRule="exact"/>
        <w:rPr>
          <w:sz w:val="20"/>
          <w:szCs w:val="20"/>
          <w:color w:val="auto"/>
        </w:rPr>
      </w:pPr>
    </w:p>
    <w:p>
      <w:pPr>
        <w:ind w:left="477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57"/>
          </w:cols>
          <w:pgMar w:left="1143" w:top="280" w:right="299" w:bottom="1440" w:gutter="0" w:footer="0" w:header="0"/>
        </w:sectPr>
      </w:pPr>
    </w:p>
    <w:bookmarkStart w:id="429" w:name="page430"/>
    <w:bookmarkEnd w:id="429"/>
    <w:p>
      <w:pPr>
        <w:ind w:left="4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such transaction or series of related transactions as is referred to in clause (x) or clause (y) above in this subparagraph (iii) (singly or collectively, a “Transaction”) does not otherwise result in a “Change in Control” pursuant to subparagraph (i) of this definition of “Change in Control”;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such Transaction shall constitute a “Change in Control” under this subparagraph (iii) if the Persons who were the stockholders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pacing w:after="0" w:line="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40" w:lineRule="exact"/>
        <w:rPr>
          <w:sz w:val="20"/>
          <w:szCs w:val="20"/>
          <w:color w:val="auto"/>
        </w:rPr>
      </w:pPr>
    </w:p>
    <w:p>
      <w:pPr>
        <w:ind w:right="560" w:firstLine="443"/>
        <w:spacing w:after="0" w:line="275" w:lineRule="auto"/>
        <w:tabs>
          <w:tab w:leader="none" w:pos="67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color w:val="auto"/>
        </w:rPr>
        <w:t>” - means the inability of Employee, due to illness or accident or other mental or physical incapacity, to perform his obligations under this Agreement for a period as defined by Employer’s disability plan or plans.</w:t>
      </w:r>
    </w:p>
    <w:p>
      <w:pPr>
        <w:spacing w:after="0" w:line="25" w:lineRule="exact"/>
        <w:rPr>
          <w:rFonts w:ascii="Arial" w:cs="Arial" w:eastAsia="Arial" w:hAnsi="Arial"/>
          <w:sz w:val="18"/>
          <w:szCs w:val="18"/>
          <w:color w:val="auto"/>
        </w:rPr>
      </w:pPr>
    </w:p>
    <w:p>
      <w:pPr>
        <w:ind w:left="660" w:hanging="217"/>
        <w:spacing w:after="0"/>
        <w:tabs>
          <w:tab w:leader="none" w:pos="6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December 16, 2002.</w:t>
      </w:r>
    </w:p>
    <w:p>
      <w:pPr>
        <w:spacing w:after="0" w:line="76" w:lineRule="exact"/>
        <w:rPr>
          <w:rFonts w:ascii="Arial" w:cs="Arial" w:eastAsia="Arial" w:hAnsi="Arial"/>
          <w:sz w:val="18"/>
          <w:szCs w:val="18"/>
          <w:color w:val="auto"/>
        </w:rPr>
      </w:pPr>
    </w:p>
    <w:p>
      <w:pPr>
        <w:ind w:right="80" w:firstLine="443"/>
        <w:spacing w:after="0" w:line="262" w:lineRule="auto"/>
        <w:tabs>
          <w:tab w:leader="none" w:pos="68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43" w:lineRule="exact"/>
        <w:rPr>
          <w:rFonts w:ascii="Arial" w:cs="Arial" w:eastAsia="Arial" w:hAnsi="Arial"/>
          <w:sz w:val="18"/>
          <w:szCs w:val="18"/>
          <w:color w:val="auto"/>
        </w:rPr>
      </w:pPr>
    </w:p>
    <w:p>
      <w:pPr>
        <w:ind w:left="1100" w:hanging="219"/>
        <w:spacing w:after="0"/>
        <w:tabs>
          <w:tab w:leader="none" w:pos="110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Subparagraph 8(a) below);</w:t>
      </w:r>
    </w:p>
    <w:p>
      <w:pPr>
        <w:spacing w:after="0" w:line="76" w:lineRule="exact"/>
        <w:rPr>
          <w:rFonts w:ascii="Arial" w:cs="Arial" w:eastAsia="Arial" w:hAnsi="Arial"/>
          <w:sz w:val="18"/>
          <w:szCs w:val="18"/>
          <w:color w:val="auto"/>
        </w:rPr>
      </w:pPr>
    </w:p>
    <w:p>
      <w:pPr>
        <w:ind w:left="1140" w:hanging="259"/>
        <w:spacing w:after="0"/>
        <w:tabs>
          <w:tab w:leader="none" w:pos="114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Employer discontinues its bonus plan in which Employee participates as in effect immediately before the</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80" w:right="279" w:bottom="1440" w:gutter="0" w:footer="0" w:header="0"/>
        </w:sectPr>
      </w:pPr>
    </w:p>
    <w:bookmarkStart w:id="430" w:name="page431"/>
    <w:bookmarkEnd w:id="430"/>
    <w:p>
      <w:pPr>
        <w:ind w:left="900"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46" w:lineRule="exact"/>
        <w:rPr>
          <w:sz w:val="20"/>
          <w:szCs w:val="20"/>
          <w:color w:val="auto"/>
        </w:rPr>
      </w:pPr>
    </w:p>
    <w:p>
      <w:pPr>
        <w:ind w:left="900" w:right="540" w:firstLine="421"/>
        <w:spacing w:after="0" w:line="268" w:lineRule="auto"/>
        <w:tabs>
          <w:tab w:leader="none" w:pos="162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and perquisites to Employee from those being provided immediately before the Change in Control;</w:t>
      </w:r>
    </w:p>
    <w:p>
      <w:pPr>
        <w:spacing w:after="0" w:line="37" w:lineRule="exact"/>
        <w:rPr>
          <w:rFonts w:ascii="Arial" w:cs="Arial" w:eastAsia="Arial" w:hAnsi="Arial"/>
          <w:sz w:val="18"/>
          <w:szCs w:val="18"/>
          <w:color w:val="auto"/>
        </w:rPr>
      </w:pPr>
    </w:p>
    <w:p>
      <w:pPr>
        <w:ind w:left="900" w:firstLine="421"/>
        <w:spacing w:after="0" w:line="325" w:lineRule="auto"/>
        <w:tabs>
          <w:tab w:leader="none" w:pos="1617" w:val="left"/>
        </w:tabs>
        <w:numPr>
          <w:ilvl w:val="0"/>
          <w:numId w:val="357"/>
        </w:numPr>
        <w:rPr>
          <w:rFonts w:ascii="Arial" w:cs="Arial" w:eastAsia="Arial" w:hAnsi="Arial"/>
          <w:sz w:val="16"/>
          <w:szCs w:val="16"/>
          <w:color w:val="auto"/>
        </w:rPr>
      </w:pPr>
      <w:r>
        <w:rPr>
          <w:rFonts w:ascii="Arial" w:cs="Arial" w:eastAsia="Arial" w:hAnsi="Arial"/>
          <w:sz w:val="16"/>
          <w:szCs w:val="16"/>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1" w:lineRule="exact"/>
        <w:rPr>
          <w:rFonts w:ascii="Arial" w:cs="Arial" w:eastAsia="Arial" w:hAnsi="Arial"/>
          <w:sz w:val="16"/>
          <w:szCs w:val="16"/>
          <w:color w:val="auto"/>
        </w:rPr>
      </w:pPr>
    </w:p>
    <w:p>
      <w:pPr>
        <w:ind w:left="900" w:right="900" w:firstLine="421"/>
        <w:spacing w:after="0" w:line="268" w:lineRule="auto"/>
        <w:tabs>
          <w:tab w:leader="none" w:pos="156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37" w:lineRule="exact"/>
        <w:rPr>
          <w:rFonts w:ascii="Arial" w:cs="Arial" w:eastAsia="Arial" w:hAnsi="Arial"/>
          <w:sz w:val="18"/>
          <w:szCs w:val="18"/>
          <w:color w:val="auto"/>
        </w:rPr>
      </w:pPr>
    </w:p>
    <w:p>
      <w:pPr>
        <w:ind w:left="1620" w:hanging="299"/>
        <w:spacing w:after="0"/>
        <w:tabs>
          <w:tab w:leader="none" w:pos="162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successor to Employer fails or refuses expressly to assume in writing the obligations of Employer under this Agreement.</w:t>
      </w:r>
    </w:p>
    <w:p>
      <w:pPr>
        <w:spacing w:after="0" w:line="100" w:lineRule="exact"/>
        <w:rPr>
          <w:sz w:val="20"/>
          <w:szCs w:val="20"/>
          <w:color w:val="auto"/>
        </w:rPr>
      </w:pPr>
    </w:p>
    <w:p>
      <w:pPr>
        <w:ind w:left="440" w:right="24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31" w:lineRule="exact"/>
        <w:rPr>
          <w:sz w:val="20"/>
          <w:szCs w:val="20"/>
          <w:color w:val="auto"/>
        </w:rPr>
      </w:pPr>
    </w:p>
    <w:p>
      <w:pPr>
        <w:jc w:val="both"/>
        <w:ind w:left="440" w:right="140" w:firstLine="443"/>
        <w:spacing w:after="0" w:line="301" w:lineRule="auto"/>
        <w:tabs>
          <w:tab w:leader="none" w:pos="1127" w:val="left"/>
        </w:tabs>
        <w:numPr>
          <w:ilvl w:val="1"/>
          <w:numId w:val="358"/>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Separation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means a lump sum equal to (A) Employee’s Base Salary (as defined in Subparagraph 8(a) of this Agreement)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twelve (12) months immediately following termination, plus (B) the bonus that was paid to Employee under Subparagraph 8(b) for the preceding bonus period, projected over the twelve (12) months following that bonus period, plus (C) any accrued but unpaid vacation pay, plus (D) any Gross-Up Payment required by Exhibit 1 to this Agreement, which is incorporated herein by reference.</w:t>
      </w:r>
    </w:p>
    <w:p>
      <w:pPr>
        <w:spacing w:after="0" w:line="95" w:lineRule="exact"/>
        <w:rPr>
          <w:rFonts w:ascii="Arial" w:cs="Arial" w:eastAsia="Arial" w:hAnsi="Arial"/>
          <w:sz w:val="16"/>
          <w:szCs w:val="16"/>
          <w:color w:val="auto"/>
        </w:rPr>
      </w:pPr>
    </w:p>
    <w:p>
      <w:pPr>
        <w:ind w:left="-20" w:right="60" w:firstLine="464"/>
        <w:spacing w:after="0" w:line="256" w:lineRule="auto"/>
        <w:tabs>
          <w:tab w:leader="none" w:pos="612" w:val="left"/>
        </w:tabs>
        <w:numPr>
          <w:ilvl w:val="0"/>
          <w:numId w:val="3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PRIOR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supersedes and replaces any and all prior employment agreements, change in control agreements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plans or agreements, whether written or oral, by and between Employee, on the one side, and Employer or any Affiliate of Employer, on the other side, or under which Employee is a participant. From and after the Effective Date, Employee shall be the employee of Employer under the terms and pursuant to the conditions set forth in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9" w:right="239" w:bottom="1440" w:gutter="0" w:footer="0" w:header="0"/>
        </w:sectPr>
      </w:pPr>
    </w:p>
    <w:bookmarkStart w:id="431" w:name="page432"/>
    <w:bookmarkEnd w:id="431"/>
    <w:p>
      <w:pPr>
        <w:ind w:left="-40" w:right="20" w:firstLine="464"/>
        <w:spacing w:after="0" w:line="294" w:lineRule="auto"/>
        <w:tabs>
          <w:tab w:leader="none" w:pos="592" w:val="left"/>
        </w:tabs>
        <w:numPr>
          <w:ilvl w:val="0"/>
          <w:numId w:val="36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BASIC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 set forth, Employer hereby employs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Term hereinafter specified to serve in a capacity, under a title, and with such duties not inconsistent with those set forth in Section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w:t>
      </w:r>
    </w:p>
    <w:p>
      <w:pPr>
        <w:spacing w:after="0" w:line="102" w:lineRule="exact"/>
        <w:rPr>
          <w:rFonts w:ascii="Arial" w:cs="Arial" w:eastAsia="Arial" w:hAnsi="Arial"/>
          <w:sz w:val="16"/>
          <w:szCs w:val="16"/>
          <w:b w:val="1"/>
          <w:bCs w:val="1"/>
          <w:i w:val="1"/>
          <w:iCs w:val="1"/>
          <w:color w:val="auto"/>
        </w:rPr>
      </w:pPr>
    </w:p>
    <w:p>
      <w:pPr>
        <w:ind w:left="-40" w:firstLine="464"/>
        <w:spacing w:after="0" w:line="253" w:lineRule="auto"/>
        <w:tabs>
          <w:tab w:leader="none" w:pos="592" w:val="left"/>
        </w:tabs>
        <w:numPr>
          <w:ilvl w:val="0"/>
          <w:numId w:val="3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DUTIES OF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perform such duties assigned to Employee by Employer as are generally associated with the duties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Senior Vice President - Administration </w:t>
      </w:r>
      <w:r>
        <w:rPr>
          <w:rFonts w:ascii="Arial" w:cs="Arial" w:eastAsia="Arial" w:hAnsi="Arial"/>
          <w:sz w:val="18"/>
          <w:szCs w:val="18"/>
          <w:color w:val="auto"/>
        </w:rPr>
        <w:t>for Employer or such similar duties as may be assigned to Employee by Employer as Employer may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duties shall include, but not be limited to: (i) the efficient and continuous operation of Employer and its Affiliates; (ii) the preparation of relevant budgets and allocation or relevant funds; (iii) the selection and delegation of duties and responsibilities of subordinates; (iv) the direction, review and oversight of all programs under Employee’s supervision; and (v) such other and further duties as may be assigned by Employer to Employee from time to time. The foregoing notwithstanding, Employee shall devote such time to Employer’s Affiliates as may be required by Employer, provided such duties are not inconsistent with Employee’s primary duties to Employer hereunder.</w:t>
      </w:r>
    </w:p>
    <w:p>
      <w:pPr>
        <w:spacing w:after="0" w:line="133" w:lineRule="exact"/>
        <w:rPr>
          <w:rFonts w:ascii="Arial" w:cs="Arial" w:eastAsia="Arial" w:hAnsi="Arial"/>
          <w:sz w:val="18"/>
          <w:szCs w:val="18"/>
          <w:b w:val="1"/>
          <w:bCs w:val="1"/>
          <w:i w:val="1"/>
          <w:iCs w:val="1"/>
          <w:color w:val="auto"/>
        </w:rPr>
      </w:pPr>
    </w:p>
    <w:p>
      <w:pPr>
        <w:ind w:left="-40" w:right="60" w:firstLine="464"/>
        <w:spacing w:after="0" w:line="291" w:lineRule="auto"/>
        <w:tabs>
          <w:tab w:leader="none" w:pos="592" w:val="left"/>
        </w:tabs>
        <w:numPr>
          <w:ilvl w:val="0"/>
          <w:numId w:val="36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ACCEPTANCE OF EMPLOYMENT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hereby unconditionally accepts the employment set forth hereunder, under the terms and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conditions set forth in this Agreement. Employee hereby covenants and agrees that, except for continuing his historical practice of consulting and advising third parties on insurance matters on a limited and periodic basis (provided the same does not interfere with the performance of Employee’s duties under this Agreement), and in other instances only upon Employer’s prior express written authorization, Employee will devote the whole of Employee’s normal and customary working time and best efforts solely to the performance of Employee’s duties under this Agreement and shall not perform any services for any casino, hotel/casino or other similar gaming or gambling operation not owned by Employer or any of Employer’s Affiliates.</w:t>
      </w:r>
    </w:p>
    <w:p>
      <w:pPr>
        <w:spacing w:after="0" w:line="100" w:lineRule="exact"/>
        <w:rPr>
          <w:rFonts w:ascii="Arial" w:cs="Arial" w:eastAsia="Arial" w:hAnsi="Arial"/>
          <w:sz w:val="16"/>
          <w:szCs w:val="16"/>
          <w:b w:val="1"/>
          <w:bCs w:val="1"/>
          <w:i w:val="1"/>
          <w:iCs w:val="1"/>
          <w:color w:val="auto"/>
        </w:rPr>
      </w:pPr>
    </w:p>
    <w:p>
      <w:pPr>
        <w:ind w:left="-40" w:right="40" w:firstLine="464"/>
        <w:spacing w:after="0" w:line="275" w:lineRule="auto"/>
        <w:tabs>
          <w:tab w:leader="none" w:pos="592" w:val="left"/>
        </w:tabs>
        <w:numPr>
          <w:ilvl w:val="0"/>
          <w:numId w:val="3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consist of five (5) years commencing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Effective Date of this Agreement and terminating on the fifth Anniversary Date of the Effective Date.</w:t>
      </w:r>
    </w:p>
    <w:p>
      <w:pPr>
        <w:spacing w:after="0" w:line="112" w:lineRule="exact"/>
        <w:rPr>
          <w:rFonts w:ascii="Arial" w:cs="Arial" w:eastAsia="Arial" w:hAnsi="Arial"/>
          <w:sz w:val="18"/>
          <w:szCs w:val="18"/>
          <w:b w:val="1"/>
          <w:bCs w:val="1"/>
          <w:i w:val="1"/>
          <w:iCs w:val="1"/>
          <w:color w:val="auto"/>
        </w:rPr>
      </w:pPr>
    </w:p>
    <w:p>
      <w:pPr>
        <w:ind w:left="-40" w:right="240" w:firstLine="464"/>
        <w:spacing w:after="0" w:line="268" w:lineRule="auto"/>
        <w:tabs>
          <w:tab w:leader="none" w:pos="592" w:val="left"/>
        </w:tabs>
        <w:numPr>
          <w:ilvl w:val="0"/>
          <w:numId w:val="3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provisions of Section 6 of this Agreement, this Agreement shall terminate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any of the following events:</w:t>
      </w:r>
    </w:p>
    <w:p>
      <w:pPr>
        <w:spacing w:after="0" w:line="37" w:lineRule="exact"/>
        <w:rPr>
          <w:rFonts w:ascii="Arial" w:cs="Arial" w:eastAsia="Arial" w:hAnsi="Arial"/>
          <w:sz w:val="18"/>
          <w:szCs w:val="18"/>
          <w:b w:val="1"/>
          <w:bCs w:val="1"/>
          <w:i w:val="1"/>
          <w:iCs w:val="1"/>
          <w:color w:val="auto"/>
        </w:rPr>
      </w:pPr>
    </w:p>
    <w:p>
      <w:pPr>
        <w:ind w:left="1100" w:hanging="237"/>
        <w:spacing w:after="0"/>
        <w:tabs>
          <w:tab w:leader="none" w:pos="110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79" w:right="279" w:bottom="1440" w:gutter="0" w:footer="0" w:header="0"/>
        </w:sectPr>
      </w:pPr>
    </w:p>
    <w:bookmarkStart w:id="432" w:name="page433"/>
    <w:bookmarkEnd w:id="432"/>
    <w:p>
      <w:pPr>
        <w:ind w:left="1160" w:hanging="257"/>
        <w:spacing w:after="0"/>
        <w:tabs>
          <w:tab w:leader="none" w:pos="1160" w:val="left"/>
        </w:tabs>
        <w:numPr>
          <w:ilvl w:val="1"/>
          <w:numId w:val="3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giving of written notice from Employer to Employee of the termination of this Agreement upon the Complete Disability of Employee;</w:t>
      </w:r>
    </w:p>
    <w:p>
      <w:pPr>
        <w:spacing w:after="0" w:line="99" w:lineRule="exact"/>
        <w:rPr>
          <w:rFonts w:ascii="Arial" w:cs="Arial" w:eastAsia="Arial" w:hAnsi="Arial"/>
          <w:sz w:val="16"/>
          <w:szCs w:val="16"/>
          <w:color w:val="auto"/>
        </w:rPr>
      </w:pPr>
    </w:p>
    <w:p>
      <w:pPr>
        <w:ind w:left="1140" w:hanging="237"/>
        <w:spacing w:after="0"/>
        <w:tabs>
          <w:tab w:leader="none" w:pos="1140"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99"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1"/>
          <w:numId w:val="361"/>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following a denial or revocation of Employee’s License (as defined in Subparagraph 9(b) of this Agreement).</w:t>
      </w:r>
    </w:p>
    <w:p>
      <w:pPr>
        <w:spacing w:after="0" w:line="31" w:lineRule="exact"/>
        <w:rPr>
          <w:rFonts w:ascii="Arial" w:cs="Arial" w:eastAsia="Arial" w:hAnsi="Arial"/>
          <w:sz w:val="18"/>
          <w:szCs w:val="18"/>
          <w:color w:val="auto"/>
        </w:rPr>
      </w:pPr>
    </w:p>
    <w:p>
      <w:pPr>
        <w:ind w:left="1140" w:hanging="237"/>
        <w:spacing w:after="0"/>
        <w:tabs>
          <w:tab w:leader="none" w:pos="1140" w:val="left"/>
        </w:tabs>
        <w:numPr>
          <w:ilvl w:val="1"/>
          <w:numId w:val="361"/>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Employer to Employee of the termination of this Agreement without Cause,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b w:val="1"/>
          <w:bCs w:val="1"/>
          <w:color w:val="auto"/>
        </w:rPr>
        <w:t>,</w:t>
      </w:r>
      <w:r>
        <w:rPr>
          <w:rFonts w:ascii="Arial" w:cs="Arial" w:eastAsia="Arial" w:hAnsi="Arial"/>
          <w:sz w:val="16"/>
          <w:szCs w:val="16"/>
          <w:color w:val="auto"/>
        </w:rPr>
        <w:t xml:space="preserve"> that, within ten</w:t>
      </w:r>
    </w:p>
    <w:p>
      <w:pPr>
        <w:spacing w:after="0" w:line="44" w:lineRule="exact"/>
        <w:rPr>
          <w:rFonts w:ascii="Arial" w:cs="Arial" w:eastAsia="Arial" w:hAnsi="Arial"/>
          <w:sz w:val="16"/>
          <w:szCs w:val="16"/>
          <w:color w:val="auto"/>
        </w:rPr>
      </w:pPr>
    </w:p>
    <w:p>
      <w:pPr>
        <w:ind w:left="800" w:hanging="336"/>
        <w:spacing w:after="0"/>
        <w:tabs>
          <w:tab w:leader="none" w:pos="8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calendar days after such notice, Employer must tender the Separation Payment to Employee;</w:t>
      </w:r>
    </w:p>
    <w:p>
      <w:pPr>
        <w:spacing w:after="0" w:line="70" w:lineRule="exact"/>
        <w:rPr>
          <w:rFonts w:ascii="Arial" w:cs="Arial" w:eastAsia="Arial" w:hAnsi="Arial"/>
          <w:sz w:val="18"/>
          <w:szCs w:val="18"/>
          <w:color w:val="auto"/>
        </w:rPr>
      </w:pPr>
    </w:p>
    <w:p>
      <w:pPr>
        <w:ind w:left="460" w:firstLine="443"/>
        <w:spacing w:after="0" w:line="259" w:lineRule="auto"/>
        <w:tabs>
          <w:tab w:leader="none" w:pos="1117" w:val="left"/>
        </w:tabs>
        <w:numPr>
          <w:ilvl w:val="1"/>
          <w:numId w:val="362"/>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b w:val="1"/>
          <w:bCs w:val="1"/>
          <w:color w:val="auto"/>
        </w:rPr>
        <w:t>,</w:t>
      </w:r>
      <w:r>
        <w:rPr>
          <w:rFonts w:ascii="Arial" w:cs="Arial" w:eastAsia="Arial" w:hAnsi="Arial"/>
          <w:sz w:val="18"/>
          <w:szCs w:val="18"/>
          <w:color w:val="auto"/>
        </w:rPr>
        <w:t xml:space="preserve"> that, within ten (10) days after the expiration of such cure period without the cure having been effected, Employer must tender the Separation Payment to Employee; or</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1"/>
          <w:numId w:val="362"/>
        </w:numPr>
        <w:rPr>
          <w:rFonts w:ascii="Arial" w:cs="Arial" w:eastAsia="Arial" w:hAnsi="Arial"/>
          <w:sz w:val="18"/>
          <w:szCs w:val="18"/>
          <w:color w:val="auto"/>
        </w:rPr>
      </w:pPr>
      <w:r>
        <w:rPr>
          <w:rFonts w:ascii="Arial" w:cs="Arial" w:eastAsia="Arial" w:hAnsi="Arial"/>
          <w:sz w:val="18"/>
          <w:szCs w:val="18"/>
          <w:color w:val="auto"/>
        </w:rPr>
        <w:t xml:space="preserve">at Employee’s sole election in writing as provided in Paragraph 17 of this Agreement, after both a Change of Control and as a result of Good Reason,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b w:val="1"/>
          <w:bCs w:val="1"/>
          <w:color w:val="auto"/>
        </w:rPr>
        <w:t>,</w:t>
      </w:r>
      <w:r>
        <w:rPr>
          <w:rFonts w:ascii="Arial" w:cs="Arial" w:eastAsia="Arial" w:hAnsi="Arial"/>
          <w:sz w:val="18"/>
          <w:szCs w:val="18"/>
          <w:color w:val="auto"/>
        </w:rPr>
        <w:t xml:space="preserve"> that, within ten (10) calendar days after Employer’s receipt of Employee’s written election, Employer must tender the Separation Payment to Employee.</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the event of a termination of this Agreement pursuant to the provisions of Subparagraph 7(a), (b), (c) or (d), Employer shall not be required to make any payments to Employee other than payment of Base Salary and vacation pay accrued but unpaid through the termination date. In the event of a termination of this Agreement pursuant to the provisions of Subparagraph (e),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7 shall continue until the earlier of (x) the expiration of the period for which the Separation Payment is paid, (y) the date Employee becomes covered under any other group health plan not maintained by Employer or any of its Affiliates;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such other group health plan excludes any pre-existing condition that Employee or Employee’s dependents may have when coverage under such group health plan would otherwise begin, coverage under this Paragraph 7 shall continue (but not beyond the period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433" w:name="page434"/>
    <w:bookmarkEnd w:id="43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7, the obligations of Employer and its Affiliates under this Paragraph 7 shall be conditioned upon Employee’s timely making such an election. In the event of a termination of this Agreement pursuant to any of the provisions of this Paragraph 7, Employee shall not be entitled to any benefits pursuant to any severance plan in effect by Employer or any of Employer’s Affiliates.</w:t>
      </w:r>
    </w:p>
    <w:p>
      <w:pPr>
        <w:spacing w:after="0" w:line="102" w:lineRule="exact"/>
        <w:rPr>
          <w:sz w:val="20"/>
          <w:szCs w:val="20"/>
          <w:color w:val="auto"/>
        </w:rPr>
      </w:pPr>
    </w:p>
    <w:p>
      <w:pPr>
        <w:ind w:right="180" w:firstLine="464"/>
        <w:spacing w:after="0" w:line="259" w:lineRule="auto"/>
        <w:tabs>
          <w:tab w:leader="none" w:pos="632" w:val="left"/>
        </w:tabs>
        <w:numPr>
          <w:ilvl w:val="0"/>
          <w:numId w:val="3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39" w:lineRule="exact"/>
        <w:rPr>
          <w:rFonts w:ascii="Arial" w:cs="Arial" w:eastAsia="Arial" w:hAnsi="Arial"/>
          <w:sz w:val="18"/>
          <w:szCs w:val="18"/>
          <w:b w:val="1"/>
          <w:bCs w:val="1"/>
          <w:i w:val="1"/>
          <w:iCs w:val="1"/>
          <w:color w:val="auto"/>
        </w:rPr>
      </w:pPr>
    </w:p>
    <w:p>
      <w:pPr>
        <w:ind w:left="460" w:firstLine="443"/>
        <w:spacing w:after="0" w:line="293" w:lineRule="auto"/>
        <w:tabs>
          <w:tab w:leader="none" w:pos="1137" w:val="left"/>
        </w:tabs>
        <w:numPr>
          <w:ilvl w:val="1"/>
          <w:numId w:val="363"/>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to pay to Employee, and Employee hereby covenants and agrees to accept from Employer, a</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at the rate of Two Hundred Thousand Dollars ($200,000.00) per annum during the Term, payable in such installments as shall be convenient to Employer (the “Base Salary”). Such Base Salary shall be subject to periodic merit reviews and may be increased, but not decreased, as a result of any such review. Such Base Salary shall be exclusive of and in addition to any other benefits which Employer, in its sole discretion, may make available to Employee, including, but not limited to, any discretionary bonus, profit sharing plan, pension plan, retirement plan, disability or life insurance plan, medical and/or hospitalization plan, or any and all other benefit plan which may be in effect during the Term.</w:t>
      </w:r>
    </w:p>
    <w:p>
      <w:pPr>
        <w:spacing w:after="0" w:line="16" w:lineRule="exact"/>
        <w:rPr>
          <w:rFonts w:ascii="Arial" w:cs="Arial" w:eastAsia="Arial" w:hAnsi="Arial"/>
          <w:sz w:val="16"/>
          <w:szCs w:val="16"/>
          <w:color w:val="auto"/>
        </w:rPr>
      </w:pPr>
    </w:p>
    <w:p>
      <w:pPr>
        <w:jc w:val="both"/>
        <w:ind w:left="460" w:right="220" w:firstLine="443"/>
        <w:spacing w:after="0" w:line="258" w:lineRule="auto"/>
        <w:tabs>
          <w:tab w:leader="none" w:pos="1147" w:val="left"/>
        </w:tabs>
        <w:numPr>
          <w:ilvl w:val="1"/>
          <w:numId w:val="363"/>
        </w:numPr>
        <w:rPr>
          <w:rFonts w:ascii="Arial" w:cs="Arial" w:eastAsia="Arial" w:hAnsi="Arial"/>
          <w:sz w:val="18"/>
          <w:szCs w:val="18"/>
          <w:color w:val="auto"/>
        </w:rPr>
      </w:pPr>
      <w:r>
        <w:rPr>
          <w:rFonts w:ascii="Arial" w:cs="Arial" w:eastAsia="Arial" w:hAnsi="Arial"/>
          <w:sz w:val="18"/>
          <w:szCs w:val="18"/>
          <w:b w:val="1"/>
          <w:bCs w:val="1"/>
          <w:u w:val="single" w:color="auto"/>
          <w:color w:val="auto"/>
        </w:rPr>
        <w:t>Bonus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also will be eligible to receive a bonus at such times and in such amounts as Employer, in its sole,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and unreviewable discretion, may determine. The goals, if any, that Employee must meet or exceed in order to become eligible for bonus compensation greater than the guaranteed minimum shall be determined by Employer in Employer’s sole discretion and disclosed to Employee before or at the commencement of the period for which such goals may apply.</w:t>
      </w:r>
    </w:p>
    <w:p>
      <w:pPr>
        <w:spacing w:after="0" w:line="41" w:lineRule="exact"/>
        <w:rPr>
          <w:rFonts w:ascii="Arial" w:cs="Arial" w:eastAsia="Arial" w:hAnsi="Arial"/>
          <w:sz w:val="18"/>
          <w:szCs w:val="18"/>
          <w:color w:val="auto"/>
        </w:rPr>
      </w:pPr>
    </w:p>
    <w:p>
      <w:pPr>
        <w:ind w:left="460" w:right="80" w:firstLine="443"/>
        <w:spacing w:after="0" w:line="301" w:lineRule="auto"/>
        <w:tabs>
          <w:tab w:leader="none" w:pos="1137" w:val="left"/>
        </w:tabs>
        <w:numPr>
          <w:ilvl w:val="1"/>
          <w:numId w:val="363"/>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 Benefit Plans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that it shall include Employee, if otherwise eligible, in any profit sharing plan,</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plan, executive stock option plan, retirement plan, disability or life insurance plan, medical and/or hospitalization plan, and/or any and all other benefit plans that may be placed in effect by Employer or any of its Affiliates for the benefit of Employer’s eexecutives during the Term. Nothing in this Agreement shall limit Employer’s or its Affiliates’ ability to adopt, amend or terminate any benefit plan at any time.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434" w:name="page435"/>
    <w:bookmarkEnd w:id="434"/>
    <w:p>
      <w:pPr>
        <w:ind w:right="40" w:firstLine="443"/>
        <w:spacing w:after="0" w:line="301" w:lineRule="auto"/>
        <w:tabs>
          <w:tab w:leader="none" w:pos="687" w:val="left"/>
        </w:tabs>
        <w:numPr>
          <w:ilvl w:val="1"/>
          <w:numId w:val="364"/>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Expense Reimbursement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and provided the same are authorized in advance by Employer, Employer shall either pay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8" w:lineRule="exact"/>
        <w:rPr>
          <w:rFonts w:ascii="Arial" w:cs="Arial" w:eastAsia="Arial" w:hAnsi="Arial"/>
          <w:sz w:val="16"/>
          <w:szCs w:val="16"/>
          <w:color w:val="auto"/>
        </w:rPr>
      </w:pPr>
    </w:p>
    <w:p>
      <w:pPr>
        <w:ind w:right="400" w:firstLine="443"/>
        <w:spacing w:after="0" w:line="325" w:lineRule="auto"/>
        <w:tabs>
          <w:tab w:leader="none" w:pos="677" w:val="left"/>
        </w:tabs>
        <w:numPr>
          <w:ilvl w:val="1"/>
          <w:numId w:val="364"/>
        </w:numPr>
        <w:rPr>
          <w:rFonts w:ascii="Arial" w:cs="Arial" w:eastAsia="Arial" w:hAnsi="Arial"/>
          <w:sz w:val="16"/>
          <w:szCs w:val="16"/>
          <w:color w:val="auto"/>
        </w:rPr>
      </w:pPr>
      <w:r>
        <w:rPr>
          <w:rFonts w:ascii="Arial" w:cs="Arial" w:eastAsia="Arial" w:hAnsi="Arial"/>
          <w:sz w:val="16"/>
          <w:szCs w:val="16"/>
          <w:b w:val="1"/>
          <w:bCs w:val="1"/>
          <w:u w:val="single" w:color="auto"/>
          <w:color w:val="auto"/>
        </w:rPr>
        <w:t>Vacations and Holidays</w:t>
      </w:r>
      <w:r>
        <w:rPr>
          <w:rFonts w:ascii="Arial" w:cs="Arial" w:eastAsia="Arial" w:hAnsi="Arial"/>
          <w:sz w:val="16"/>
          <w:szCs w:val="16"/>
          <w:b w:val="1"/>
          <w:bCs w:val="1"/>
          <w:color w:val="auto"/>
        </w:rPr>
        <w:t xml:space="preserve">. </w:t>
      </w:r>
      <w:r>
        <w:rPr>
          <w:rFonts w:ascii="Arial" w:cs="Arial" w:eastAsia="Arial" w:hAnsi="Arial"/>
          <w:sz w:val="16"/>
          <w:szCs w:val="16"/>
          <w:color w:val="auto"/>
        </w:rPr>
        <w:t>Commencing as of the Effective Date, Employee shall be entitled to annual paid vacation and paid holidays (or, at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Employer’s option, an equivalent number of paid days off) in accordance with Employer’s respective standard policies.</w:t>
      </w:r>
    </w:p>
    <w:p>
      <w:pPr>
        <w:spacing w:after="0" w:line="1" w:lineRule="exact"/>
        <w:rPr>
          <w:rFonts w:ascii="Arial" w:cs="Arial" w:eastAsia="Arial" w:hAnsi="Arial"/>
          <w:sz w:val="16"/>
          <w:szCs w:val="16"/>
          <w:color w:val="auto"/>
        </w:rPr>
      </w:pPr>
    </w:p>
    <w:p>
      <w:pPr>
        <w:ind w:firstLine="443"/>
        <w:spacing w:after="0" w:line="262" w:lineRule="auto"/>
        <w:tabs>
          <w:tab w:leader="none" w:pos="657" w:val="left"/>
        </w:tabs>
        <w:numPr>
          <w:ilvl w:val="1"/>
          <w:numId w:val="364"/>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compensation provided to Employee by Employer under this Section 8 shall be subject to applicable withholdings for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local income or other taxes, Social Security Tax, Medicare Tax, State Unemployment Insurance, State Disability Insurance, charitable contributions and the like.</w:t>
      </w:r>
    </w:p>
    <w:p>
      <w:pPr>
        <w:spacing w:after="0" w:line="124" w:lineRule="exact"/>
        <w:rPr>
          <w:rFonts w:ascii="Arial" w:cs="Arial" w:eastAsia="Arial" w:hAnsi="Arial"/>
          <w:sz w:val="18"/>
          <w:szCs w:val="18"/>
          <w:color w:val="auto"/>
        </w:rPr>
      </w:pPr>
    </w:p>
    <w:p>
      <w:pPr>
        <w:ind w:left="180" w:hanging="176"/>
        <w:spacing w:after="0"/>
        <w:tabs>
          <w:tab w:leader="none" w:pos="180" w:val="left"/>
        </w:tabs>
        <w:numPr>
          <w:ilvl w:val="0"/>
          <w:numId w:val="3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right="20" w:firstLine="443"/>
        <w:spacing w:after="0" w:line="291" w:lineRule="auto"/>
        <w:tabs>
          <w:tab w:leader="none" w:pos="677" w:val="left"/>
        </w:tabs>
        <w:numPr>
          <w:ilvl w:val="1"/>
          <w:numId w:val="365"/>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this Agreement may be subject to the approval of one or more gaming regulatory authorities (the “</w:t>
      </w:r>
      <w:r>
        <w:rPr>
          <w:rFonts w:ascii="Arial" w:cs="Arial" w:eastAsia="Arial" w:hAnsi="Arial"/>
          <w:sz w:val="16"/>
          <w:szCs w:val="16"/>
          <w:b w:val="1"/>
          <w:bCs w:val="1"/>
          <w:color w:val="auto"/>
        </w:rPr>
        <w:t>Authorities</w:t>
      </w:r>
      <w:r>
        <w:rPr>
          <w:rFonts w:ascii="Arial" w:cs="Arial" w:eastAsia="Arial" w:hAnsi="Arial"/>
          <w:sz w:val="16"/>
          <w:szCs w:val="16"/>
          <w:color w:val="auto"/>
        </w:rPr>
        <w:t>”) pursuant to the provisions of the relevant gaming regulatory statutes (the “</w:t>
      </w:r>
      <w:r>
        <w:rPr>
          <w:rFonts w:ascii="Arial" w:cs="Arial" w:eastAsia="Arial" w:hAnsi="Arial"/>
          <w:sz w:val="16"/>
          <w:szCs w:val="16"/>
          <w:b w:val="1"/>
          <w:bCs w:val="1"/>
          <w:color w:val="auto"/>
        </w:rPr>
        <w:t>Gaming Acts</w:t>
      </w:r>
      <w:r>
        <w:rPr>
          <w:rFonts w:ascii="Arial" w:cs="Arial" w:eastAsia="Arial" w:hAnsi="Arial"/>
          <w:sz w:val="16"/>
          <w:szCs w:val="16"/>
          <w:color w:val="auto"/>
        </w:rPr>
        <w:t>”) and the regulations promulgated thereunder (the “</w:t>
      </w:r>
      <w:r>
        <w:rPr>
          <w:rFonts w:ascii="Arial" w:cs="Arial" w:eastAsia="Arial" w:hAnsi="Arial"/>
          <w:sz w:val="16"/>
          <w:szCs w:val="16"/>
          <w:b w:val="1"/>
          <w:bCs w:val="1"/>
          <w:color w:val="auto"/>
        </w:rPr>
        <w:t>Gaming Regulations</w:t>
      </w:r>
      <w:r>
        <w:rPr>
          <w:rFonts w:ascii="Arial" w:cs="Arial" w:eastAsia="Arial" w:hAnsi="Arial"/>
          <w:sz w:val="16"/>
          <w:szCs w:val="16"/>
          <w:color w:val="auto"/>
        </w:rPr>
        <w:t>”). Employer and Employee hereby covenant and agree to use their best efforts to obtain any and all approvals required by the Gaming Acts and/or Gaming Regulations. In the event that (i) an approval of this Agreement by the Authorities is required for Employee to carry out his duties and responsibilities set forth in Section 4 of this Agreement, (ii) Employer and Employee have used their best efforts to obtain such approval, and (iii) this Agreement is not so approved by the Authorities, then this Agreement shall immediately terminate and shall be null and void.</w:t>
      </w:r>
    </w:p>
    <w:p>
      <w:pPr>
        <w:spacing w:after="0" w:line="25" w:lineRule="exact"/>
        <w:rPr>
          <w:rFonts w:ascii="Arial" w:cs="Arial" w:eastAsia="Arial" w:hAnsi="Arial"/>
          <w:sz w:val="16"/>
          <w:szCs w:val="16"/>
          <w:color w:val="auto"/>
        </w:rPr>
      </w:pPr>
    </w:p>
    <w:p>
      <w:pPr>
        <w:ind w:right="180" w:firstLine="443"/>
        <w:spacing w:after="0" w:line="294" w:lineRule="auto"/>
        <w:tabs>
          <w:tab w:leader="none" w:pos="687" w:val="left"/>
        </w:tabs>
        <w:numPr>
          <w:ilvl w:val="1"/>
          <w:numId w:val="365"/>
        </w:numPr>
        <w:rPr>
          <w:rFonts w:ascii="Arial" w:cs="Arial" w:eastAsia="Arial" w:hAnsi="Arial"/>
          <w:sz w:val="16"/>
          <w:szCs w:val="16"/>
          <w:color w:val="auto"/>
        </w:rPr>
      </w:pPr>
      <w:r>
        <w:rPr>
          <w:rFonts w:ascii="Arial" w:cs="Arial" w:eastAsia="Arial" w:hAnsi="Arial"/>
          <w:sz w:val="16"/>
          <w:szCs w:val="16"/>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16"/>
          <w:szCs w:val="16"/>
          <w:b w:val="1"/>
          <w:bCs w:val="1"/>
          <w:color w:val="auto"/>
        </w:rPr>
        <w:t>License</w:t>
      </w:r>
      <w:r>
        <w:rPr>
          <w:rFonts w:ascii="Arial" w:cs="Arial" w:eastAsia="Arial" w:hAnsi="Arial"/>
          <w:sz w:val="16"/>
          <w:szCs w:val="16"/>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435" w:name="page436"/>
    <w:bookmarkEnd w:id="435"/>
    <w:p>
      <w:pPr>
        <w:ind w:left="4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foregoing notwithstanding, if the source of the objections or the Authorities’ refusal to renew or maintain Employee’s License arise as a result of any of the events described in Subsection 1(c) of this Agreement, then Employer’s obligations under this Section 9 also shall not be operative and Employee shall promptly reimburse Employer upon demand for any expenses incurred by Employer pursuant to this Section 9.</w:t>
      </w:r>
    </w:p>
    <w:p>
      <w:pPr>
        <w:spacing w:after="0" w:line="12" w:lineRule="exact"/>
        <w:rPr>
          <w:sz w:val="20"/>
          <w:szCs w:val="20"/>
          <w:color w:val="auto"/>
        </w:rPr>
      </w:pPr>
    </w:p>
    <w:p>
      <w:pPr>
        <w:ind w:left="420" w:right="60" w:firstLine="881"/>
        <w:spacing w:after="0" w:line="268" w:lineRule="auto"/>
        <w:tabs>
          <w:tab w:leader="none" w:pos="1535" w:val="left"/>
        </w:tabs>
        <w:numPr>
          <w:ilvl w:val="2"/>
          <w:numId w:val="366"/>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Section 9 shall apply in the event Employee’s duties require that Employee also be licensed by governmental agencies other than the Authorities.</w:t>
      </w:r>
    </w:p>
    <w:p>
      <w:pPr>
        <w:spacing w:after="0" w:line="118" w:lineRule="exact"/>
        <w:rPr>
          <w:rFonts w:ascii="Arial" w:cs="Arial" w:eastAsia="Arial" w:hAnsi="Arial"/>
          <w:sz w:val="18"/>
          <w:szCs w:val="18"/>
          <w:color w:val="auto"/>
        </w:rPr>
      </w:pPr>
    </w:p>
    <w:p>
      <w:pPr>
        <w:ind w:left="-40" w:right="20" w:firstLine="464"/>
        <w:spacing w:after="0" w:line="287" w:lineRule="auto"/>
        <w:tabs>
          <w:tab w:leader="none" w:pos="680" w:val="left"/>
        </w:tabs>
        <w:numPr>
          <w:ilvl w:val="0"/>
          <w:numId w:val="36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CONFIDENTIALITY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hereby warrants, covenants and agrees that, without the prior express written approval of Employer, Employee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 in the strictest confidence, and shall not disclose to any person, firm, corporation or other entity, any and all of Employer’s confidential data, including but not limited to (a) information, drawings, sketches, plans or other documents concerning Employer’s business or development plans, customers or suppliers or those of Employer’s Affiliates; (b) Employer’s or its Affiliates’ development, design, construction or sales and marketing methods or techniques; or (c) Employer’s trade secrets and other “know-how” or information not of a public nature, regardless of how such information came to the custody of Employee. For purposes of this Agreement, such confidential information shall include, but not be limited to, information, including a formula, pattern, compilation, program, device, method, technique or process, that (x) derives independent economic value, present or potential, from not being generally known to, and not being readily ascertainable by proper means by, other persons who can obtain economic value from its disclosure or use and (y) is the subject of efforts that are reasonable under the circumstances to maintain its secrecy. The warranty, covenant and agreement set forth in this Section 10 shall not expire, shall survive this Agreement, and shall be binding upon Employee without regard to the passage of time or other events.</w:t>
      </w:r>
    </w:p>
    <w:p>
      <w:pPr>
        <w:spacing w:after="0" w:line="109" w:lineRule="exact"/>
        <w:rPr>
          <w:rFonts w:ascii="Arial" w:cs="Arial" w:eastAsia="Arial" w:hAnsi="Arial"/>
          <w:sz w:val="16"/>
          <w:szCs w:val="16"/>
          <w:b w:val="1"/>
          <w:bCs w:val="1"/>
          <w:i w:val="1"/>
          <w:iCs w:val="1"/>
          <w:color w:val="auto"/>
        </w:rPr>
      </w:pPr>
    </w:p>
    <w:p>
      <w:pPr>
        <w:ind w:left="680" w:hanging="256"/>
        <w:spacing w:after="0"/>
        <w:tabs>
          <w:tab w:leader="none" w:pos="680" w:val="left"/>
        </w:tabs>
        <w:numPr>
          <w:ilvl w:val="0"/>
          <w:numId w:val="3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76" w:lineRule="exact"/>
        <w:rPr>
          <w:rFonts w:ascii="Arial" w:cs="Arial" w:eastAsia="Arial" w:hAnsi="Arial"/>
          <w:sz w:val="18"/>
          <w:szCs w:val="18"/>
          <w:b w:val="1"/>
          <w:bCs w:val="1"/>
          <w:i w:val="1"/>
          <w:iCs w:val="1"/>
          <w:color w:val="auto"/>
        </w:rPr>
      </w:pPr>
    </w:p>
    <w:p>
      <w:pPr>
        <w:ind w:left="420" w:firstLine="443"/>
        <w:spacing w:after="0" w:line="290" w:lineRule="auto"/>
        <w:tabs>
          <w:tab w:leader="none" w:pos="1097" w:val="left"/>
        </w:tabs>
        <w:numPr>
          <w:ilvl w:val="1"/>
          <w:numId w:val="367"/>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longer period so long as Employer pays to Employee the compensation set forth in Subsection 8(a) of this Agreement, Employee shall not directly or indirectly, either as a principal, agent, employee, employer, consultant, partner, member of a limited liability company, shareholder of a closely held corporation, or shareholder in excess of two (2%) per cent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Employer’s Affiliates, in or about any market in which Employer or Employer’s Affiliates have or plan to have hotel or gaming operations. Employee hereby further covenants and agrees that the restrictive covenant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80" w:top="279" w:right="279" w:bottom="1440" w:gutter="0" w:footer="0" w:header="0"/>
        </w:sectPr>
      </w:pPr>
    </w:p>
    <w:bookmarkStart w:id="436" w:name="page437"/>
    <w:bookmarkEnd w:id="436"/>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contained in this Section 11 is reasonable as to duration, terms and geographical area and that the same protects the legitimate interests of Employer, imposes no undue hardship on Employee, and is not injurious to the public.</w:t>
      </w:r>
    </w:p>
    <w:p>
      <w:pPr>
        <w:spacing w:after="0" w:line="37" w:lineRule="exact"/>
        <w:rPr>
          <w:sz w:val="20"/>
          <w:szCs w:val="20"/>
          <w:color w:val="auto"/>
        </w:rPr>
      </w:pPr>
    </w:p>
    <w:p>
      <w:pPr>
        <w:ind w:right="160" w:firstLine="443"/>
        <w:spacing w:after="0" w:line="255" w:lineRule="auto"/>
        <w:tabs>
          <w:tab w:leader="none" w:pos="687" w:val="left"/>
        </w:tabs>
        <w:numPr>
          <w:ilvl w:val="1"/>
          <w:numId w:val="368"/>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during the Term and for a period of one (1) year following the expiration of the Term, Employee shall not directly or indirectly, and Employee shall not suffer others to,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hotel or gaming operations.</w:t>
      </w:r>
    </w:p>
    <w:p>
      <w:pPr>
        <w:spacing w:after="0" w:line="129" w:lineRule="exact"/>
        <w:rPr>
          <w:rFonts w:ascii="Arial" w:cs="Arial" w:eastAsia="Arial" w:hAnsi="Arial"/>
          <w:sz w:val="18"/>
          <w:szCs w:val="18"/>
          <w:color w:val="auto"/>
        </w:rPr>
      </w:pPr>
    </w:p>
    <w:p>
      <w:pPr>
        <w:ind w:left="-460" w:right="140" w:firstLine="464"/>
        <w:spacing w:after="0" w:line="268" w:lineRule="auto"/>
        <w:tabs>
          <w:tab w:leader="none" w:pos="260" w:val="left"/>
        </w:tabs>
        <w:numPr>
          <w:ilvl w:val="0"/>
          <w:numId w:val="3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BEST EVIDENCE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18" w:lineRule="exact"/>
        <w:rPr>
          <w:rFonts w:ascii="Arial" w:cs="Arial" w:eastAsia="Arial" w:hAnsi="Arial"/>
          <w:sz w:val="18"/>
          <w:szCs w:val="18"/>
          <w:b w:val="1"/>
          <w:bCs w:val="1"/>
          <w:i w:val="1"/>
          <w:iCs w:val="1"/>
          <w:color w:val="auto"/>
        </w:rPr>
      </w:pPr>
    </w:p>
    <w:p>
      <w:pPr>
        <w:ind w:left="260" w:hanging="256"/>
        <w:spacing w:after="0"/>
        <w:tabs>
          <w:tab w:leader="none" w:pos="260" w:val="left"/>
        </w:tabs>
        <w:numPr>
          <w:ilvl w:val="0"/>
          <w:numId w:val="36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SUCCESSION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Agreement shall be binding upon and inure to the benefit of Employer and Employee and their respective successors and assigns.</w:t>
      </w:r>
    </w:p>
    <w:p>
      <w:pPr>
        <w:spacing w:after="0" w:line="192" w:lineRule="exact"/>
        <w:rPr>
          <w:rFonts w:ascii="Arial" w:cs="Arial" w:eastAsia="Arial" w:hAnsi="Arial"/>
          <w:sz w:val="15"/>
          <w:szCs w:val="15"/>
          <w:b w:val="1"/>
          <w:bCs w:val="1"/>
          <w:i w:val="1"/>
          <w:iCs w:val="1"/>
          <w:color w:val="auto"/>
        </w:rPr>
      </w:pPr>
    </w:p>
    <w:p>
      <w:pPr>
        <w:ind w:left="-460" w:right="160" w:firstLine="464"/>
        <w:spacing w:after="0" w:line="259" w:lineRule="auto"/>
        <w:tabs>
          <w:tab w:leader="none" w:pos="260" w:val="left"/>
        </w:tabs>
        <w:numPr>
          <w:ilvl w:val="0"/>
          <w:numId w:val="3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his duties hereunder without the express written prior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Section 14 shall be null and void and of no force or effect. Employer shall have the right to assign this Agreement freely.</w:t>
      </w:r>
    </w:p>
    <w:p>
      <w:pPr>
        <w:spacing w:after="0" w:line="126" w:lineRule="exact"/>
        <w:rPr>
          <w:rFonts w:ascii="Arial" w:cs="Arial" w:eastAsia="Arial" w:hAnsi="Arial"/>
          <w:sz w:val="18"/>
          <w:szCs w:val="18"/>
          <w:b w:val="1"/>
          <w:bCs w:val="1"/>
          <w:i w:val="1"/>
          <w:iCs w:val="1"/>
          <w:color w:val="auto"/>
        </w:rPr>
      </w:pPr>
    </w:p>
    <w:p>
      <w:pPr>
        <w:ind w:left="-460" w:right="520" w:firstLine="464"/>
        <w:spacing w:after="0" w:line="268" w:lineRule="auto"/>
        <w:tabs>
          <w:tab w:leader="none" w:pos="260" w:val="left"/>
        </w:tabs>
        <w:numPr>
          <w:ilvl w:val="0"/>
          <w:numId w:val="3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18" w:lineRule="exact"/>
        <w:rPr>
          <w:rFonts w:ascii="Arial" w:cs="Arial" w:eastAsia="Arial" w:hAnsi="Arial"/>
          <w:sz w:val="18"/>
          <w:szCs w:val="18"/>
          <w:b w:val="1"/>
          <w:bCs w:val="1"/>
          <w:i w:val="1"/>
          <w:iCs w:val="1"/>
          <w:color w:val="auto"/>
        </w:rPr>
      </w:pPr>
    </w:p>
    <w:p>
      <w:pPr>
        <w:ind w:left="-460" w:right="520" w:firstLine="464"/>
        <w:spacing w:after="0" w:line="268" w:lineRule="auto"/>
        <w:tabs>
          <w:tab w:leader="none" w:pos="260" w:val="left"/>
        </w:tabs>
        <w:numPr>
          <w:ilvl w:val="0"/>
          <w:numId w:val="3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State of Nevada, without regard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conflicts of law principles.</w:t>
      </w:r>
    </w:p>
    <w:p>
      <w:pPr>
        <w:spacing w:after="0" w:line="118" w:lineRule="exact"/>
        <w:rPr>
          <w:rFonts w:ascii="Arial" w:cs="Arial" w:eastAsia="Arial" w:hAnsi="Arial"/>
          <w:sz w:val="18"/>
          <w:szCs w:val="18"/>
          <w:b w:val="1"/>
          <w:bCs w:val="1"/>
          <w:i w:val="1"/>
          <w:iCs w:val="1"/>
          <w:color w:val="auto"/>
        </w:rPr>
      </w:pPr>
    </w:p>
    <w:p>
      <w:pPr>
        <w:ind w:left="-460" w:right="240" w:firstLine="464"/>
        <w:spacing w:after="0" w:line="268" w:lineRule="auto"/>
        <w:tabs>
          <w:tab w:leader="none" w:pos="260" w:val="left"/>
        </w:tabs>
        <w:numPr>
          <w:ilvl w:val="0"/>
          <w:numId w:val="3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3120" w:type="dxa"/>
            <w:vAlign w:val="bottom"/>
            <w:gridSpan w:val="5"/>
          </w:tcPr>
          <w:p>
            <w:pPr>
              <w:spacing w:after="0"/>
              <w:rPr>
                <w:sz w:val="20"/>
                <w:szCs w:val="20"/>
                <w:color w:val="auto"/>
              </w:rPr>
            </w:pPr>
            <w:r>
              <w:rPr>
                <w:rFonts w:ascii="Arial" w:cs="Arial" w:eastAsia="Arial" w:hAnsi="Arial"/>
                <w:sz w:val="18"/>
                <w:szCs w:val="18"/>
                <w:color w:val="auto"/>
              </w:rPr>
              <w:t>TO EMPLOYER:</w:t>
            </w:r>
          </w:p>
        </w:tc>
        <w:tc>
          <w:tcPr>
            <w:tcW w:w="4180" w:type="dxa"/>
            <w:vAlign w:val="bottom"/>
          </w:tcPr>
          <w:p>
            <w:pPr>
              <w:ind w:left="1840"/>
              <w:spacing w:after="0"/>
              <w:rPr>
                <w:sz w:val="20"/>
                <w:szCs w:val="20"/>
                <w:color w:val="auto"/>
              </w:rPr>
            </w:pPr>
            <w:r>
              <w:rPr>
                <w:rFonts w:ascii="Arial" w:cs="Arial" w:eastAsia="Arial" w:hAnsi="Arial"/>
                <w:sz w:val="18"/>
                <w:szCs w:val="18"/>
                <w:color w:val="auto"/>
              </w:rPr>
              <w:t>Wynn Resorts, Limited</w:t>
            </w:r>
          </w:p>
        </w:tc>
      </w:tr>
      <w:tr>
        <w:trPr>
          <w:trHeight w:val="228"/>
        </w:trPr>
        <w:tc>
          <w:tcPr>
            <w:tcW w:w="9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180" w:type="dxa"/>
            <w:vAlign w:val="bottom"/>
          </w:tcPr>
          <w:p>
            <w:pPr>
              <w:ind w:left="1840"/>
              <w:spacing w:after="0"/>
              <w:rPr>
                <w:sz w:val="20"/>
                <w:szCs w:val="20"/>
                <w:color w:val="auto"/>
              </w:rPr>
            </w:pPr>
            <w:r>
              <w:rPr>
                <w:rFonts w:ascii="Arial" w:cs="Arial" w:eastAsia="Arial" w:hAnsi="Arial"/>
                <w:sz w:val="18"/>
                <w:szCs w:val="18"/>
                <w:color w:val="auto"/>
                <w:w w:val="86"/>
              </w:rPr>
              <w:t>3145 Las Vegas Boulevard South</w:t>
            </w: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180" w:type="dxa"/>
            <w:vAlign w:val="bottom"/>
          </w:tcPr>
          <w:p>
            <w:pPr>
              <w:ind w:left="1840"/>
              <w:spacing w:after="0"/>
              <w:rPr>
                <w:sz w:val="20"/>
                <w:szCs w:val="20"/>
                <w:color w:val="auto"/>
              </w:rPr>
            </w:pPr>
            <w:r>
              <w:rPr>
                <w:rFonts w:ascii="Arial" w:cs="Arial" w:eastAsia="Arial" w:hAnsi="Arial"/>
                <w:sz w:val="18"/>
                <w:szCs w:val="18"/>
                <w:color w:val="auto"/>
              </w:rPr>
              <w:t>Las Vegas, Nevada 89109</w:t>
            </w:r>
          </w:p>
        </w:tc>
      </w:tr>
      <w:tr>
        <w:trPr>
          <w:trHeight w:val="222"/>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180" w:type="dxa"/>
            <w:vAlign w:val="bottom"/>
          </w:tcPr>
          <w:p>
            <w:pPr>
              <w:ind w:left="1840"/>
              <w:spacing w:after="0"/>
              <w:rPr>
                <w:sz w:val="20"/>
                <w:szCs w:val="20"/>
                <w:color w:val="auto"/>
              </w:rPr>
            </w:pPr>
            <w:r>
              <w:rPr>
                <w:rFonts w:ascii="Arial" w:cs="Arial" w:eastAsia="Arial" w:hAnsi="Arial"/>
                <w:sz w:val="18"/>
                <w:szCs w:val="18"/>
                <w:color w:val="auto"/>
              </w:rPr>
              <w:t>Attn: President</w:t>
            </w:r>
          </w:p>
        </w:tc>
      </w:tr>
      <w:tr>
        <w:trPr>
          <w:trHeight w:val="394"/>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WITH A COPY</w:t>
            </w:r>
          </w:p>
        </w:tc>
        <w:tc>
          <w:tcPr>
            <w:tcW w:w="1960" w:type="dxa"/>
            <w:vAlign w:val="bottom"/>
            <w:gridSpan w:val="3"/>
          </w:tcPr>
          <w:p>
            <w:pPr>
              <w:spacing w:after="0"/>
              <w:rPr>
                <w:sz w:val="24"/>
                <w:szCs w:val="24"/>
                <w:color w:val="auto"/>
              </w:rPr>
            </w:pPr>
          </w:p>
        </w:tc>
        <w:tc>
          <w:tcPr>
            <w:tcW w:w="4180" w:type="dxa"/>
            <w:vAlign w:val="bottom"/>
          </w:tcPr>
          <w:p>
            <w:pPr>
              <w:ind w:left="1840"/>
              <w:spacing w:after="0"/>
              <w:rPr>
                <w:sz w:val="20"/>
                <w:szCs w:val="20"/>
                <w:color w:val="auto"/>
              </w:rPr>
            </w:pPr>
            <w:r>
              <w:rPr>
                <w:rFonts w:ascii="Arial" w:cs="Arial" w:eastAsia="Arial" w:hAnsi="Arial"/>
                <w:sz w:val="18"/>
                <w:szCs w:val="18"/>
                <w:color w:val="auto"/>
              </w:rPr>
              <w:t>Wynn Resorts, Limited</w:t>
            </w:r>
          </w:p>
        </w:tc>
      </w:tr>
      <w:tr>
        <w:trPr>
          <w:trHeight w:val="196"/>
        </w:trPr>
        <w:tc>
          <w:tcPr>
            <w:tcW w:w="3120" w:type="dxa"/>
            <w:vAlign w:val="bottom"/>
            <w:gridSpan w:val="5"/>
          </w:tcPr>
          <w:p>
            <w:pPr>
              <w:spacing w:after="0" w:line="196" w:lineRule="exact"/>
              <w:rPr>
                <w:sz w:val="20"/>
                <w:szCs w:val="20"/>
                <w:color w:val="auto"/>
              </w:rPr>
            </w:pPr>
            <w:r>
              <w:rPr>
                <w:rFonts w:ascii="Arial" w:cs="Arial" w:eastAsia="Arial" w:hAnsi="Arial"/>
                <w:sz w:val="18"/>
                <w:szCs w:val="18"/>
                <w:color w:val="auto"/>
              </w:rPr>
              <w:t>THAT SHALL NOT BE</w:t>
            </w:r>
          </w:p>
        </w:tc>
        <w:tc>
          <w:tcPr>
            <w:tcW w:w="4180" w:type="dxa"/>
            <w:vAlign w:val="bottom"/>
          </w:tcPr>
          <w:p>
            <w:pPr>
              <w:ind w:left="1840"/>
              <w:spacing w:after="0" w:line="196" w:lineRule="exact"/>
              <w:rPr>
                <w:sz w:val="20"/>
                <w:szCs w:val="20"/>
                <w:color w:val="auto"/>
              </w:rPr>
            </w:pPr>
            <w:r>
              <w:rPr>
                <w:rFonts w:ascii="Arial" w:cs="Arial" w:eastAsia="Arial" w:hAnsi="Arial"/>
                <w:sz w:val="18"/>
                <w:szCs w:val="18"/>
                <w:color w:val="auto"/>
                <w:w w:val="86"/>
              </w:rPr>
              <w:t>3145 Las Vegas Boulevard South</w:t>
            </w:r>
          </w:p>
        </w:tc>
      </w:tr>
      <w:tr>
        <w:trPr>
          <w:trHeight w:val="196"/>
        </w:trPr>
        <w:tc>
          <w:tcPr>
            <w:tcW w:w="174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NOTICE TO:</w:t>
            </w:r>
          </w:p>
        </w:tc>
        <w:tc>
          <w:tcPr>
            <w:tcW w:w="1380" w:type="dxa"/>
            <w:vAlign w:val="bottom"/>
          </w:tcPr>
          <w:p>
            <w:pPr>
              <w:spacing w:after="0"/>
              <w:rPr>
                <w:sz w:val="17"/>
                <w:szCs w:val="17"/>
                <w:color w:val="auto"/>
              </w:rPr>
            </w:pPr>
          </w:p>
        </w:tc>
        <w:tc>
          <w:tcPr>
            <w:tcW w:w="4180" w:type="dxa"/>
            <w:vAlign w:val="bottom"/>
          </w:tcPr>
          <w:p>
            <w:pPr>
              <w:ind w:left="1840"/>
              <w:spacing w:after="0" w:line="196" w:lineRule="exact"/>
              <w:rPr>
                <w:sz w:val="20"/>
                <w:szCs w:val="20"/>
                <w:color w:val="auto"/>
              </w:rPr>
            </w:pPr>
            <w:r>
              <w:rPr>
                <w:rFonts w:ascii="Arial" w:cs="Arial" w:eastAsia="Arial" w:hAnsi="Arial"/>
                <w:sz w:val="18"/>
                <w:szCs w:val="18"/>
                <w:color w:val="auto"/>
              </w:rPr>
              <w:t>Las Vegas, Nevada 89109</w:t>
            </w:r>
          </w:p>
        </w:tc>
      </w:tr>
      <w:tr>
        <w:trPr>
          <w:trHeight w:val="235"/>
        </w:trPr>
        <w:tc>
          <w:tcPr>
            <w:tcW w:w="9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180" w:type="dxa"/>
            <w:vAlign w:val="bottom"/>
          </w:tcPr>
          <w:p>
            <w:pPr>
              <w:ind w:left="1840"/>
              <w:spacing w:after="0"/>
              <w:rPr>
                <w:sz w:val="20"/>
                <w:szCs w:val="20"/>
                <w:color w:val="auto"/>
              </w:rPr>
            </w:pPr>
            <w:r>
              <w:rPr>
                <w:rFonts w:ascii="Arial" w:cs="Arial" w:eastAsia="Arial" w:hAnsi="Arial"/>
                <w:sz w:val="18"/>
                <w:szCs w:val="18"/>
                <w:color w:val="auto"/>
              </w:rPr>
              <w:t>Attn: Legal Department</w:t>
            </w:r>
          </w:p>
        </w:tc>
      </w:tr>
      <w:tr>
        <w:trPr>
          <w:trHeight w:val="365"/>
        </w:trPr>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80" w:type="dxa"/>
            <w:vAlign w:val="bottom"/>
          </w:tcPr>
          <w:p>
            <w:pPr>
              <w:ind w:left="136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0900"/>
          </w:cols>
          <w:pgMar w:left="700" w:top="279" w:right="299" w:bottom="1440" w:gutter="0" w:footer="0" w:header="0"/>
        </w:sectPr>
      </w:pPr>
    </w:p>
    <w:bookmarkStart w:id="437" w:name="page438"/>
    <w:bookmarkEnd w:id="4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Arial" w:cs="Arial" w:eastAsia="Arial" w:hAnsi="Arial"/>
                <w:sz w:val="18"/>
                <w:szCs w:val="18"/>
                <w:color w:val="auto"/>
              </w:rPr>
              <w:t>TO EMPLOYEE:</w:t>
            </w:r>
          </w:p>
        </w:tc>
        <w:tc>
          <w:tcPr>
            <w:tcW w:w="3660" w:type="dxa"/>
            <w:vAlign w:val="bottom"/>
          </w:tcPr>
          <w:p>
            <w:pPr>
              <w:ind w:left="1840"/>
              <w:spacing w:after="0"/>
              <w:rPr>
                <w:sz w:val="20"/>
                <w:szCs w:val="20"/>
                <w:color w:val="auto"/>
              </w:rPr>
            </w:pPr>
            <w:r>
              <w:rPr>
                <w:rFonts w:ascii="Arial" w:cs="Arial" w:eastAsia="Arial" w:hAnsi="Arial"/>
                <w:sz w:val="18"/>
                <w:szCs w:val="18"/>
                <w:color w:val="auto"/>
              </w:rPr>
              <w:t>James E. Pettis</w:t>
            </w:r>
          </w:p>
        </w:tc>
      </w:tr>
      <w:tr>
        <w:trPr>
          <w:trHeight w:val="228"/>
        </w:trPr>
        <w:tc>
          <w:tcPr>
            <w:tcW w:w="1220" w:type="dxa"/>
            <w:vAlign w:val="bottom"/>
            <w:tcBorders>
              <w:top w:val="single" w:sz="8" w:color="auto"/>
            </w:tcBorders>
          </w:tcPr>
          <w:p>
            <w:pPr>
              <w:spacing w:after="0"/>
              <w:rPr>
                <w:sz w:val="19"/>
                <w:szCs w:val="19"/>
                <w:color w:val="auto"/>
              </w:rPr>
            </w:pPr>
          </w:p>
        </w:tc>
        <w:tc>
          <w:tcPr>
            <w:tcW w:w="1900" w:type="dxa"/>
            <w:vAlign w:val="bottom"/>
          </w:tcPr>
          <w:p>
            <w:pPr>
              <w:spacing w:after="0"/>
              <w:rPr>
                <w:sz w:val="19"/>
                <w:szCs w:val="19"/>
                <w:color w:val="auto"/>
              </w:rPr>
            </w:pPr>
          </w:p>
        </w:tc>
        <w:tc>
          <w:tcPr>
            <w:tcW w:w="3660" w:type="dxa"/>
            <w:vAlign w:val="bottom"/>
          </w:tcPr>
          <w:p>
            <w:pPr>
              <w:ind w:left="1840"/>
              <w:spacing w:after="0"/>
              <w:rPr>
                <w:sz w:val="20"/>
                <w:szCs w:val="20"/>
                <w:color w:val="auto"/>
              </w:rPr>
            </w:pPr>
            <w:r>
              <w:rPr>
                <w:rFonts w:ascii="Arial" w:cs="Arial" w:eastAsia="Arial" w:hAnsi="Arial"/>
                <w:sz w:val="18"/>
                <w:szCs w:val="18"/>
                <w:color w:val="auto"/>
              </w:rPr>
              <w:t>1216 Strong Drive</w:t>
            </w:r>
          </w:p>
        </w:tc>
      </w:tr>
      <w:tr>
        <w:trPr>
          <w:trHeight w:val="222"/>
        </w:trPr>
        <w:tc>
          <w:tcPr>
            <w:tcW w:w="1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660" w:type="dxa"/>
            <w:vAlign w:val="bottom"/>
          </w:tcPr>
          <w:p>
            <w:pPr>
              <w:ind w:left="1840"/>
              <w:spacing w:after="0"/>
              <w:rPr>
                <w:sz w:val="20"/>
                <w:szCs w:val="20"/>
                <w:color w:val="auto"/>
              </w:rPr>
            </w:pPr>
            <w:r>
              <w:rPr>
                <w:rFonts w:ascii="Arial" w:cs="Arial" w:eastAsia="Arial" w:hAnsi="Arial"/>
                <w:sz w:val="18"/>
                <w:szCs w:val="18"/>
                <w:color w:val="auto"/>
                <w:w w:val="84"/>
              </w:rPr>
              <w:t>Las Vegas, Nevada 89102</w:t>
            </w:r>
          </w:p>
        </w:tc>
      </w:tr>
    </w:tbl>
    <w:p>
      <w:pPr>
        <w:spacing w:after="0" w:line="14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72" w:lineRule="exact"/>
        <w:rPr>
          <w:sz w:val="20"/>
          <w:szCs w:val="20"/>
          <w:color w:val="auto"/>
        </w:rPr>
      </w:pPr>
    </w:p>
    <w:p>
      <w:pPr>
        <w:ind w:right="300" w:firstLine="464"/>
        <w:spacing w:after="0" w:line="268" w:lineRule="auto"/>
        <w:tabs>
          <w:tab w:leader="none" w:pos="720" w:val="left"/>
        </w:tabs>
        <w:numPr>
          <w:ilvl w:val="0"/>
          <w:numId w:val="3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18" w:lineRule="exact"/>
        <w:rPr>
          <w:rFonts w:ascii="Arial" w:cs="Arial" w:eastAsia="Arial" w:hAnsi="Arial"/>
          <w:sz w:val="18"/>
          <w:szCs w:val="18"/>
          <w:b w:val="1"/>
          <w:bCs w:val="1"/>
          <w:i w:val="1"/>
          <w:iCs w:val="1"/>
          <w:color w:val="auto"/>
        </w:rPr>
      </w:pPr>
    </w:p>
    <w:p>
      <w:pPr>
        <w:ind w:right="140" w:firstLine="464"/>
        <w:spacing w:after="0" w:line="332" w:lineRule="auto"/>
        <w:tabs>
          <w:tab w:leader="none" w:pos="720" w:val="left"/>
        </w:tabs>
        <w:numPr>
          <w:ilvl w:val="0"/>
          <w:numId w:val="37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SEVERABILITY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71" w:lineRule="exact"/>
        <w:rPr>
          <w:rFonts w:ascii="Arial" w:cs="Arial" w:eastAsia="Arial" w:hAnsi="Arial"/>
          <w:sz w:val="16"/>
          <w:szCs w:val="16"/>
          <w:b w:val="1"/>
          <w:bCs w:val="1"/>
          <w:i w:val="1"/>
          <w:iCs w:val="1"/>
          <w:color w:val="auto"/>
        </w:rPr>
      </w:pPr>
    </w:p>
    <w:p>
      <w:pPr>
        <w:ind w:firstLine="464"/>
        <w:spacing w:after="0" w:line="291" w:lineRule="auto"/>
        <w:tabs>
          <w:tab w:leader="none" w:pos="720" w:val="left"/>
        </w:tabs>
        <w:numPr>
          <w:ilvl w:val="0"/>
          <w:numId w:val="37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provisions of Sections 10 and 11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Las Vegas, Nevada, any and all claims, disputes, or controversies arising between the parties hereto regarding any of the terms of this Agreement or the breach thereof, on the written demand of either of the parties hereto, shall be submitted to and be determined by final and binding arbitration held in Las Vegas, Nevada, in accordance with Employer’s or Employer’s Affiliates’ arbitration policy governing employment disputes, or, in the absence of any such policy, as conducted by and in accordance with the labor arbitration rules of the American Arbitration Association. This agreement to arbitrate shall be specifically enforceable in any court of competent jurisdiction.</w:t>
      </w:r>
    </w:p>
    <w:p>
      <w:pPr>
        <w:spacing w:after="0" w:line="106" w:lineRule="exact"/>
        <w:rPr>
          <w:rFonts w:ascii="Arial" w:cs="Arial" w:eastAsia="Arial" w:hAnsi="Arial"/>
          <w:sz w:val="16"/>
          <w:szCs w:val="16"/>
          <w:b w:val="1"/>
          <w:bCs w:val="1"/>
          <w:i w:val="1"/>
          <w:iCs w:val="1"/>
          <w:color w:val="auto"/>
        </w:rPr>
      </w:pPr>
    </w:p>
    <w:p>
      <w:pPr>
        <w:jc w:val="both"/>
        <w:ind w:right="60" w:firstLine="464"/>
        <w:spacing w:after="0" w:line="259" w:lineRule="auto"/>
        <w:tabs>
          <w:tab w:leader="none" w:pos="720" w:val="left"/>
        </w:tabs>
        <w:numPr>
          <w:ilvl w:val="0"/>
          <w:numId w:val="3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Section 21, or any term, right or remedy hereunder shall be deemed waived unless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waiver is in writing and signed by the party to be charged therewith and in no event by reason of any failure to assert or delay in asserting any such term, right or remedy or similar term, right or remedy hereunder.</w:t>
      </w:r>
    </w:p>
    <w:p>
      <w:pPr>
        <w:spacing w:after="0" w:line="126" w:lineRule="exact"/>
        <w:rPr>
          <w:rFonts w:ascii="Arial" w:cs="Arial" w:eastAsia="Arial" w:hAnsi="Arial"/>
          <w:sz w:val="18"/>
          <w:szCs w:val="18"/>
          <w:b w:val="1"/>
          <w:bCs w:val="1"/>
          <w:i w:val="1"/>
          <w:iCs w:val="1"/>
          <w:color w:val="auto"/>
        </w:rPr>
      </w:pPr>
    </w:p>
    <w:p>
      <w:pPr>
        <w:ind w:right="100" w:firstLine="464"/>
        <w:spacing w:after="0" w:line="306" w:lineRule="auto"/>
        <w:tabs>
          <w:tab w:leader="none" w:pos="720" w:val="left"/>
        </w:tabs>
        <w:numPr>
          <w:ilvl w:val="0"/>
          <w:numId w:val="37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PAROL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constitutes the entire agreement between Employer and Employee with respect to the subject matter hereto and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supersedes 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57" w:right="279" w:bottom="1440" w:gutter="0" w:footer="0" w:header="0"/>
        </w:sectPr>
      </w:pPr>
    </w:p>
    <w:bookmarkStart w:id="438" w:name="page439"/>
    <w:bookmarkEnd w:id="438"/>
    <w:p>
      <w:pPr>
        <w:ind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WYNN LAS VEGAS, LLC, dba Le Rêve</w:t>
            </w:r>
          </w:p>
        </w:tc>
        <w:tc>
          <w:tcPr>
            <w:tcW w:w="18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4120" w:type="dxa"/>
            <w:vAlign w:val="bottom"/>
            <w:gridSpan w:val="2"/>
          </w:tcPr>
          <w:p>
            <w:pPr>
              <w:spacing w:after="0"/>
              <w:rPr>
                <w:sz w:val="20"/>
                <w:szCs w:val="20"/>
                <w:color w:val="auto"/>
              </w:rPr>
            </w:pPr>
            <w:r>
              <w:rPr>
                <w:rFonts w:ascii="Arial" w:cs="Arial" w:eastAsia="Arial" w:hAnsi="Arial"/>
                <w:sz w:val="18"/>
                <w:szCs w:val="18"/>
                <w:color w:val="auto"/>
              </w:rPr>
              <w:t>By: /s/ Marc Schorr</w:t>
            </w:r>
          </w:p>
        </w:tc>
        <w:tc>
          <w:tcPr>
            <w:tcW w:w="184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 James Pettis</w:t>
            </w:r>
          </w:p>
        </w:tc>
      </w:tr>
      <w:tr>
        <w:trPr>
          <w:trHeight w:val="110"/>
        </w:trPr>
        <w:tc>
          <w:tcPr>
            <w:tcW w:w="380" w:type="dxa"/>
            <w:vAlign w:val="bottom"/>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r>
      <w:tr>
        <w:trPr>
          <w:trHeight w:val="309"/>
        </w:trPr>
        <w:tc>
          <w:tcPr>
            <w:tcW w:w="38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Marc Schorr</w:t>
            </w:r>
          </w:p>
        </w:tc>
        <w:tc>
          <w:tcPr>
            <w:tcW w:w="184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James E. Pettis</w:t>
            </w:r>
          </w:p>
        </w:tc>
      </w:tr>
      <w:tr>
        <w:trPr>
          <w:trHeight w:val="222"/>
        </w:trPr>
        <w:tc>
          <w:tcPr>
            <w:tcW w:w="3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President</w:t>
            </w:r>
          </w:p>
        </w:tc>
        <w:tc>
          <w:tcPr>
            <w:tcW w:w="184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365"/>
        </w:trPr>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374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439" w:name="page440"/>
    <w:bookmarkEnd w:id="4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Indemnification and Gross-Up for Excise Taxes</w:t>
      </w:r>
    </w:p>
    <w:p>
      <w:pPr>
        <w:spacing w:after="0" w:line="158" w:lineRule="exact"/>
        <w:rPr>
          <w:sz w:val="20"/>
          <w:szCs w:val="20"/>
          <w:color w:val="auto"/>
        </w:rPr>
      </w:pPr>
    </w:p>
    <w:p>
      <w:pPr>
        <w:ind w:left="-20" w:right="80" w:firstLine="464"/>
        <w:spacing w:after="0" w:line="285" w:lineRule="auto"/>
        <w:tabs>
          <w:tab w:leader="none" w:pos="675" w:val="left"/>
        </w:tabs>
        <w:numPr>
          <w:ilvl w:val="0"/>
          <w:numId w:val="371"/>
        </w:numPr>
        <w:rPr>
          <w:rFonts w:ascii="Arial" w:cs="Arial" w:eastAsia="Arial" w:hAnsi="Arial"/>
          <w:sz w:val="16"/>
          <w:szCs w:val="16"/>
          <w:color w:val="auto"/>
        </w:rPr>
      </w:pPr>
      <w:r>
        <w:rPr>
          <w:rFonts w:ascii="Arial" w:cs="Arial" w:eastAsia="Arial" w:hAnsi="Arial"/>
          <w:sz w:val="16"/>
          <w:szCs w:val="16"/>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Section 2.3(c), Employer shall have the right to require Employee to protest, contest, or appeal any such determination or judgment. For purposes of this Section 2.3, any amount that Employer is required to withhold under Sections 3402 or 4999 of the Code or under any other provision of law shall be deemed to have been paid to Employee.</w:t>
      </w:r>
    </w:p>
    <w:p>
      <w:pPr>
        <w:spacing w:after="0" w:line="107" w:lineRule="exact"/>
        <w:rPr>
          <w:rFonts w:ascii="Arial" w:cs="Arial" w:eastAsia="Arial" w:hAnsi="Arial"/>
          <w:sz w:val="16"/>
          <w:szCs w:val="16"/>
          <w:color w:val="auto"/>
        </w:rPr>
      </w:pPr>
    </w:p>
    <w:p>
      <w:pPr>
        <w:ind w:left="-20" w:firstLine="464"/>
        <w:spacing w:after="0" w:line="298" w:lineRule="auto"/>
        <w:tabs>
          <w:tab w:leader="none" w:pos="685" w:val="left"/>
        </w:tabs>
        <w:numPr>
          <w:ilvl w:val="0"/>
          <w:numId w:val="371"/>
        </w:numPr>
        <w:rPr>
          <w:rFonts w:ascii="Arial" w:cs="Arial" w:eastAsia="Arial" w:hAnsi="Arial"/>
          <w:sz w:val="16"/>
          <w:szCs w:val="16"/>
          <w:color w:val="auto"/>
        </w:rPr>
      </w:pPr>
      <w:r>
        <w:rPr>
          <w:rFonts w:ascii="Arial" w:cs="Arial" w:eastAsia="Arial" w:hAnsi="Arial"/>
          <w:sz w:val="16"/>
          <w:szCs w:val="16"/>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4" w:right="239" w:bottom="1440" w:gutter="0" w:footer="0" w:header="0"/>
        </w:sectPr>
      </w:pPr>
    </w:p>
    <w:bookmarkStart w:id="440" w:name="page441"/>
    <w:bookmarkEnd w:id="440"/>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such statement, and, upon such filing, Employee shall certify in writing to Employer that such returns have been so prepared and filed. Notwithstanding the provisions of Section 2.3(a), Employer shall not be obligated to indemnify Employee from and against any tax liability, cost or expense (including, without limitation, any liability for the Excise Tax or attorney’s fees or costs) to the extent such tax liability, cost or expense is attributable to your failure to comply with the provisions of this Section 2.3(b).</w:t>
      </w:r>
    </w:p>
    <w:p>
      <w:pPr>
        <w:spacing w:after="0" w:line="130" w:lineRule="exact"/>
        <w:rPr>
          <w:sz w:val="20"/>
          <w:szCs w:val="20"/>
          <w:color w:val="auto"/>
        </w:rPr>
      </w:pPr>
    </w:p>
    <w:p>
      <w:pPr>
        <w:ind w:right="40" w:firstLine="464"/>
        <w:spacing w:after="0" w:line="286" w:lineRule="auto"/>
        <w:tabs>
          <w:tab w:leader="none" w:pos="69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 xml:space="preserve">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Employee shall not be obligated to furnish to Employer copies of any portion of his or her tax returns which do not bear upon, and are not affected by, the Controversy.</w:t>
      </w:r>
    </w:p>
    <w:p>
      <w:pPr>
        <w:spacing w:after="0" w:line="107" w:lineRule="exact"/>
        <w:rPr>
          <w:rFonts w:ascii="Arial" w:cs="Arial" w:eastAsia="Arial" w:hAnsi="Arial"/>
          <w:sz w:val="16"/>
          <w:szCs w:val="16"/>
          <w:color w:val="auto"/>
        </w:rPr>
      </w:pPr>
    </w:p>
    <w:p>
      <w:pPr>
        <w:ind w:firstLine="464"/>
        <w:spacing w:after="0" w:line="290" w:lineRule="auto"/>
        <w:tabs>
          <w:tab w:leader="none" w:pos="70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Section 2.3(d),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9" w:right="23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t>Exhibit 10.37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45" w:lineRule="exact"/>
        <w:rPr>
          <w:sz w:val="20"/>
          <w:szCs w:val="20"/>
          <w:color w:val="auto"/>
        </w:rPr>
      </w:pPr>
    </w:p>
    <w:p>
      <w:pPr>
        <w:jc w:val="both"/>
        <w:ind w:right="420" w:firstLine="456"/>
        <w:spacing w:after="0" w:line="262"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June 7, 2004, by and between Wynn Las Vegas, LLC (“</w:t>
      </w:r>
      <w:r>
        <w:rPr>
          <w:rFonts w:ascii="Arial" w:cs="Arial" w:eastAsia="Arial" w:hAnsi="Arial"/>
          <w:sz w:val="18"/>
          <w:szCs w:val="18"/>
          <w:b w:val="1"/>
          <w:bCs w:val="1"/>
          <w:color w:val="auto"/>
        </w:rPr>
        <w:t>Employer</w:t>
      </w:r>
      <w:r>
        <w:rPr>
          <w:rFonts w:ascii="Arial" w:cs="Arial" w:eastAsia="Arial" w:hAnsi="Arial"/>
          <w:sz w:val="18"/>
          <w:szCs w:val="18"/>
          <w:color w:val="auto"/>
        </w:rPr>
        <w:t>”) and James E. Pettis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11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and Employee have entered into that certain Employment Agreement, dated as of December 16, 2002 (the “</w:t>
      </w:r>
      <w:r>
        <w:rPr>
          <w:rFonts w:ascii="Arial" w:cs="Arial" w:eastAsia="Arial" w:hAnsi="Arial"/>
          <w:sz w:val="16"/>
          <w:szCs w:val="16"/>
          <w:b w:val="1"/>
          <w:bCs w:val="1"/>
          <w:color w:val="auto"/>
        </w:rPr>
        <w:t>Agreement</w:t>
      </w:r>
      <w:r>
        <w:rPr>
          <w:rFonts w:ascii="Arial" w:cs="Arial" w:eastAsia="Arial" w:hAnsi="Arial"/>
          <w:sz w:val="16"/>
          <w:szCs w:val="16"/>
          <w:color w:val="auto"/>
        </w:rPr>
        <w:t>”); and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and Employee desire and agree to change Employee’s Title on the terms and pursuant to the conditions set forth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Effective upon execution of this Amendment, Section 4 of the Agreement is hereby amended and restated in its entirety to read as follows:</w:t>
      </w:r>
    </w:p>
    <w:p>
      <w:pPr>
        <w:spacing w:after="0" w:line="100" w:lineRule="exact"/>
        <w:rPr>
          <w:sz w:val="20"/>
          <w:szCs w:val="20"/>
          <w:color w:val="auto"/>
        </w:rPr>
      </w:pPr>
    </w:p>
    <w:p>
      <w:pPr>
        <w:ind w:left="460" w:right="18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u w:val="single" w:color="auto"/>
          <w:color w:val="auto"/>
        </w:rPr>
        <w:t>DUTIES OF EMPLOYEE</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Employee shall perform such duties assigned to Employee by Employer as are generally associated with the duties of </w:t>
      </w:r>
      <w:r>
        <w:rPr>
          <w:rFonts w:ascii="Arial" w:cs="Arial" w:eastAsia="Arial" w:hAnsi="Arial"/>
          <w:sz w:val="16"/>
          <w:szCs w:val="16"/>
          <w:b w:val="1"/>
          <w:bCs w:val="1"/>
          <w:color w:val="auto"/>
        </w:rPr>
        <w:t xml:space="preserve">Senior Vice President – Risk Management </w:t>
      </w:r>
      <w:r>
        <w:rPr>
          <w:rFonts w:ascii="Arial" w:cs="Arial" w:eastAsia="Arial" w:hAnsi="Arial"/>
          <w:sz w:val="16"/>
          <w:szCs w:val="16"/>
          <w:color w:val="auto"/>
        </w:rPr>
        <w:t>for Employer or such similar duties as may be assigned to Employee by Employer as Employer may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Employee’s duties shall include, but not be limited to: (i) the efficient and continuous operation of Employer and its Affiliates; (ii) the preparation of relevant budgets and allocation or relevant funds; (iii) the selection and delegation of duties and responsibilities of subordinates; (iv) the direction, review and oversight of all programs under Employee’s supervision; and (v) such other and further duties as may be assigned by Employer to Employee from time to time. The foregoing notwithstanding, Employee shall devote such time to Employer’s Affiliates as may be required by Employer, provided such duties are not inconsistent with Employee’s primary duties to Employer.</w:t>
      </w:r>
    </w:p>
    <w:p>
      <w:pPr>
        <w:sectPr>
          <w:pgSz w:w="11900" w:h="16838" w:orient="portrait"/>
          <w:cols w:equalWidth="0" w:num="1">
            <w:col w:w="11420"/>
          </w:cols>
          <w:pgMar w:left="240" w:top="125" w:right="239" w:bottom="1440" w:gutter="0" w:footer="0" w:header="0"/>
        </w:sectPr>
      </w:pPr>
    </w:p>
    <w:bookmarkStart w:id="442" w:name="page443"/>
    <w:bookmarkEnd w:id="442"/>
    <w:p>
      <w:pPr>
        <w:ind w:firstLine="464"/>
        <w:spacing w:after="0" w:line="268" w:lineRule="auto"/>
        <w:tabs>
          <w:tab w:leader="none" w:pos="632"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WYNN LAS VEGAS, LLC</w:t>
            </w:r>
          </w:p>
        </w:tc>
        <w:tc>
          <w:tcPr>
            <w:tcW w:w="18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4120" w:type="dxa"/>
            <w:vAlign w:val="bottom"/>
            <w:gridSpan w:val="2"/>
          </w:tcPr>
          <w:p>
            <w:pPr>
              <w:spacing w:after="0"/>
              <w:rPr>
                <w:sz w:val="20"/>
                <w:szCs w:val="20"/>
                <w:color w:val="auto"/>
              </w:rPr>
            </w:pPr>
            <w:r>
              <w:rPr>
                <w:rFonts w:ascii="Arial" w:cs="Arial" w:eastAsia="Arial" w:hAnsi="Arial"/>
                <w:sz w:val="18"/>
                <w:szCs w:val="18"/>
                <w:color w:val="auto"/>
              </w:rPr>
              <w:t>By: /s/ Marc Schorr</w:t>
            </w:r>
          </w:p>
        </w:tc>
        <w:tc>
          <w:tcPr>
            <w:tcW w:w="184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 James Pettis</w:t>
            </w:r>
          </w:p>
        </w:tc>
      </w:tr>
      <w:tr>
        <w:trPr>
          <w:trHeight w:val="110"/>
        </w:trPr>
        <w:tc>
          <w:tcPr>
            <w:tcW w:w="380" w:type="dxa"/>
            <w:vAlign w:val="bottom"/>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r>
      <w:tr>
        <w:trPr>
          <w:trHeight w:val="309"/>
        </w:trPr>
        <w:tc>
          <w:tcPr>
            <w:tcW w:w="38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Marc Schorr</w:t>
            </w:r>
          </w:p>
        </w:tc>
        <w:tc>
          <w:tcPr>
            <w:tcW w:w="184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James E. Pettis</w:t>
            </w:r>
          </w:p>
        </w:tc>
      </w:tr>
      <w:tr>
        <w:trPr>
          <w:trHeight w:val="222"/>
        </w:trPr>
        <w:tc>
          <w:tcPr>
            <w:tcW w:w="3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84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365"/>
        </w:trPr>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- 2 -</w:t>
            </w:r>
          </w:p>
        </w:tc>
        <w:tc>
          <w:tcPr>
            <w:tcW w:w="3740" w:type="dxa"/>
            <w:vAlign w:val="bottom"/>
          </w:tcPr>
          <w:p>
            <w:pPr>
              <w:spacing w:after="0"/>
              <w:rPr>
                <w:sz w:val="24"/>
                <w:szCs w:val="24"/>
                <w:color w:val="auto"/>
              </w:rPr>
            </w:pPr>
          </w:p>
        </w:tc>
      </w:tr>
    </w:tbl>
    <w:p>
      <w:pPr>
        <w:sectPr>
          <w:pgSz w:w="11900" w:h="16838" w:orient="portrait"/>
          <w:cols w:equalWidth="0" w:num="1">
            <w:col w:w="11240"/>
          </w:cols>
          <w:pgMar w:left="240" w:top="280" w:right="419" w:bottom="1440"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auto"/>
        </w:rPr>
        <w:t>Exhibit 12.1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Ratio of Earnings to Fixed Charges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2"/>
              </w:rPr>
              <w:t>Years Ended December 31,</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2"/>
                <w:szCs w:val="22"/>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300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rPr>
              <w:t>(in thousands, except per share amounts)</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w w:val="89"/>
              </w:rPr>
              <w:t>Pretax income from continuing operations before adjustment for minority interests in consolidated subsidiaries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or income or loss from equity investees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(161,917)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(15,973)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(4,833)</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(1,704)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(1,463)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165,499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104,855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15,372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6,325</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Subtract:</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165,499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13,500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6,325</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Earnings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(161,917)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(1,704)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Interest capitalized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115,000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87,300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13,500</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6,325</w:t>
            </w:r>
          </w:p>
        </w:tc>
        <w:tc>
          <w:tcPr>
            <w:tcW w:w="1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Amortized premiums, discounts and capitalized expenses related to indebtedness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Fixed Charges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165,499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104,855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15,372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6,325</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to Fixed Charges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Deficiency Amount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(327,416)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(115,780)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(18,333)</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(8,029)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(1,463)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-1235710</wp:posOffset>
            </wp:positionV>
            <wp:extent cx="1270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-1235710</wp:posOffset>
            </wp:positionV>
            <wp:extent cx="38735"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-1235710</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-1235710</wp:posOffset>
            </wp:positionV>
            <wp:extent cx="38735"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-1235710</wp:posOffset>
            </wp:positionV>
            <wp:extent cx="1270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-1235710</wp:posOffset>
            </wp:positionV>
            <wp:extent cx="38735"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-1235710</wp:posOffset>
            </wp:positionV>
            <wp:extent cx="1270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-1235710</wp:posOffset>
            </wp:positionV>
            <wp:extent cx="38735"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-1235710</wp:posOffset>
            </wp:positionV>
            <wp:extent cx="1270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-1235710</wp:posOffset>
            </wp:positionV>
            <wp:extent cx="38735"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-377825</wp:posOffset>
            </wp:positionV>
            <wp:extent cx="1270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-377825</wp:posOffset>
            </wp:positionV>
            <wp:extent cx="38735"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-377825</wp:posOffset>
            </wp:positionV>
            <wp:extent cx="1270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-377825</wp:posOffset>
            </wp:positionV>
            <wp:extent cx="38735"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-377825</wp:posOffset>
            </wp:positionV>
            <wp:extent cx="1270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-377825</wp:posOffset>
            </wp:positionV>
            <wp:extent cx="38735"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-377825</wp:posOffset>
            </wp:positionV>
            <wp:extent cx="1270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-377825</wp:posOffset>
            </wp:positionV>
            <wp:extent cx="38735"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-377825</wp:posOffset>
            </wp:positionV>
            <wp:extent cx="1270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-377825</wp:posOffset>
            </wp:positionV>
            <wp:extent cx="38735"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4" w:name="page445"/>
    <w:bookmarkEnd w:id="444"/>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WYNN LAS VEGAS, LLC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Completion Guarantor,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subsidiaries are formed in the State of Nevada and wholly-owned by Wynn Las Vegas, LLC.</w:t>
      </w:r>
    </w:p>
    <w:p>
      <w:pPr>
        <w:sectPr>
          <w:pgSz w:w="11900" w:h="16838" w:orient="portrait"/>
          <w:cols w:equalWidth="0" w:num="1">
            <w:col w:w="11420"/>
          </w:cols>
          <w:pgMar w:left="240" w:top="125" w:right="239" w:bottom="1440" w:gutter="0" w:footer="0" w:header="0"/>
        </w:sectPr>
      </w:pPr>
    </w:p>
    <w:bookmarkStart w:id="445" w:name="page446"/>
    <w:bookmarkEnd w:id="445"/>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8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consent to the use in this Registration Statement on Form S-4 of our report dated March 15, 2005 relating to the consolidated financial statements of Wynn Las Vegas, LLC and subsidiaries (a development stage company) appearing in the Prospectus, which is part of this Registration Statement, and to the reference to us under the headings “Selected Consolidated Financial Data” and “Experts” in such Prospectus.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12, 2005</w:t>
      </w:r>
    </w:p>
    <w:p>
      <w:pPr>
        <w:sectPr>
          <w:pgSz w:w="11900" w:h="16838" w:orient="portrait"/>
          <w:cols w:equalWidth="0" w:num="1">
            <w:col w:w="11420"/>
          </w:cols>
          <w:pgMar w:left="240" w:top="125" w:right="239" w:bottom="1440" w:gutter="0" w:footer="0" w:header="0"/>
        </w:sectPr>
      </w:pPr>
    </w:p>
    <w:bookmarkStart w:id="446" w:name="page447"/>
    <w:bookmarkEnd w:id="446"/>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25043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7"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158750</wp:posOffset>
            </wp:positionV>
            <wp:extent cx="124333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auto"/>
        </w:rPr>
        <w:t>FORM T-1</w:t>
      </w:r>
    </w:p>
    <w:p>
      <w:pPr>
        <w:spacing w:after="0" w:line="17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STATEMENT OF ELIGIBILITY UNDER</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TRUST INDENTURE ACT OF 1939 OF A</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CORPORATION DESIGNATED TO ACT AS TRUSTEE</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Check if an Application to Determine Eligibility of</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170180</wp:posOffset>
            </wp:positionV>
            <wp:extent cx="124333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20"/>
        <w:spacing w:after="0"/>
        <w:rPr>
          <w:sz w:val="20"/>
          <w:szCs w:val="20"/>
          <w:color w:val="auto"/>
        </w:rPr>
      </w:pPr>
      <w:r>
        <w:rPr>
          <w:rFonts w:ascii="Arial" w:cs="Arial" w:eastAsia="Arial" w:hAnsi="Arial"/>
          <w:sz w:val="43"/>
          <w:szCs w:val="43"/>
          <w:b w:val="1"/>
          <w:bCs w:val="1"/>
          <w:color w:val="auto"/>
        </w:rPr>
        <w:t>U.S. BANK NATIONAL ASSOCIATION</w:t>
      </w:r>
    </w:p>
    <w:p>
      <w:pPr>
        <w:spacing w:after="0" w:line="49"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(Exact name of Trustee as specified in its charter)</w:t>
      </w:r>
    </w:p>
    <w:p>
      <w:pPr>
        <w:spacing w:after="0" w:line="1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(I.R.S. Employer Identification No.)</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jc w:val="center"/>
              <w:ind w:right="2859"/>
              <w:spacing w:after="0"/>
              <w:rPr>
                <w:sz w:val="20"/>
                <w:szCs w:val="20"/>
                <w:color w:val="auto"/>
              </w:rPr>
            </w:pPr>
            <w:r>
              <w:rPr>
                <w:rFonts w:ascii="Arial" w:cs="Arial" w:eastAsia="Arial" w:hAnsi="Arial"/>
                <w:sz w:val="18"/>
                <w:szCs w:val="18"/>
                <w:b w:val="1"/>
                <w:bCs w:val="1"/>
                <w:color w:val="auto"/>
                <w:w w:val="91"/>
              </w:rPr>
              <w:t>800 Nicollet Mall</w:t>
            </w:r>
          </w:p>
        </w:tc>
        <w:tc>
          <w:tcPr>
            <w:tcW w:w="2180" w:type="dxa"/>
            <w:vAlign w:val="bottom"/>
          </w:tcPr>
          <w:p>
            <w:pPr>
              <w:spacing w:after="0"/>
              <w:rPr>
                <w:sz w:val="18"/>
                <w:szCs w:val="18"/>
                <w:color w:val="auto"/>
              </w:rPr>
            </w:pPr>
          </w:p>
        </w:tc>
      </w:tr>
      <w:tr>
        <w:trPr>
          <w:trHeight w:val="228"/>
        </w:trPr>
        <w:tc>
          <w:tcPr>
            <w:tcW w:w="6420" w:type="dxa"/>
            <w:vAlign w:val="bottom"/>
          </w:tcPr>
          <w:p>
            <w:pPr>
              <w:jc w:val="center"/>
              <w:ind w:right="2859"/>
              <w:spacing w:after="0"/>
              <w:rPr>
                <w:sz w:val="20"/>
                <w:szCs w:val="20"/>
                <w:color w:val="auto"/>
              </w:rPr>
            </w:pPr>
            <w:r>
              <w:rPr>
                <w:rFonts w:ascii="Arial" w:cs="Arial" w:eastAsia="Arial" w:hAnsi="Arial"/>
                <w:sz w:val="18"/>
                <w:szCs w:val="18"/>
                <w:b w:val="1"/>
                <w:bCs w:val="1"/>
                <w:color w:val="auto"/>
                <w:w w:val="88"/>
              </w:rPr>
              <w:t>Minneapolis, Minnesota</w:t>
            </w:r>
          </w:p>
        </w:tc>
        <w:tc>
          <w:tcPr>
            <w:tcW w:w="2180" w:type="dxa"/>
            <w:vAlign w:val="bottom"/>
          </w:tcPr>
          <w:p>
            <w:pPr>
              <w:jc w:val="center"/>
              <w:ind w:left="22"/>
              <w:spacing w:after="0"/>
              <w:rPr>
                <w:sz w:val="20"/>
                <w:szCs w:val="20"/>
                <w:color w:val="auto"/>
              </w:rPr>
            </w:pPr>
            <w:r>
              <w:rPr>
                <w:rFonts w:ascii="Arial" w:cs="Arial" w:eastAsia="Arial" w:hAnsi="Arial"/>
                <w:sz w:val="18"/>
                <w:szCs w:val="18"/>
                <w:b w:val="1"/>
                <w:bCs w:val="1"/>
                <w:color w:val="auto"/>
                <w:w w:val="87"/>
              </w:rPr>
              <w:t>55402</w:t>
            </w:r>
          </w:p>
        </w:tc>
      </w:tr>
      <w:tr>
        <w:trPr>
          <w:trHeight w:val="177"/>
        </w:trPr>
        <w:tc>
          <w:tcPr>
            <w:tcW w:w="6420" w:type="dxa"/>
            <w:vAlign w:val="bottom"/>
          </w:tcPr>
          <w:p>
            <w:pPr>
              <w:jc w:val="center"/>
              <w:ind w:right="2859"/>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180" w:type="dxa"/>
            <w:vAlign w:val="bottom"/>
          </w:tcPr>
          <w:p>
            <w:pPr>
              <w:jc w:val="center"/>
              <w:ind w:left="42"/>
              <w:spacing w:after="0"/>
              <w:rPr>
                <w:sz w:val="20"/>
                <w:szCs w:val="20"/>
                <w:color w:val="auto"/>
              </w:rPr>
            </w:pPr>
            <w:r>
              <w:rPr>
                <w:rFonts w:ascii="Arial" w:cs="Arial" w:eastAsia="Arial" w:hAnsi="Arial"/>
                <w:sz w:val="14"/>
                <w:szCs w:val="14"/>
                <w:b w:val="1"/>
                <w:bCs w:val="1"/>
                <w:color w:val="auto"/>
                <w:w w:val="89"/>
              </w:rPr>
              <w:t>(Zip Code)</w:t>
            </w:r>
          </w:p>
        </w:tc>
      </w:tr>
      <w:tr>
        <w:trPr>
          <w:trHeight w:val="337"/>
        </w:trPr>
        <w:tc>
          <w:tcPr>
            <w:tcW w:w="6420" w:type="dxa"/>
            <w:vAlign w:val="bottom"/>
          </w:tcPr>
          <w:p>
            <w:pPr>
              <w:jc w:val="center"/>
              <w:ind w:left="2699"/>
              <w:spacing w:after="0"/>
              <w:rPr>
                <w:sz w:val="20"/>
                <w:szCs w:val="20"/>
                <w:color w:val="auto"/>
              </w:rPr>
            </w:pPr>
            <w:r>
              <w:rPr>
                <w:rFonts w:ascii="Arial" w:cs="Arial" w:eastAsia="Arial" w:hAnsi="Arial"/>
                <w:sz w:val="18"/>
                <w:szCs w:val="18"/>
                <w:b w:val="1"/>
                <w:bCs w:val="1"/>
                <w:color w:val="auto"/>
                <w:w w:val="89"/>
              </w:rPr>
              <w:t>Lori-Anne Rosenberg</w:t>
            </w:r>
          </w:p>
        </w:tc>
        <w:tc>
          <w:tcPr>
            <w:tcW w:w="2180" w:type="dxa"/>
            <w:vAlign w:val="bottom"/>
          </w:tcPr>
          <w:p>
            <w:pPr>
              <w:spacing w:after="0"/>
              <w:rPr>
                <w:sz w:val="24"/>
                <w:szCs w:val="24"/>
                <w:color w:val="auto"/>
              </w:rPr>
            </w:pPr>
          </w:p>
        </w:tc>
      </w:tr>
      <w:tr>
        <w:trPr>
          <w:trHeight w:val="216"/>
        </w:trPr>
        <w:tc>
          <w:tcPr>
            <w:tcW w:w="6420" w:type="dxa"/>
            <w:vAlign w:val="bottom"/>
          </w:tcPr>
          <w:p>
            <w:pPr>
              <w:jc w:val="center"/>
              <w:ind w:left="2679"/>
              <w:spacing w:after="0"/>
              <w:rPr>
                <w:sz w:val="20"/>
                <w:szCs w:val="20"/>
                <w:color w:val="auto"/>
              </w:rPr>
            </w:pPr>
            <w:r>
              <w:rPr>
                <w:rFonts w:ascii="Arial" w:cs="Arial" w:eastAsia="Arial" w:hAnsi="Arial"/>
                <w:sz w:val="18"/>
                <w:szCs w:val="18"/>
                <w:b w:val="1"/>
                <w:bCs w:val="1"/>
                <w:color w:val="auto"/>
                <w:w w:val="87"/>
              </w:rPr>
              <w:t>U.S. Bank National Association</w:t>
            </w:r>
          </w:p>
        </w:tc>
        <w:tc>
          <w:tcPr>
            <w:tcW w:w="2180" w:type="dxa"/>
            <w:vAlign w:val="bottom"/>
          </w:tcPr>
          <w:p>
            <w:pPr>
              <w:spacing w:after="0"/>
              <w:rPr>
                <w:sz w:val="18"/>
                <w:szCs w:val="18"/>
                <w:color w:val="auto"/>
              </w:rPr>
            </w:pPr>
          </w:p>
        </w:tc>
      </w:tr>
      <w:tr>
        <w:trPr>
          <w:trHeight w:val="216"/>
        </w:trPr>
        <w:tc>
          <w:tcPr>
            <w:tcW w:w="6420" w:type="dxa"/>
            <w:vAlign w:val="bottom"/>
          </w:tcPr>
          <w:p>
            <w:pPr>
              <w:jc w:val="center"/>
              <w:ind w:left="2679"/>
              <w:spacing w:after="0"/>
              <w:rPr>
                <w:sz w:val="20"/>
                <w:szCs w:val="20"/>
                <w:color w:val="auto"/>
              </w:rPr>
            </w:pPr>
            <w:r>
              <w:rPr>
                <w:rFonts w:ascii="Arial" w:cs="Arial" w:eastAsia="Arial" w:hAnsi="Arial"/>
                <w:sz w:val="18"/>
                <w:szCs w:val="18"/>
                <w:b w:val="1"/>
                <w:bCs w:val="1"/>
                <w:color w:val="auto"/>
                <w:w w:val="87"/>
              </w:rPr>
              <w:t>60 Livingston Avenue</w:t>
            </w:r>
          </w:p>
        </w:tc>
        <w:tc>
          <w:tcPr>
            <w:tcW w:w="2180" w:type="dxa"/>
            <w:vAlign w:val="bottom"/>
          </w:tcPr>
          <w:p>
            <w:pPr>
              <w:spacing w:after="0"/>
              <w:rPr>
                <w:sz w:val="18"/>
                <w:szCs w:val="18"/>
                <w:color w:val="auto"/>
              </w:rPr>
            </w:pPr>
          </w:p>
        </w:tc>
      </w:tr>
      <w:tr>
        <w:trPr>
          <w:trHeight w:val="216"/>
        </w:trPr>
        <w:tc>
          <w:tcPr>
            <w:tcW w:w="6420" w:type="dxa"/>
            <w:vAlign w:val="bottom"/>
          </w:tcPr>
          <w:p>
            <w:pPr>
              <w:jc w:val="center"/>
              <w:ind w:left="2679"/>
              <w:spacing w:after="0"/>
              <w:rPr>
                <w:sz w:val="20"/>
                <w:szCs w:val="20"/>
                <w:color w:val="auto"/>
              </w:rPr>
            </w:pPr>
            <w:r>
              <w:rPr>
                <w:rFonts w:ascii="Arial" w:cs="Arial" w:eastAsia="Arial" w:hAnsi="Arial"/>
                <w:sz w:val="18"/>
                <w:szCs w:val="18"/>
                <w:b w:val="1"/>
                <w:bCs w:val="1"/>
                <w:color w:val="auto"/>
                <w:w w:val="91"/>
              </w:rPr>
              <w:t>St. Paul, MN 55107</w:t>
            </w:r>
          </w:p>
        </w:tc>
        <w:tc>
          <w:tcPr>
            <w:tcW w:w="2180" w:type="dxa"/>
            <w:vAlign w:val="bottom"/>
          </w:tcPr>
          <w:p>
            <w:pPr>
              <w:spacing w:after="0"/>
              <w:rPr>
                <w:sz w:val="18"/>
                <w:szCs w:val="18"/>
                <w:color w:val="auto"/>
              </w:rPr>
            </w:pPr>
          </w:p>
        </w:tc>
      </w:tr>
      <w:tr>
        <w:trPr>
          <w:trHeight w:val="218"/>
        </w:trPr>
        <w:tc>
          <w:tcPr>
            <w:tcW w:w="6420" w:type="dxa"/>
            <w:vAlign w:val="bottom"/>
          </w:tcPr>
          <w:p>
            <w:pPr>
              <w:jc w:val="center"/>
              <w:ind w:left="2679"/>
              <w:spacing w:after="0"/>
              <w:rPr>
                <w:sz w:val="20"/>
                <w:szCs w:val="20"/>
                <w:color w:val="auto"/>
              </w:rPr>
            </w:pPr>
            <w:r>
              <w:rPr>
                <w:rFonts w:ascii="Arial" w:cs="Arial" w:eastAsia="Arial" w:hAnsi="Arial"/>
                <w:sz w:val="18"/>
                <w:szCs w:val="18"/>
                <w:b w:val="1"/>
                <w:bCs w:val="1"/>
                <w:color w:val="auto"/>
                <w:w w:val="89"/>
              </w:rPr>
              <w:t>(651) 495-3909</w:t>
            </w:r>
          </w:p>
        </w:tc>
        <w:tc>
          <w:tcPr>
            <w:tcW w:w="2180" w:type="dxa"/>
            <w:vAlign w:val="bottom"/>
          </w:tcPr>
          <w:p>
            <w:pPr>
              <w:spacing w:after="0"/>
              <w:rPr>
                <w:sz w:val="18"/>
                <w:szCs w:val="18"/>
                <w:color w:val="auto"/>
              </w:rPr>
            </w:pPr>
          </w:p>
        </w:tc>
      </w:tr>
      <w:tr>
        <w:trPr>
          <w:trHeight w:val="174"/>
        </w:trPr>
        <w:tc>
          <w:tcPr>
            <w:tcW w:w="6420" w:type="dxa"/>
            <w:vAlign w:val="bottom"/>
          </w:tcPr>
          <w:p>
            <w:pPr>
              <w:jc w:val="center"/>
              <w:ind w:left="2699"/>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c>
          <w:tcPr>
            <w:tcW w:w="2180" w:type="dxa"/>
            <w:vAlign w:val="bottom"/>
          </w:tcPr>
          <w:p>
            <w:pPr>
              <w:spacing w:after="0"/>
              <w:rPr>
                <w:sz w:val="15"/>
                <w:szCs w:val="15"/>
                <w:color w:val="auto"/>
              </w:rPr>
            </w:pPr>
          </w:p>
        </w:tc>
      </w:tr>
      <w:tr>
        <w:trPr>
          <w:trHeight w:val="339"/>
        </w:trPr>
        <w:tc>
          <w:tcPr>
            <w:tcW w:w="6420" w:type="dxa"/>
            <w:vAlign w:val="bottom"/>
          </w:tcPr>
          <w:p>
            <w:pPr>
              <w:jc w:val="center"/>
              <w:ind w:left="2679"/>
              <w:spacing w:after="0"/>
              <w:rPr>
                <w:sz w:val="20"/>
                <w:szCs w:val="20"/>
                <w:color w:val="auto"/>
              </w:rPr>
            </w:pPr>
            <w:r>
              <w:rPr>
                <w:rFonts w:ascii="Arial" w:cs="Arial" w:eastAsia="Arial" w:hAnsi="Arial"/>
                <w:sz w:val="18"/>
                <w:szCs w:val="18"/>
                <w:b w:val="1"/>
                <w:bCs w:val="1"/>
                <w:color w:val="auto"/>
                <w:w w:val="90"/>
              </w:rPr>
              <w:t>Wynn Las Vegas, LLC</w:t>
            </w:r>
          </w:p>
        </w:tc>
        <w:tc>
          <w:tcPr>
            <w:tcW w:w="2180" w:type="dxa"/>
            <w:vAlign w:val="bottom"/>
          </w:tcPr>
          <w:p>
            <w:pPr>
              <w:spacing w:after="0"/>
              <w:rPr>
                <w:sz w:val="24"/>
                <w:szCs w:val="24"/>
                <w:color w:val="auto"/>
              </w:rPr>
            </w:pPr>
          </w:p>
        </w:tc>
      </w:tr>
      <w:tr>
        <w:trPr>
          <w:trHeight w:val="174"/>
        </w:trPr>
        <w:tc>
          <w:tcPr>
            <w:tcW w:w="6420" w:type="dxa"/>
            <w:vAlign w:val="bottom"/>
          </w:tcPr>
          <w:p>
            <w:pPr>
              <w:jc w:val="center"/>
              <w:ind w:left="2679"/>
              <w:spacing w:after="0"/>
              <w:rPr>
                <w:sz w:val="20"/>
                <w:szCs w:val="20"/>
                <w:color w:val="auto"/>
              </w:rPr>
            </w:pPr>
            <w:r>
              <w:rPr>
                <w:rFonts w:ascii="Arial" w:cs="Arial" w:eastAsia="Arial" w:hAnsi="Arial"/>
                <w:sz w:val="14"/>
                <w:szCs w:val="14"/>
                <w:b w:val="1"/>
                <w:bCs w:val="1"/>
                <w:color w:val="auto"/>
                <w:w w:val="85"/>
              </w:rPr>
              <w:t>(Issuer with respect to the Securities)</w:t>
            </w:r>
          </w:p>
        </w:tc>
        <w:tc>
          <w:tcPr>
            <w:tcW w:w="2180" w:type="dxa"/>
            <w:vAlign w:val="bottom"/>
          </w:tcPr>
          <w:p>
            <w:pPr>
              <w:spacing w:after="0"/>
              <w:rPr>
                <w:sz w:val="15"/>
                <w:szCs w:val="15"/>
                <w:color w:val="auto"/>
              </w:rPr>
            </w:pPr>
          </w:p>
        </w:tc>
      </w:tr>
      <w:tr>
        <w:trPr>
          <w:trHeight w:val="339"/>
        </w:trPr>
        <w:tc>
          <w:tcPr>
            <w:tcW w:w="6420" w:type="dxa"/>
            <w:vAlign w:val="bottom"/>
          </w:tcPr>
          <w:p>
            <w:pPr>
              <w:jc w:val="center"/>
              <w:ind w:right="2859"/>
              <w:spacing w:after="0"/>
              <w:rPr>
                <w:sz w:val="20"/>
                <w:szCs w:val="20"/>
                <w:color w:val="auto"/>
              </w:rPr>
            </w:pPr>
            <w:r>
              <w:rPr>
                <w:rFonts w:ascii="Arial" w:cs="Arial" w:eastAsia="Arial" w:hAnsi="Arial"/>
                <w:sz w:val="18"/>
                <w:szCs w:val="18"/>
                <w:b w:val="1"/>
                <w:bCs w:val="1"/>
                <w:color w:val="auto"/>
                <w:w w:val="87"/>
              </w:rPr>
              <w:t>Nevada</w:t>
            </w:r>
          </w:p>
        </w:tc>
        <w:tc>
          <w:tcPr>
            <w:tcW w:w="2180" w:type="dxa"/>
            <w:vAlign w:val="bottom"/>
          </w:tcPr>
          <w:p>
            <w:pPr>
              <w:jc w:val="center"/>
              <w:ind w:left="22"/>
              <w:spacing w:after="0"/>
              <w:rPr>
                <w:sz w:val="20"/>
                <w:szCs w:val="20"/>
                <w:color w:val="auto"/>
              </w:rPr>
            </w:pPr>
            <w:r>
              <w:rPr>
                <w:rFonts w:ascii="Arial" w:cs="Arial" w:eastAsia="Arial" w:hAnsi="Arial"/>
                <w:sz w:val="18"/>
                <w:szCs w:val="18"/>
                <w:b w:val="1"/>
                <w:bCs w:val="1"/>
                <w:color w:val="auto"/>
                <w:w w:val="87"/>
              </w:rPr>
              <w:t>88-0494878</w:t>
            </w:r>
          </w:p>
        </w:tc>
      </w:tr>
      <w:tr>
        <w:trPr>
          <w:trHeight w:val="174"/>
        </w:trPr>
        <w:tc>
          <w:tcPr>
            <w:tcW w:w="6420" w:type="dxa"/>
            <w:vAlign w:val="bottom"/>
          </w:tcPr>
          <w:p>
            <w:pPr>
              <w:jc w:val="center"/>
              <w:ind w:right="2859"/>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180" w:type="dxa"/>
            <w:vAlign w:val="bottom"/>
          </w:tcPr>
          <w:p>
            <w:pPr>
              <w:jc w:val="center"/>
              <w:ind w:left="4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9"/>
        </w:trPr>
        <w:tc>
          <w:tcPr>
            <w:tcW w:w="6420" w:type="dxa"/>
            <w:vAlign w:val="bottom"/>
          </w:tcPr>
          <w:p>
            <w:pPr>
              <w:jc w:val="center"/>
              <w:ind w:left="2699"/>
              <w:spacing w:after="0"/>
              <w:rPr>
                <w:sz w:val="20"/>
                <w:szCs w:val="20"/>
                <w:color w:val="auto"/>
              </w:rPr>
            </w:pPr>
            <w:r>
              <w:rPr>
                <w:rFonts w:ascii="Arial" w:cs="Arial" w:eastAsia="Arial" w:hAnsi="Arial"/>
                <w:sz w:val="18"/>
                <w:szCs w:val="18"/>
                <w:b w:val="1"/>
                <w:bCs w:val="1"/>
                <w:color w:val="auto"/>
                <w:w w:val="89"/>
              </w:rPr>
              <w:t>Wynn Las Vegas Capital Corp.</w:t>
            </w:r>
          </w:p>
        </w:tc>
        <w:tc>
          <w:tcPr>
            <w:tcW w:w="2180" w:type="dxa"/>
            <w:vAlign w:val="bottom"/>
          </w:tcPr>
          <w:p>
            <w:pPr>
              <w:spacing w:after="0"/>
              <w:rPr>
                <w:sz w:val="24"/>
                <w:szCs w:val="24"/>
                <w:color w:val="auto"/>
              </w:rPr>
            </w:pPr>
          </w:p>
        </w:tc>
      </w:tr>
      <w:tr>
        <w:trPr>
          <w:trHeight w:val="174"/>
        </w:trPr>
        <w:tc>
          <w:tcPr>
            <w:tcW w:w="6420" w:type="dxa"/>
            <w:vAlign w:val="bottom"/>
          </w:tcPr>
          <w:p>
            <w:pPr>
              <w:jc w:val="center"/>
              <w:ind w:left="2679"/>
              <w:spacing w:after="0"/>
              <w:rPr>
                <w:sz w:val="20"/>
                <w:szCs w:val="20"/>
                <w:color w:val="auto"/>
              </w:rPr>
            </w:pPr>
            <w:r>
              <w:rPr>
                <w:rFonts w:ascii="Arial" w:cs="Arial" w:eastAsia="Arial" w:hAnsi="Arial"/>
                <w:sz w:val="14"/>
                <w:szCs w:val="14"/>
                <w:b w:val="1"/>
                <w:bCs w:val="1"/>
                <w:color w:val="auto"/>
                <w:w w:val="85"/>
              </w:rPr>
              <w:t>(Issuer with respect to the Securities)</w:t>
            </w:r>
          </w:p>
        </w:tc>
        <w:tc>
          <w:tcPr>
            <w:tcW w:w="2180" w:type="dxa"/>
            <w:vAlign w:val="bottom"/>
          </w:tcPr>
          <w:p>
            <w:pPr>
              <w:spacing w:after="0"/>
              <w:rPr>
                <w:sz w:val="15"/>
                <w:szCs w:val="15"/>
                <w:color w:val="auto"/>
              </w:rPr>
            </w:pPr>
          </w:p>
        </w:tc>
      </w:tr>
      <w:tr>
        <w:trPr>
          <w:trHeight w:val="339"/>
        </w:trPr>
        <w:tc>
          <w:tcPr>
            <w:tcW w:w="6420" w:type="dxa"/>
            <w:vAlign w:val="bottom"/>
          </w:tcPr>
          <w:p>
            <w:pPr>
              <w:jc w:val="center"/>
              <w:ind w:right="2859"/>
              <w:spacing w:after="0"/>
              <w:rPr>
                <w:sz w:val="20"/>
                <w:szCs w:val="20"/>
                <w:color w:val="auto"/>
              </w:rPr>
            </w:pPr>
            <w:r>
              <w:rPr>
                <w:rFonts w:ascii="Arial" w:cs="Arial" w:eastAsia="Arial" w:hAnsi="Arial"/>
                <w:sz w:val="18"/>
                <w:szCs w:val="18"/>
                <w:b w:val="1"/>
                <w:bCs w:val="1"/>
                <w:color w:val="auto"/>
                <w:w w:val="87"/>
              </w:rPr>
              <w:t>Nevada</w:t>
            </w:r>
          </w:p>
        </w:tc>
        <w:tc>
          <w:tcPr>
            <w:tcW w:w="2180" w:type="dxa"/>
            <w:vAlign w:val="bottom"/>
          </w:tcPr>
          <w:p>
            <w:pPr>
              <w:jc w:val="center"/>
              <w:ind w:left="22"/>
              <w:spacing w:after="0"/>
              <w:rPr>
                <w:sz w:val="20"/>
                <w:szCs w:val="20"/>
                <w:color w:val="auto"/>
              </w:rPr>
            </w:pPr>
            <w:r>
              <w:rPr>
                <w:rFonts w:ascii="Arial" w:cs="Arial" w:eastAsia="Arial" w:hAnsi="Arial"/>
                <w:sz w:val="18"/>
                <w:szCs w:val="18"/>
                <w:b w:val="1"/>
                <w:bCs w:val="1"/>
                <w:color w:val="auto"/>
                <w:w w:val="87"/>
              </w:rPr>
              <w:t>46-0484992</w:t>
            </w:r>
          </w:p>
        </w:tc>
      </w:tr>
      <w:tr>
        <w:trPr>
          <w:trHeight w:val="174"/>
        </w:trPr>
        <w:tc>
          <w:tcPr>
            <w:tcW w:w="6420" w:type="dxa"/>
            <w:vAlign w:val="bottom"/>
          </w:tcPr>
          <w:p>
            <w:pPr>
              <w:jc w:val="center"/>
              <w:ind w:right="2859"/>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180" w:type="dxa"/>
            <w:vAlign w:val="bottom"/>
          </w:tcPr>
          <w:p>
            <w:pPr>
              <w:jc w:val="center"/>
              <w:ind w:left="4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6420" w:type="dxa"/>
            <w:vAlign w:val="bottom"/>
          </w:tcPr>
          <w:p>
            <w:pPr>
              <w:jc w:val="center"/>
              <w:ind w:right="2839"/>
              <w:spacing w:after="0"/>
              <w:rPr>
                <w:sz w:val="20"/>
                <w:szCs w:val="20"/>
                <w:color w:val="auto"/>
              </w:rPr>
            </w:pPr>
            <w:r>
              <w:rPr>
                <w:rFonts w:ascii="Arial" w:cs="Arial" w:eastAsia="Arial" w:hAnsi="Arial"/>
                <w:sz w:val="18"/>
                <w:szCs w:val="18"/>
                <w:b w:val="1"/>
                <w:bCs w:val="1"/>
                <w:color w:val="auto"/>
                <w:w w:val="86"/>
              </w:rPr>
              <w:t>3131 Las Vegas Boulevard South</w:t>
            </w:r>
          </w:p>
        </w:tc>
        <w:tc>
          <w:tcPr>
            <w:tcW w:w="2180" w:type="dxa"/>
            <w:vAlign w:val="bottom"/>
          </w:tcPr>
          <w:p>
            <w:pPr>
              <w:spacing w:after="0"/>
              <w:rPr>
                <w:sz w:val="24"/>
                <w:szCs w:val="24"/>
                <w:color w:val="auto"/>
              </w:rPr>
            </w:pPr>
          </w:p>
        </w:tc>
      </w:tr>
      <w:tr>
        <w:trPr>
          <w:trHeight w:val="228"/>
        </w:trPr>
        <w:tc>
          <w:tcPr>
            <w:tcW w:w="6420" w:type="dxa"/>
            <w:vAlign w:val="bottom"/>
          </w:tcPr>
          <w:p>
            <w:pPr>
              <w:jc w:val="center"/>
              <w:ind w:right="2859"/>
              <w:spacing w:after="0"/>
              <w:rPr>
                <w:sz w:val="20"/>
                <w:szCs w:val="20"/>
                <w:color w:val="auto"/>
              </w:rPr>
            </w:pPr>
            <w:r>
              <w:rPr>
                <w:rFonts w:ascii="Arial" w:cs="Arial" w:eastAsia="Arial" w:hAnsi="Arial"/>
                <w:sz w:val="18"/>
                <w:szCs w:val="18"/>
                <w:b w:val="1"/>
                <w:bCs w:val="1"/>
                <w:color w:val="auto"/>
                <w:w w:val="85"/>
              </w:rPr>
              <w:t>Las Vegas, Nevada</w:t>
            </w:r>
          </w:p>
        </w:tc>
        <w:tc>
          <w:tcPr>
            <w:tcW w:w="2180" w:type="dxa"/>
            <w:vAlign w:val="bottom"/>
          </w:tcPr>
          <w:p>
            <w:pPr>
              <w:jc w:val="center"/>
              <w:ind w:left="22"/>
              <w:spacing w:after="0"/>
              <w:rPr>
                <w:sz w:val="20"/>
                <w:szCs w:val="20"/>
                <w:color w:val="auto"/>
              </w:rPr>
            </w:pPr>
            <w:r>
              <w:rPr>
                <w:rFonts w:ascii="Arial" w:cs="Arial" w:eastAsia="Arial" w:hAnsi="Arial"/>
                <w:sz w:val="18"/>
                <w:szCs w:val="18"/>
                <w:b w:val="1"/>
                <w:bCs w:val="1"/>
                <w:color w:val="auto"/>
                <w:w w:val="87"/>
              </w:rPr>
              <w:t>89109</w:t>
            </w:r>
          </w:p>
        </w:tc>
      </w:tr>
      <w:tr>
        <w:trPr>
          <w:trHeight w:val="177"/>
        </w:trPr>
        <w:tc>
          <w:tcPr>
            <w:tcW w:w="6420" w:type="dxa"/>
            <w:vAlign w:val="bottom"/>
          </w:tcPr>
          <w:p>
            <w:pPr>
              <w:jc w:val="center"/>
              <w:ind w:right="2839"/>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80" w:type="dxa"/>
            <w:vAlign w:val="bottom"/>
          </w:tcPr>
          <w:p>
            <w:pPr>
              <w:jc w:val="center"/>
              <w:ind w:left="42"/>
              <w:spacing w:after="0"/>
              <w:rPr>
                <w:sz w:val="20"/>
                <w:szCs w:val="20"/>
                <w:color w:val="auto"/>
              </w:rPr>
            </w:pPr>
            <w:r>
              <w:rPr>
                <w:rFonts w:ascii="Arial" w:cs="Arial" w:eastAsia="Arial" w:hAnsi="Arial"/>
                <w:sz w:val="14"/>
                <w:szCs w:val="14"/>
                <w:b w:val="1"/>
                <w:bCs w:val="1"/>
                <w:color w:val="auto"/>
                <w:w w:val="89"/>
              </w:rPr>
              <w:t>(Zip Code)</w:t>
            </w:r>
          </w:p>
        </w:tc>
      </w:tr>
    </w:tbl>
    <w:p>
      <w:pPr>
        <w:spacing w:after="0" w:line="104"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22"/>
          <w:szCs w:val="22"/>
          <w:b w:val="1"/>
          <w:bCs w:val="1"/>
          <w:color w:val="auto"/>
          <w:vertAlign w:val="superscript"/>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w:t>
      </w:r>
    </w:p>
    <w:p>
      <w:pPr>
        <w:jc w:val="center"/>
        <w:ind w:right="1120"/>
        <w:spacing w:after="0" w:line="200" w:lineRule="auto"/>
        <w:rPr>
          <w:sz w:val="20"/>
          <w:szCs w:val="20"/>
          <w:color w:val="auto"/>
        </w:rPr>
      </w:pPr>
      <w:r>
        <w:rPr>
          <w:rFonts w:ascii="Arial" w:cs="Arial" w:eastAsia="Arial" w:hAnsi="Arial"/>
          <w:sz w:val="18"/>
          <w:szCs w:val="18"/>
          <w:b w:val="1"/>
          <w:bCs w:val="1"/>
          <w:color w:val="auto"/>
        </w:rPr>
        <w:t xml:space="preserve">Guarantees related to the 6 </w:t>
      </w:r>
      <w:r>
        <w:rPr>
          <w:rFonts w:ascii="Arial" w:cs="Arial" w:eastAsia="Arial" w:hAnsi="Arial"/>
          <w:sz w:val="22"/>
          <w:szCs w:val="22"/>
          <w:b w:val="1"/>
          <w:bCs w:val="1"/>
          <w:color w:val="auto"/>
          <w:vertAlign w:val="superscript"/>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w:t>
      </w:r>
    </w:p>
    <w:p>
      <w:pPr>
        <w:ind w:left="3640"/>
        <w:spacing w:after="0"/>
        <w:rPr>
          <w:sz w:val="20"/>
          <w:szCs w:val="20"/>
          <w:color w:val="auto"/>
        </w:rPr>
      </w:pPr>
      <w:r>
        <w:rPr>
          <w:rFonts w:ascii="Arial" w:cs="Arial" w:eastAsia="Arial" w:hAnsi="Arial"/>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152400</wp:posOffset>
            </wp:positionV>
            <wp:extent cx="725043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300"/>
          </w:cols>
          <w:pgMar w:left="1360" w:top="125" w:right="239" w:bottom="1440" w:gutter="0" w:footer="0" w:header="0"/>
        </w:sectPr>
      </w:pPr>
    </w:p>
    <w:bookmarkStart w:id="447" w:name="page448"/>
    <w:bookmarkEnd w:id="447"/>
    <w:p>
      <w:pPr>
        <w:jc w:val="center"/>
        <w:ind w:right="-4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T-1</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GENERAL INFORMATION. </w:t>
      </w:r>
      <w:r>
        <w:rPr>
          <w:rFonts w:ascii="Arial" w:cs="Arial" w:eastAsia="Arial" w:hAnsi="Arial"/>
          <w:sz w:val="16"/>
          <w:szCs w:val="16"/>
          <w:color w:val="auto"/>
        </w:rPr>
        <w:t>Furnish the following information as to the Trustee.</w:t>
      </w:r>
    </w:p>
    <w:p>
      <w:pPr>
        <w:spacing w:after="0" w:line="164" w:lineRule="exact"/>
        <w:rPr>
          <w:sz w:val="20"/>
          <w:szCs w:val="20"/>
          <w:color w:val="auto"/>
        </w:rPr>
      </w:pPr>
    </w:p>
    <w:p>
      <w:pPr>
        <w:ind w:left="2180" w:right="3320" w:hanging="1038"/>
        <w:spacing w:after="0" w:line="254" w:lineRule="auto"/>
        <w:tabs>
          <w:tab w:leader="none" w:pos="1714"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ind w:left="218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151" w:lineRule="exact"/>
        <w:rPr>
          <w:rFonts w:ascii="Arial" w:cs="Arial" w:eastAsia="Arial" w:hAnsi="Arial"/>
          <w:sz w:val="18"/>
          <w:szCs w:val="18"/>
          <w:color w:val="auto"/>
        </w:rPr>
      </w:pPr>
    </w:p>
    <w:p>
      <w:pPr>
        <w:ind w:left="1700" w:hanging="558"/>
        <w:spacing w:after="0"/>
        <w:tabs>
          <w:tab w:leader="none" w:pos="1700"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368" w:lineRule="exact"/>
        <w:rPr>
          <w:sz w:val="20"/>
          <w:szCs w:val="20"/>
          <w:color w:val="auto"/>
        </w:rPr>
      </w:pPr>
    </w:p>
    <w:p>
      <w:pPr>
        <w:ind w:left="1140" w:right="1920" w:hanging="1711"/>
        <w:spacing w:after="0" w:line="275" w:lineRule="auto"/>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06" w:lineRule="exact"/>
        <w:rPr>
          <w:sz w:val="20"/>
          <w:szCs w:val="20"/>
          <w:color w:val="auto"/>
        </w:rPr>
      </w:pPr>
    </w:p>
    <w:p>
      <w:pPr>
        <w:ind w:left="1140" w:hanging="1133"/>
        <w:spacing w:after="0" w:line="268" w:lineRule="auto"/>
        <w:tabs>
          <w:tab w:leader="none" w:pos="11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1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164" w:lineRule="exact"/>
        <w:rPr>
          <w:sz w:val="20"/>
          <w:szCs w:val="20"/>
          <w:color w:val="auto"/>
        </w:rPr>
      </w:pPr>
    </w:p>
    <w:p>
      <w:pPr>
        <w:ind w:left="1700" w:hanging="558"/>
        <w:spacing w:after="0"/>
        <w:tabs>
          <w:tab w:leader="none" w:pos="17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57" w:lineRule="exact"/>
        <w:rPr>
          <w:rFonts w:ascii="Arial" w:cs="Arial" w:eastAsia="Arial" w:hAnsi="Arial"/>
          <w:sz w:val="18"/>
          <w:szCs w:val="18"/>
          <w:color w:val="auto"/>
        </w:rPr>
      </w:pPr>
    </w:p>
    <w:p>
      <w:pPr>
        <w:ind w:left="1700" w:right="300" w:hanging="558"/>
        <w:spacing w:after="0" w:line="268" w:lineRule="auto"/>
        <w:tabs>
          <w:tab w:leader="none" w:pos="17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Report of Condition of the Trustee as of December 31, 2004 published pursuant to law or the requirements of its supervising or examining authority, attached as Exhibit 7.</w:t>
      </w:r>
    </w:p>
    <w:p>
      <w:pPr>
        <w:spacing w:after="0" w:line="11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Incorporated by reference to Registration Number 333-67188.</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240" w:top="273" w:right="719" w:bottom="1440" w:gutter="0" w:footer="0" w:header="0"/>
        </w:sectPr>
      </w:pPr>
    </w:p>
    <w:bookmarkStart w:id="448" w:name="page449"/>
    <w:bookmarkEnd w:id="448"/>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answers to this statement insofar as such answers relate to what persons have been underwriters for any securities of the obligors within three years prior to the date of filing this statement, or what persons are owners of 10% or more of the voting securities of the obligors, or affiliates, are based upon information furnished to the Trustee by the obligors. While the Trustee has no reason to doubt the accuracy of any such information, it cannot accept any responsibility therefor.</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jc w:val="both"/>
        <w:ind w:firstLine="456"/>
        <w:spacing w:after="0" w:line="317"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April, 2005.</w:t>
      </w:r>
    </w:p>
    <w:p>
      <w:pPr>
        <w:sectPr>
          <w:pgSz w:w="11900" w:h="16838" w:orient="portrait"/>
          <w:cols w:equalWidth="0" w:num="1">
            <w:col w:w="11240"/>
          </w:cols>
          <w:pgMar w:left="240" w:top="27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  /s/ Richard H.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25400</wp:posOffset>
            </wp:positionV>
            <wp:extent cx="269303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Richard H. Prokosch</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br w:type="column"/>
      </w:r>
    </w:p>
    <w:p>
      <w:pPr>
        <w:jc w:val="right"/>
        <w:ind w:right="2260"/>
        <w:spacing w:after="0"/>
        <w:rPr>
          <w:sz w:val="20"/>
          <w:szCs w:val="20"/>
          <w:color w:val="auto"/>
        </w:rPr>
      </w:pPr>
      <w:r>
        <w:rPr>
          <w:rFonts w:ascii="Arial" w:cs="Arial" w:eastAsia="Arial" w:hAnsi="Arial"/>
          <w:sz w:val="18"/>
          <w:szCs w:val="18"/>
          <w:color w:val="auto"/>
        </w:rPr>
        <w:t>By:  /s/ Lori-Anne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10795</wp:posOffset>
            </wp:positionV>
            <wp:extent cx="269303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Lori-Anne Rosenberg</w:t>
      </w:r>
    </w:p>
    <w:p>
      <w:pPr>
        <w:spacing w:after="0" w:line="1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4960" w:space="720"/>
            <w:col w:w="5560"/>
          </w:cols>
          <w:pgMar w:left="240" w:top="274" w:right="419" w:bottom="1440" w:gutter="0" w:footer="0" w:header="0"/>
          <w:type w:val="continuous"/>
        </w:sectPr>
      </w:pPr>
    </w:p>
    <w:bookmarkStart w:id="449" w:name="page450"/>
    <w:bookmarkEnd w:id="44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April 8,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Lori-Anne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Lori-Anne Rosenberg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  /s/ Richard H.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Richard H. Prokosch</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450" w:name="page451"/>
    <w:bookmarkEnd w:id="45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Exhibit 7</w:t>
            </w:r>
          </w:p>
        </w:tc>
        <w:tc>
          <w:tcPr>
            <w:tcW w:w="44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520" w:type="dxa"/>
            <w:vAlign w:val="bottom"/>
            <w:gridSpan w:val="4"/>
          </w:tcPr>
          <w:p>
            <w:pPr>
              <w:jc w:val="center"/>
              <w:ind w:right="3060"/>
              <w:spacing w:after="0"/>
              <w:rPr>
                <w:sz w:val="20"/>
                <w:szCs w:val="20"/>
                <w:color w:val="auto"/>
              </w:rPr>
            </w:pPr>
            <w:r>
              <w:rPr>
                <w:rFonts w:ascii="Arial" w:cs="Arial" w:eastAsia="Arial" w:hAnsi="Arial"/>
                <w:sz w:val="18"/>
                <w:szCs w:val="18"/>
                <w:b w:val="1"/>
                <w:bCs w:val="1"/>
                <w:color w:val="auto"/>
                <w:w w:val="87"/>
              </w:rPr>
              <w:t>U.S. Bank National Association</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520" w:type="dxa"/>
            <w:vAlign w:val="bottom"/>
            <w:gridSpan w:val="4"/>
          </w:tcPr>
          <w:p>
            <w:pPr>
              <w:jc w:val="center"/>
              <w:ind w:right="3060"/>
              <w:spacing w:after="0"/>
              <w:rPr>
                <w:sz w:val="20"/>
                <w:szCs w:val="20"/>
                <w:color w:val="auto"/>
              </w:rPr>
            </w:pPr>
            <w:r>
              <w:rPr>
                <w:rFonts w:ascii="Arial" w:cs="Arial" w:eastAsia="Arial" w:hAnsi="Arial"/>
                <w:sz w:val="18"/>
                <w:szCs w:val="18"/>
                <w:b w:val="1"/>
                <w:bCs w:val="1"/>
                <w:color w:val="auto"/>
                <w:w w:val="88"/>
              </w:rPr>
              <w:t>Statement of Financial Condition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520" w:type="dxa"/>
            <w:vAlign w:val="bottom"/>
            <w:gridSpan w:val="4"/>
          </w:tcPr>
          <w:p>
            <w:pPr>
              <w:jc w:val="center"/>
              <w:ind w:right="3060"/>
              <w:spacing w:after="0"/>
              <w:rPr>
                <w:sz w:val="20"/>
                <w:szCs w:val="20"/>
                <w:color w:val="auto"/>
              </w:rPr>
            </w:pPr>
            <w:r>
              <w:rPr>
                <w:rFonts w:ascii="Arial" w:cs="Arial" w:eastAsia="Arial" w:hAnsi="Arial"/>
                <w:sz w:val="18"/>
                <w:szCs w:val="18"/>
                <w:b w:val="1"/>
                <w:bCs w:val="1"/>
                <w:color w:val="auto"/>
                <w:w w:val="87"/>
              </w:rPr>
              <w:t>As of 12/31/2004</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120" w:type="dxa"/>
            <w:vAlign w:val="bottom"/>
            <w:gridSpan w:val="3"/>
          </w:tcPr>
          <w:p>
            <w:pPr>
              <w:jc w:val="center"/>
              <w:ind w:right="4460"/>
              <w:spacing w:after="0"/>
              <w:rPr>
                <w:sz w:val="20"/>
                <w:szCs w:val="20"/>
                <w:color w:val="auto"/>
              </w:rPr>
            </w:pPr>
            <w:r>
              <w:rPr>
                <w:rFonts w:ascii="Arial" w:cs="Arial" w:eastAsia="Arial" w:hAnsi="Arial"/>
                <w:sz w:val="18"/>
                <w:szCs w:val="18"/>
                <w:b w:val="1"/>
                <w:bCs w:val="1"/>
                <w:color w:val="auto"/>
                <w:w w:val="86"/>
              </w:rPr>
              <w:t>($000’s)</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12/31/2004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Cash and Due From Depository Institutions</w:t>
            </w:r>
          </w:p>
        </w:tc>
        <w:tc>
          <w:tcPr>
            <w:tcW w:w="65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6,340,324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Reserve Stock</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Securities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41,160,517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Funds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Loans &amp; Lease Financing Receivables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122,755,374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10,104,022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6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194,436,638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w:t>
            </w:r>
          </w:p>
        </w:tc>
        <w:tc>
          <w:tcPr>
            <w:tcW w:w="6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128,301,617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Fed Funds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8,226,759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Demand Notes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Trading Liabilities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Borrowed Money</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25,478,470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Acceptances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Notes and Debentures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5,910,141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6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174,555,165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 in Subsidiaries</w:t>
            </w:r>
          </w:p>
        </w:tc>
        <w:tc>
          <w:tcPr>
            <w:tcW w:w="6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Common and Preferred Stock</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Surplus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11,792,288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Undivided Profits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7,054,825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Equity Capital</w:t>
            </w:r>
          </w:p>
        </w:tc>
        <w:tc>
          <w:tcPr>
            <w:tcW w:w="6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19,881,473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5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194,436,638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To the best of the undersigned’s determination, as of the date hereof, the above financial information is true and correct.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Lori-Anne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8, 2005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56" w:right="239" w:bottom="1440" w:gutter="0" w:footer="0" w:header="0"/>
        </w:sectPr>
      </w:pPr>
    </w:p>
    <w:bookmarkStart w:id="451" w:name="page452"/>
    <w:bookmarkEnd w:id="451"/>
    <w:p>
      <w:pPr>
        <w:jc w:val="right"/>
        <w:spacing w:after="0"/>
        <w:rPr>
          <w:sz w:val="20"/>
          <w:szCs w:val="20"/>
          <w:color w:val="auto"/>
        </w:rPr>
      </w:pPr>
      <w:r>
        <w:rPr>
          <w:rFonts w:ascii="Arial" w:cs="Arial" w:eastAsia="Arial" w:hAnsi="Arial"/>
          <w:sz w:val="18"/>
          <w:szCs w:val="18"/>
          <w:b w:val="1"/>
          <w:bCs w:val="1"/>
          <w:color w:val="auto"/>
        </w:rPr>
        <w:t>Exhibit 99.1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LETTER OF TRANSMITTAL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CAPITAL CORP.</w:t>
      </w:r>
    </w:p>
    <w:p>
      <w:pPr>
        <w:sectPr>
          <w:pgSz w:w="11900" w:h="16838" w:orient="portrait"/>
          <w:cols w:equalWidth="0" w:num="1">
            <w:col w:w="11420"/>
          </w:cols>
          <w:pgMar w:left="240" w:top="125" w:right="239" w:bottom="1440" w:gutter="0" w:footer="0" w:header="0"/>
        </w:sectPr>
      </w:pPr>
    </w:p>
    <w:p>
      <w:pPr>
        <w:spacing w:after="0" w:line="136"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Offer to Exchange all Outstanding</w:t>
      </w:r>
    </w:p>
    <w:p>
      <w:pPr>
        <w:spacing w:after="0" w:line="44"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0"/>
          <w:szCs w:val="10"/>
          <w:b w:val="1"/>
          <w:bCs w:val="1"/>
          <w:color w:val="auto"/>
        </w:rPr>
        <w:t>5</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2014</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0"/>
          <w:szCs w:val="10"/>
          <w:b w:val="1"/>
          <w:bCs w:val="1"/>
          <w:color w:val="auto"/>
        </w:rPr>
        <w:t>5</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2014</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That Have Been Registered Under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the Securities Act of 1933, as Amended,</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Pursuant to the Prospectus, 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2005</w:t>
      </w:r>
    </w:p>
    <w:p>
      <w:pPr>
        <w:spacing w:after="0" w:line="191" w:lineRule="exact"/>
        <w:rPr>
          <w:sz w:val="20"/>
          <w:szCs w:val="20"/>
          <w:color w:val="auto"/>
        </w:rPr>
      </w:pPr>
    </w:p>
    <w:p>
      <w:pPr>
        <w:sectPr>
          <w:pgSz w:w="11900" w:h="16838" w:orient="portrait"/>
          <w:cols w:equalWidth="0" w:num="2">
            <w:col w:w="7200" w:space="20"/>
            <w:col w:w="4200"/>
          </w:cols>
          <w:pgMar w:left="240" w:top="125" w:right="239" w:bottom="1440" w:gutter="0" w:footer="0" w:header="0"/>
          <w:type w:val="continuous"/>
        </w:sectPr>
      </w:pPr>
    </w:p>
    <w:p>
      <w:pPr>
        <w:ind w:left="120"/>
        <w:spacing w:after="0"/>
        <w:tabs>
          <w:tab w:leader="none" w:pos="7740" w:val="left"/>
        </w:tabs>
        <w:rPr>
          <w:sz w:val="20"/>
          <w:szCs w:val="20"/>
          <w:color w:val="auto"/>
        </w:rPr>
      </w:pPr>
      <w:r>
        <w:rPr>
          <w:rFonts w:ascii="Arial" w:cs="Arial" w:eastAsia="Arial" w:hAnsi="Arial"/>
          <w:sz w:val="18"/>
          <w:szCs w:val="18"/>
          <w:b w:val="1"/>
          <w:bCs w:val="1"/>
          <w:color w:val="auto"/>
        </w:rPr>
        <w:t>THE EXCHANGE OFFER WILL EXPIRE AT 5:00 P.M. NEW YORK CITY TIME, ON</w:t>
      </w:r>
      <w:r>
        <w:rPr>
          <w:sz w:val="20"/>
          <w:szCs w:val="20"/>
          <w:color w:val="auto"/>
        </w:rPr>
        <w:tab/>
      </w:r>
      <w:r>
        <w:rPr>
          <w:rFonts w:ascii="Arial" w:cs="Arial" w:eastAsia="Arial" w:hAnsi="Arial"/>
          <w:sz w:val="16"/>
          <w:szCs w:val="16"/>
          <w:b w:val="1"/>
          <w:bCs w:val="1"/>
          <w:color w:val="auto"/>
        </w:rPr>
        <w:t>, 2005, UNLESS EXTENDED (THE</w:t>
      </w:r>
    </w:p>
    <w:p>
      <w:pPr>
        <w:sectPr>
          <w:pgSz w:w="11900" w:h="16838" w:orient="portrait"/>
          <w:cols w:equalWidth="0" w:num="1">
            <w:col w:w="11420"/>
          </w:cols>
          <w:pgMar w:left="240" w:top="125" w:right="239" w:bottom="1440" w:gutter="0" w:footer="0" w:header="0"/>
          <w:type w:val="continuous"/>
        </w:sectPr>
      </w:pPr>
    </w:p>
    <w:p>
      <w:pPr>
        <w:spacing w:after="0" w:line="21" w:lineRule="exact"/>
        <w:rPr>
          <w:sz w:val="20"/>
          <w:szCs w:val="20"/>
          <w:color w:val="auto"/>
        </w:rPr>
      </w:pPr>
    </w:p>
    <w:p>
      <w:pPr>
        <w:jc w:val="center"/>
        <w:ind w:right="260"/>
        <w:spacing w:after="0" w:line="419" w:lineRule="auto"/>
        <w:rPr>
          <w:sz w:val="20"/>
          <w:szCs w:val="20"/>
          <w:color w:val="auto"/>
        </w:rPr>
      </w:pPr>
      <w:r>
        <w:rPr>
          <w:rFonts w:ascii="Arial" w:cs="Arial" w:eastAsia="Arial" w:hAnsi="Arial"/>
          <w:sz w:val="18"/>
          <w:szCs w:val="18"/>
          <w:b w:val="1"/>
          <w:bCs w:val="1"/>
          <w:color w:val="auto"/>
        </w:rPr>
        <w:t xml:space="preserve">“EXPIRATION DATE”). TENDERS MAY BE WITHDRAWN PRIOR TO 5:00 P.M., NEW YORK CITY TIME, ON THE EXPIRATION DATE. </w:t>
      </w:r>
      <w:r>
        <w:rPr>
          <w:rFonts w:ascii="Arial" w:cs="Arial" w:eastAsia="Arial" w:hAnsi="Arial"/>
          <w:sz w:val="18"/>
          <w:szCs w:val="18"/>
          <w:b w:val="1"/>
          <w:bCs w:val="1"/>
          <w:i w:val="1"/>
          <w:iCs w:val="1"/>
          <w:color w:val="auto"/>
        </w:rPr>
        <w:t xml:space="preserve">Delivery To: </w:t>
      </w:r>
      <w:r>
        <w:rPr>
          <w:rFonts w:ascii="Arial" w:cs="Arial" w:eastAsia="Arial" w:hAnsi="Arial"/>
          <w:sz w:val="18"/>
          <w:szCs w:val="18"/>
          <w:b w:val="1"/>
          <w:bCs w:val="1"/>
          <w:color w:val="auto"/>
        </w:rPr>
        <w:t>U.S. Bank National Association,</w:t>
      </w:r>
      <w:r>
        <w:rPr>
          <w:rFonts w:ascii="Arial" w:cs="Arial" w:eastAsia="Arial" w:hAnsi="Arial"/>
          <w:sz w:val="18"/>
          <w:szCs w:val="18"/>
          <w:b w:val="1"/>
          <w:bCs w:val="1"/>
          <w:i w:val="1"/>
          <w:iCs w:val="1"/>
          <w:color w:val="auto"/>
        </w:rPr>
        <w:t xml:space="preserve"> Exchange Agent</w:t>
      </w:r>
    </w:p>
    <w:p>
      <w:pPr>
        <w:jc w:val="center"/>
        <w:spacing w:after="0"/>
        <w:rPr>
          <w:sz w:val="20"/>
          <w:szCs w:val="20"/>
          <w:color w:val="auto"/>
        </w:rPr>
      </w:pPr>
      <w:r>
        <w:rPr>
          <w:rFonts w:ascii="Arial" w:cs="Arial" w:eastAsia="Arial" w:hAnsi="Arial"/>
          <w:sz w:val="18"/>
          <w:szCs w:val="18"/>
          <w:color w:val="auto"/>
        </w:rPr>
        <w:t>By Hand, Overnight Delivery or by Mail:</w:t>
      </w:r>
    </w:p>
    <w:p>
      <w:pPr>
        <w:spacing w:after="0" w:line="77" w:lineRule="exact"/>
        <w:rPr>
          <w:sz w:val="20"/>
          <w:szCs w:val="20"/>
          <w:color w:val="auto"/>
        </w:rPr>
      </w:pPr>
    </w:p>
    <w:p>
      <w:pPr>
        <w:ind w:left="4780" w:right="4780" w:firstLine="160"/>
        <w:spacing w:after="0" w:line="305" w:lineRule="auto"/>
        <w:tabs>
          <w:tab w:leader="none" w:pos="5155" w:val="left"/>
        </w:tabs>
        <w:numPr>
          <w:ilvl w:val="0"/>
          <w:numId w:val="376"/>
        </w:numPr>
        <w:rPr>
          <w:rFonts w:ascii="Arial" w:cs="Arial" w:eastAsia="Arial" w:hAnsi="Arial"/>
          <w:sz w:val="15"/>
          <w:szCs w:val="15"/>
          <w:color w:val="auto"/>
        </w:rPr>
      </w:pPr>
      <w:r>
        <w:rPr>
          <w:rFonts w:ascii="Arial" w:cs="Arial" w:eastAsia="Arial" w:hAnsi="Arial"/>
          <w:sz w:val="15"/>
          <w:szCs w:val="15"/>
          <w:color w:val="auto"/>
        </w:rPr>
        <w:t>Livingston Avenue St. Paul, Minnesota 55107</w:t>
      </w:r>
    </w:p>
    <w:p>
      <w:pPr>
        <w:jc w:val="center"/>
        <w:spacing w:after="0"/>
        <w:rPr>
          <w:sz w:val="20"/>
          <w:szCs w:val="20"/>
          <w:color w:val="auto"/>
        </w:rPr>
      </w:pPr>
      <w:r>
        <w:rPr>
          <w:rFonts w:ascii="Arial" w:cs="Arial" w:eastAsia="Arial" w:hAnsi="Arial"/>
          <w:sz w:val="18"/>
          <w:szCs w:val="18"/>
          <w:color w:val="auto"/>
        </w:rPr>
        <w:t>Attention: Specialized Finance Dept.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Facsimile Transmission: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651-495-8158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Confirm by Telephone: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800-934-6802</w:t>
      </w:r>
    </w:p>
    <w:p>
      <w:pPr>
        <w:spacing w:after="0" w:line="152" w:lineRule="exact"/>
        <w:rPr>
          <w:sz w:val="20"/>
          <w:szCs w:val="20"/>
          <w:color w:val="auto"/>
        </w:rPr>
      </w:pPr>
    </w:p>
    <w:p>
      <w:pPr>
        <w:ind w:right="1360" w:firstLine="456"/>
        <w:spacing w:after="0" w:line="339" w:lineRule="auto"/>
        <w:rPr>
          <w:sz w:val="20"/>
          <w:szCs w:val="20"/>
          <w:color w:val="auto"/>
        </w:rPr>
      </w:pPr>
      <w:r>
        <w:rPr>
          <w:rFonts w:ascii="Arial" w:cs="Arial" w:eastAsia="Arial" w:hAnsi="Arial"/>
          <w:sz w:val="16"/>
          <w:szCs w:val="16"/>
          <w:b w:val="1"/>
          <w:bCs w:val="1"/>
          <w:color w:val="auto"/>
        </w:rPr>
        <w:t>DELIVERY OF THIS INSTRUMENT TO AN ADDRESS OTHER THAN AS SET FORTH ABOVE, OR TRANSMISSION OF INSTRUCTIONS VIA FACSIMILE OTHER THAN AS SET FORTH ABOVE, WILL NOT CONSTITUTE A VALID DELIVERY.</w:t>
      </w:r>
    </w:p>
    <w:p>
      <w:pPr>
        <w:spacing w:after="0" w:line="6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The undersigned acknowledges that he or she has received the Prospectus, dated , 2005 (the “Prospectus”), of Wynn Las Vegas, LLC, a Nevada limited liability company, and Wynn Las Vegas Capital Corp., a Nevada corporation (together, the “Issuers”), and this Letter of Transmittal (the “Letter”), which together constitute the Issuers’ offer (the “Exchange Offer”) to exchange an aggregate principal amount of up to $1,300,000,000 of the Issuers’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“New Notes”) that have been registered under the Securities Act of 1933, as amended (the “Securities Act”), for a like principal amount of the Issuers’ issued and outstanding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(the “Old Notes”) from the registered holders thereof (the “Holders”).</w:t>
      </w:r>
    </w:p>
    <w:p>
      <w:pPr>
        <w:spacing w:after="0" w:line="3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each Old Note accepted for exchange, the Holder of such Old Note will receive a New Note having a principal amount equal to that of the surrendered Old Note. The New Notes will bear interest from the most recent date to which interest has been paid on the Old Notes or, if no interest has been paid on the Old Notes, from December 14, 2004. Accordingly, registered Holders of New Notes on the relevant record date for the first interest payment date following the consummation of the Exchange Offer will receive interest accruing from the most recent date to which interest has been paid or, if no interest has been paid, from December 14, 2004. Old</w:t>
      </w:r>
    </w:p>
    <w:p>
      <w:pPr>
        <w:sectPr>
          <w:pgSz w:w="11900" w:h="16838" w:orient="portrait"/>
          <w:cols w:equalWidth="0" w:num="1">
            <w:col w:w="11420"/>
          </w:cols>
          <w:pgMar w:left="240" w:top="125" w:right="239" w:bottom="1440" w:gutter="0" w:footer="0" w:header="0"/>
          <w:type w:val="continuous"/>
        </w:sectPr>
      </w:pPr>
    </w:p>
    <w:bookmarkStart w:id="452" w:name="page453"/>
    <w:bookmarkEnd w:id="45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Notes accepted for exchange will cease to accrue interest from and after the date of consummation of the Exchange Offer. Holders of Old Notes whose Old Notes are accepted for exchange will not receive any payment in respect of accrued interest on such Old Notes otherwise payable on any interest payment date the record date for which occurs on or after consummation of the Exchange Offer.</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Letter is to be completed by a holder of Old Notes either if certificates are to be forwarded herewith or if a tender of certificates for Old Notes, if available, is to be made by book-entry transfer to the account maintained by the Exchange Agent at The Depository Trust Company (the “Book-Entry Transfer Facility”) pursuant to the procedures set forth in “The Exchange Offer—Book-Entry Transfer” section of the Prospectus and an Agent’s Message is not delivered. Tenders by book-entry transfer may also be made by delivering an Agent’s Message in lieu of this Letter. The term “Agent’s Message” means a message, transmitted by the Book-Entry Transfer Facility to, and received by, the Exchange Agent and forming a part of a Book-Entry Confirmation (as defined below), which states that the Book-Entry Transfer Facility has received an express acknowledgment from the tendering participant, which acknowledgment states that such participant has received and agrees to be bound by this Letter and that the Issuers may enforce this Letter against such participant. Holders of Old Notes whose certificates are not immediately available, or who are unable to deliver their certificates or confirmation of the book-entry tender of their Old Notes into the Exchange Agent’s account at the Book-Entry Transfer Facility (a “Book-Entry Confirmation”) and all other documents required by this Letter to the Exchange Agent on or prior to the Expiration Date, must tender their Old Notes according to the guaranteed delivery procedures set forth in “The Exchange Offer— Guaranteed Delivery Procedures” section of the Prospectus. See Instruction 1.</w:t>
      </w:r>
    </w:p>
    <w:p>
      <w:pPr>
        <w:spacing w:after="0" w:line="108" w:lineRule="exact"/>
        <w:rPr>
          <w:sz w:val="20"/>
          <w:szCs w:val="20"/>
          <w:color w:val="auto"/>
        </w:rPr>
      </w:pPr>
    </w:p>
    <w:p>
      <w:pPr>
        <w:ind w:right="920" w:firstLine="456"/>
        <w:spacing w:after="0" w:line="275" w:lineRule="auto"/>
        <w:rPr>
          <w:sz w:val="20"/>
          <w:szCs w:val="20"/>
          <w:color w:val="auto"/>
        </w:rPr>
      </w:pPr>
      <w:r>
        <w:rPr>
          <w:rFonts w:ascii="Arial" w:cs="Arial" w:eastAsia="Arial" w:hAnsi="Arial"/>
          <w:sz w:val="18"/>
          <w:szCs w:val="18"/>
          <w:b w:val="1"/>
          <w:bCs w:val="1"/>
          <w:color w:val="auto"/>
        </w:rPr>
        <w:t>DELIVERY OF DOCUMENTS TO THE BOOK-ENTRY TRANSFER FACILITY DOES NOT CONSTITUTE DELIVERY TO THE EXCHANGE AGENT.</w:t>
      </w:r>
    </w:p>
    <w:p>
      <w:pPr>
        <w:spacing w:after="0" w:line="11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undersigned has completed the appropriate boxes below and signed this Letter to indicate the action the undersigned desires to take with respect to the Exchange Offer.</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List below the Old Notes to which this Letter relates. If the space provided below is inadequate, the certificate numbers and principal amount of Old Notes should be listed on a separate signed schedule affixed hereto.</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6980" w:type="dxa"/>
            <w:vAlign w:val="bottom"/>
            <w:tcBorders>
              <w:top w:val="single" w:sz="8" w:color="auto"/>
              <w:left w:val="single" w:sz="8" w:color="auto"/>
              <w:bottom w:val="single" w:sz="8" w:color="auto"/>
              <w:right w:val="single" w:sz="8" w:color="auto"/>
            </w:tcBorders>
          </w:tcPr>
          <w:p>
            <w:pPr>
              <w:jc w:val="center"/>
              <w:ind w:left="46"/>
              <w:spacing w:after="0"/>
              <w:rPr>
                <w:sz w:val="20"/>
                <w:szCs w:val="20"/>
                <w:color w:val="auto"/>
              </w:rPr>
            </w:pPr>
            <w:r>
              <w:rPr>
                <w:rFonts w:ascii="Arial" w:cs="Arial" w:eastAsia="Arial" w:hAnsi="Arial"/>
                <w:sz w:val="18"/>
                <w:szCs w:val="18"/>
                <w:b w:val="1"/>
                <w:bCs w:val="1"/>
                <w:color w:val="auto"/>
                <w:w w:val="98"/>
              </w:rPr>
              <w:t>DESCRIPTION OF OLD NOTES</w:t>
            </w: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r>
      <w:tr>
        <w:trPr>
          <w:trHeight w:val="113"/>
        </w:trPr>
        <w:tc>
          <w:tcPr>
            <w:tcW w:w="6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4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rPr>
              <w:t>Aggregate</w:t>
            </w:r>
          </w:p>
        </w:tc>
        <w:tc>
          <w:tcPr>
            <w:tcW w:w="1460" w:type="dxa"/>
            <w:vAlign w:val="bottom"/>
          </w:tcPr>
          <w:p>
            <w:pPr>
              <w:spacing w:after="0"/>
              <w:rPr>
                <w:sz w:val="9"/>
                <w:szCs w:val="9"/>
                <w:color w:val="auto"/>
              </w:rPr>
            </w:pPr>
          </w:p>
        </w:tc>
      </w:tr>
      <w:tr>
        <w:trPr>
          <w:trHeight w:val="149"/>
        </w:trPr>
        <w:tc>
          <w:tcPr>
            <w:tcW w:w="6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r>
      <w:tr>
        <w:trPr>
          <w:trHeight w:val="149"/>
        </w:trPr>
        <w:tc>
          <w:tcPr>
            <w:tcW w:w="6980" w:type="dxa"/>
            <w:vAlign w:val="bottom"/>
          </w:tcPr>
          <w:p>
            <w:pPr>
              <w:jc w:val="center"/>
              <w:ind w:left="46"/>
              <w:spacing w:after="0" w:line="149" w:lineRule="exact"/>
              <w:rPr>
                <w:sz w:val="20"/>
                <w:szCs w:val="20"/>
                <w:color w:val="auto"/>
              </w:rPr>
            </w:pPr>
            <w:r>
              <w:rPr>
                <w:rFonts w:ascii="Arial" w:cs="Arial" w:eastAsia="Arial" w:hAnsi="Arial"/>
                <w:sz w:val="14"/>
                <w:szCs w:val="14"/>
                <w:b w:val="1"/>
                <w:bCs w:val="1"/>
                <w:color w:val="auto"/>
                <w:w w:val="86"/>
              </w:rPr>
              <w:t>Name(s) and Address(es) of Registered Holder(s)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Certificate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r>
      <w:tr>
        <w:trPr>
          <w:trHeight w:val="174"/>
        </w:trPr>
        <w:tc>
          <w:tcPr>
            <w:tcW w:w="6980" w:type="dxa"/>
            <w:vAlign w:val="bottom"/>
          </w:tcPr>
          <w:p>
            <w:pPr>
              <w:jc w:val="center"/>
              <w:ind w:left="46"/>
              <w:spacing w:after="0"/>
              <w:rPr>
                <w:sz w:val="20"/>
                <w:szCs w:val="20"/>
                <w:color w:val="auto"/>
              </w:rPr>
            </w:pPr>
            <w:r>
              <w:rPr>
                <w:rFonts w:ascii="Arial" w:cs="Arial" w:eastAsia="Arial" w:hAnsi="Arial"/>
                <w:sz w:val="14"/>
                <w:szCs w:val="14"/>
                <w:b w:val="1"/>
                <w:bCs w:val="1"/>
                <w:color w:val="auto"/>
                <w:w w:val="88"/>
              </w:rPr>
              <w:t>(Please fill in, if blank)</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Number(s)*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Old Note(s)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Tendered**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246620" cy="15690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46620" cy="15690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Total</w:t>
      </w:r>
    </w:p>
    <w:p>
      <w:pPr>
        <w:spacing w:after="0" w:line="29" w:lineRule="exact"/>
        <w:rPr>
          <w:sz w:val="20"/>
          <w:szCs w:val="20"/>
          <w:color w:val="auto"/>
        </w:rPr>
      </w:pPr>
    </w:p>
    <w:p>
      <w:pPr>
        <w:ind w:left="740" w:hanging="307"/>
        <w:spacing w:after="0"/>
        <w:tabs>
          <w:tab w:leader="none" w:pos="7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Need not be completed if Old Notes are being tendered by book-entry transfer.</w:t>
      </w:r>
    </w:p>
    <w:p>
      <w:pPr>
        <w:spacing w:after="0" w:line="15" w:lineRule="exact"/>
        <w:rPr>
          <w:sz w:val="20"/>
          <w:szCs w:val="20"/>
          <w:color w:val="auto"/>
        </w:rPr>
      </w:pPr>
    </w:p>
    <w:p>
      <w:pPr>
        <w:ind w:left="780" w:right="200" w:hanging="434"/>
        <w:spacing w:after="0" w:line="255" w:lineRule="auto"/>
        <w:tabs>
          <w:tab w:leader="none" w:pos="74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Unless otherwise indicated in this column, a holder will be deemed to have tendered ALL of the Old Notes represented by the Old Notes indicated in column 2. See Instruction 2. Old Notes tendered hereby must be in denominations of principal amount of $1,000 and any integral multiple thereof. See Instruction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9" w:right="239" w:bottom="1440" w:gutter="0" w:footer="0" w:header="0"/>
        </w:sectPr>
      </w:pPr>
    </w:p>
    <w:bookmarkStart w:id="453" w:name="page454"/>
    <w:bookmarkEnd w:id="453"/>
    <w:p>
      <w:pPr>
        <w:ind w:left="460" w:right="180" w:hanging="452"/>
        <w:spacing w:after="0" w:line="349" w:lineRule="auto"/>
        <w:tabs>
          <w:tab w:leader="none" w:pos="460" w:val="left"/>
        </w:tabs>
        <w:numPr>
          <w:ilvl w:val="0"/>
          <w:numId w:val="379"/>
        </w:numPr>
        <w:rPr>
          <w:rFonts w:ascii="MS PGothic" w:cs="MS PGothic" w:eastAsia="MS PGothic" w:hAnsi="MS PGothic"/>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CHECK HERE IF TENDERED OLD NOTES ARE BEING DELIVERED BY BOOK-ENTRY TRANSFER MADE TO THE ACCOUNT MAINTAINED BY THE EXCHANGE AGENT WITH THE BOOK-ENTRY TRANSFER FACILITY AND COMPLETE THE FOLLOWING: </w:t>
      </w: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-83185</wp:posOffset>
            </wp:positionV>
            <wp:extent cx="420878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28"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8"/>
          <w:szCs w:val="18"/>
          <w:color w:val="auto"/>
        </w:rPr>
        <w:t>Account Number</w:t>
      </w:r>
      <w:r>
        <w:rPr>
          <w:sz w:val="20"/>
          <w:szCs w:val="20"/>
          <w:color w:val="auto"/>
        </w:rPr>
        <w:tab/>
      </w:r>
      <w:r>
        <w:rPr>
          <w:rFonts w:ascii="Arial" w:cs="Arial" w:eastAsia="Arial" w:hAnsi="Arial"/>
          <w:sz w:val="15"/>
          <w:szCs w:val="15"/>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-13970</wp:posOffset>
            </wp:positionV>
            <wp:extent cx="169989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699895" cy="8890"/>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-13970</wp:posOffset>
            </wp:positionV>
            <wp:extent cx="169989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13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By crediting the Old Notes to the Exchange Agent’s account at the Book-Entry Transfer Facility’s Automated Tender Offer Program (“ATOP”) and by complying with applicable ATOP procedures with respect to the Exchange Offer, including transmitting to the Exchange Agent a computer-generated Agent’s Message in which the holder of the Old Notes acknowledges and agrees to be bound by the terms of, and makes the representations and warranties contained in, this Letter, the participant in the Book-Entry Transfer Facility confirms on behalf of itself and the beneficial owners of such Old Notes all provisions of this Letter (including all representations and warranties) applicable to it and such beneficial owner as fully as if it had completed the information required herein and executed and transmitted this Letter to the Exchange Agent.</w:t>
      </w:r>
    </w:p>
    <w:p>
      <w:pPr>
        <w:spacing w:after="0" w:line="125" w:lineRule="exact"/>
        <w:rPr>
          <w:sz w:val="20"/>
          <w:szCs w:val="20"/>
          <w:color w:val="auto"/>
        </w:rPr>
      </w:pPr>
    </w:p>
    <w:p>
      <w:pPr>
        <w:ind w:left="460" w:right="600" w:hanging="452"/>
        <w:spacing w:after="0" w:line="275" w:lineRule="auto"/>
        <w:tabs>
          <w:tab w:leader="none" w:pos="460" w:val="left"/>
        </w:tabs>
        <w:numPr>
          <w:ilvl w:val="0"/>
          <w:numId w:val="380"/>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TENDERED OLD NOTES ARE BEING DELIVERED PURSUANT TO A NOTICE OF GUARANTEED DELIVERY PREVIOUSLY SENT TO THE EXCHANGE AGENT AND COMPLETE THE FOLLOWING:</w:t>
      </w:r>
    </w:p>
    <w:p>
      <w:pPr>
        <w:spacing w:after="0" w:line="112" w:lineRule="exact"/>
        <w:rPr>
          <w:rFonts w:ascii="MS PGothic" w:cs="MS PGothic" w:eastAsia="MS PGothic" w:hAnsi="MS PGothic"/>
          <w:sz w:val="18"/>
          <w:szCs w:val="18"/>
          <w:color w:val="auto"/>
        </w:rPr>
      </w:pPr>
    </w:p>
    <w:p>
      <w:pPr>
        <w:jc w:val="both"/>
        <w:ind w:left="460" w:right="8620"/>
        <w:spacing w:after="0" w:line="475" w:lineRule="auto"/>
        <w:rPr>
          <w:rFonts w:ascii="MS PGothic" w:cs="MS PGothic" w:eastAsia="MS PGothic" w:hAnsi="MS PGothic"/>
          <w:sz w:val="18"/>
          <w:szCs w:val="18"/>
          <w:color w:val="auto"/>
        </w:rPr>
      </w:pPr>
      <w:r>
        <w:rPr>
          <w:rFonts w:ascii="Arial" w:cs="Arial" w:eastAsia="Arial" w:hAnsi="Arial"/>
          <w:sz w:val="16"/>
          <w:szCs w:val="16"/>
          <w:color w:val="auto"/>
        </w:rPr>
        <w:t>Name(s) of Registered Holder(s) Window Ticket Number (if any)</w:t>
      </w:r>
    </w:p>
    <w:p>
      <w:pPr>
        <w:spacing w:after="0" w:line="1"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Date of Execution of 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-476885</wp:posOffset>
            </wp:positionV>
            <wp:extent cx="412496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12496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-245745</wp:posOffset>
            </wp:positionV>
            <wp:extent cx="409702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4097020" cy="8890"/>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-13970</wp:posOffset>
            </wp:positionV>
            <wp:extent cx="30099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Institution Which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2480310</wp:posOffset>
            </wp:positionH>
            <wp:positionV relativeFrom="paragraph">
              <wp:posOffset>-13970</wp:posOffset>
            </wp:positionV>
            <wp:extent cx="323278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Delivered by Book-Entry Transfer, Complete the Following:</w:t>
      </w:r>
    </w:p>
    <w:p>
      <w:pPr>
        <w:spacing w:after="0" w:line="164"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8"/>
          <w:szCs w:val="18"/>
          <w:color w:val="auto"/>
        </w:rPr>
        <w:t>Account Number</w:t>
      </w:r>
      <w:r>
        <w:rPr>
          <w:sz w:val="20"/>
          <w:szCs w:val="20"/>
          <w:color w:val="auto"/>
        </w:rPr>
        <w:tab/>
      </w:r>
      <w:r>
        <w:rPr>
          <w:rFonts w:ascii="Arial" w:cs="Arial" w:eastAsia="Arial" w:hAnsi="Arial"/>
          <w:sz w:val="15"/>
          <w:szCs w:val="15"/>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-13970</wp:posOffset>
            </wp:positionV>
            <wp:extent cx="169989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699895" cy="8890"/>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-13970</wp:posOffset>
            </wp:positionV>
            <wp:extent cx="169989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132" w:lineRule="exact"/>
        <w:rPr>
          <w:sz w:val="20"/>
          <w:szCs w:val="20"/>
          <w:color w:val="auto"/>
        </w:rPr>
      </w:pPr>
    </w:p>
    <w:p>
      <w:pPr>
        <w:ind w:left="460" w:right="180" w:hanging="452"/>
        <w:spacing w:after="0" w:line="275" w:lineRule="auto"/>
        <w:tabs>
          <w:tab w:leader="none" w:pos="460" w:val="left"/>
        </w:tabs>
        <w:numPr>
          <w:ilvl w:val="0"/>
          <w:numId w:val="381"/>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YOU ARE A BROKER-DEALER AND WISH TO RECEIVE 10 ADDITIONAL COPIES OF THE PROSPECTUS AND 10 COPIES OF ANY AMENDMENTS OR SUPPLEMENTS THERETO.</w:t>
      </w:r>
    </w:p>
    <w:p>
      <w:pPr>
        <w:spacing w:after="0" w:line="112"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Name:</w:t>
      </w:r>
    </w:p>
    <w:p>
      <w:pPr>
        <w:spacing w:after="0" w:line="157"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-245745</wp:posOffset>
            </wp:positionV>
            <wp:extent cx="551878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518785" cy="8890"/>
                    </a:xfrm>
                    <a:prstGeom prst="rect">
                      <a:avLst/>
                    </a:prstGeom>
                    <a:noFill/>
                  </pic:spPr>
                </pic:pic>
              </a:graphicData>
            </a:graphic>
          </wp:anchor>
        </w:drawing>
        <w:drawing>
          <wp:anchor simplePos="0" relativeHeight="251657728" behindDoc="1" locked="0" layoutInCell="0" allowOverlap="1">
            <wp:simplePos x="0" y="0"/>
            <wp:positionH relativeFrom="column">
              <wp:posOffset>718820</wp:posOffset>
            </wp:positionH>
            <wp:positionV relativeFrom="paragraph">
              <wp:posOffset>-13970</wp:posOffset>
            </wp:positionV>
            <wp:extent cx="537908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37908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217170</wp:posOffset>
            </wp:positionV>
            <wp:extent cx="593661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9366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the undersigned is not a broker-dealer, the undersigned represents that it acquired the New Notes in the ordinary course of its business, it is not engaged in, and does not intend to engage in, a distribution of the New Notes and it has no arrangements or understandings with any person to participate in a distribution of the New Notes. If the undersigned is a broker-dealer that will receive the New Notes for its own account in exchange for the Old Notes, it represents that the Old Notes to be exchanged for the New Notes were acquired by it as a result of market-making activities or other trading activities and acknowledges that it will deliver a prospectus in connection with any resale of such New Notes; however, by so acknowledging and by delivering a prospectus, the undersigned will not be deemed to admit that it is an “underwriter” within the meaning of the Securities Act.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54" w:name="page455"/>
    <w:bookmarkEnd w:id="4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READ THE ACCOMPANYING INSTRUCTIONS CAREFULLY</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Upon the terms and subject to the conditions of the Exchange Offer, the undersigned hereby tenders to the Issuers the aggregate principal amount of Old Notes indicated above. Subject to, and effective upon, the acceptance for exchange of the Old Notes tendered hereby, the undersigned hereby sells, assigns and transfers to, or upon the order of, the Issuers all right, title and interest in and to such Old Notes as are being tendered hereby.</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The undersigned hereby irrevocably constitutes and appoints the Exchange Agent as the undersigned’s true and lawful agent and attorney-in-fact with respect to such tendered Old Notes, with full power of substitution, among other things, to cause the Old Notes to be assigned, transferred and exchanged. The undersigned hereby represents and warrants that the undersigned has full power and authority to tender, sell, assign and transfer the Old Notes, and to acquire New Notes issuable upon the exchange of such tendered Old Notes, and that, when the same are accepted for exchange, the Issuers will acquire good and unencumbered title thereto, free and clear of all liens, restrictions, charges and encumbrances and not subject to any adverse claim when the same are accepted by the Issuers. The undersigned hereby further represents that: (i) any New Notes received by the undersigned will be received in the ordinary course of business, (ii) the undersigned will have no arrangement or understanding with any person to participate in the distribution of the Old Notes or the New Notes within the meaning of the Securities Act, (iii) the undersigned is not an “affiliate” (as such term is defined in Rule 501(b) of Regulation D of the Securities Act) of the Issuers or the guarantors, or if the undersigned is an affiliate, then the undersigned will comply with the registration and prospectus delivery requirements of the Securities Act to the extent applicable, (iv) if the undersigned is not a broker-dealer, then it is not engaged in, and does not intend to engage in, the distribution of the New Notes, and (v) if the undersigned is a broker-dealer, then it will receive the New Notes for its own account in exchange for the Old Notes that were acquired as a result of market-making activities or other trading activities and that it will deliver a prospectus in connection with any resale of the New Notes.</w:t>
      </w:r>
    </w:p>
    <w:p>
      <w:pPr>
        <w:spacing w:after="0" w:line="10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undersigned acknowledges that this Exchange Offer is being made in reliance on interpretations by the staff of the Securities and Exchange Commission (the “SEC”), as set forth in no-action letters issued to third parties, that the New Notes issued pursuant to the Exchange Offer in exchange for the Old Notes may be offered for resale, resold and otherwise transferred by Holders thereof (other than any such Holder that is an “affiliate” of the Issuers or the guarantors within the meaning of Rule 501(b) of Regulation D of the Securities Act), without compliance with the registration and prospectus delivery provisions of the Securities Act, provided that such New Notes are acquired in the ordinary course of such Holders’ business and such Holders have no arrangement with any person to participate in the distribution of such New Notes. However, the SEC has not considered the Exchange Offer in the context of a no-action letter and there can be no assurance that the staff of the SEC would make a similar determination with respect to the Exchange Offer as in other circumstances. If the undersigned is not a broker-dealer, the undersigned represents that it is not engaged in, and does not intend to engage in, a distribution of New Notes and has no arrangement or understanding to participate in a distribution of New Notes. If any Holder is an affiliate of the Issuers, is engaged in or intends to engage in or has any arrangement or understanding with respect to the distribution of the New Notes to be acquired pursuant to the Exchange Offer, such Holder (i) could not rely on the applicable interpretations of the staff of the SEC and (ii) must comply with the registration and prospectus delivery requirements of the Securities Act in connection with any resale transaction. If the undersigned is a broker-dealer that will receive New Notes for its own account in exchange for Old Notes, it represents that the Old Notes to be exchanged for the New Notes were acquired by it as a result of market-making activities or other trading activities and acknowledges that it will deliver a prospectus meeting the requirements of the Securities Act in connection with any resale of such New Notes; however, by so acknowledging and by delivering a prospectus, the undersigned will not be deemed to admit that it is an “underwriter” within the meaning of the Securities Act.</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undersigned will, upon request, execute and deliver any additional documents deemed by the Issuers to be necessary or desirable to complete the sale, assignment and transfer of the Old Notes tendered hereby.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55" w:name="page456"/>
    <w:bookmarkEnd w:id="45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authority conferred or agreed to be conferred in this Letter and every obligation of the undersigned hereunder shall be binding upon the successors, assigns, heirs, executors, administrators, trustees in bankruptcy and legal representatives of the undersigned and shall not be affected by, and shall survive, the death or incapacity of the undersigned. This tender may be withdrawn only in accordance with the procedures set forth in “The Exchange Offer—Withdrawal Rights” section of the Prospectus.</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Unless otherwise indicated herein in the box entitled “Special Issuance Instructions” below, please deliver the New Notes (and, if applicable, substitute certificates representing Old Notes for any Old Notes not exchanged) in the name of the undersigned or, in the case of a book-entry delivery of Old Notes, please credit the account indicated above maintained at the Book-Entry Transfer Facility. Similarly, unless otherwise indicated under the box entitled “Special Delivery Instructions” below, please send the New Notes (and, if applicable, substitute certificates representing Old Notes for any Old Notes not exchanged) to the undersigned at the address shown above in the box entitled “Description of Old Notes.”</w:t>
      </w:r>
    </w:p>
    <w:p>
      <w:pPr>
        <w:spacing w:after="0" w:line="96"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b w:val="1"/>
          <w:bCs w:val="1"/>
          <w:color w:val="auto"/>
        </w:rPr>
        <w:t>THE UNDERSIGNED, BY COMPLETING THE BOX ENTITLED “DESCRIPTION OF OLD NOTES” ABOVE AND SIGNING THIS LETTER, WILL BE DEEMED TO HAVE TENDERED THE OLD NOTES AS SET FORTH IN SUCH BOX ABOVE.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9" w:right="299" w:bottom="1440" w:gutter="0" w:footer="0" w:header="0"/>
        </w:sectPr>
      </w:pPr>
    </w:p>
    <w:bookmarkStart w:id="456" w:name="page457"/>
    <w:bookmarkEnd w:id="456"/>
    <w:p>
      <w:pPr>
        <w:jc w:val="center"/>
        <w:ind w:left="20"/>
        <w:spacing w:after="0"/>
        <w:rPr>
          <w:sz w:val="20"/>
          <w:szCs w:val="20"/>
          <w:color w:val="auto"/>
        </w:rPr>
      </w:pPr>
      <w:r>
        <w:rPr>
          <w:rFonts w:ascii="Arial" w:cs="Arial" w:eastAsia="Arial" w:hAnsi="Arial"/>
          <w:sz w:val="18"/>
          <w:szCs w:val="18"/>
          <w:b w:val="1"/>
          <w:bCs w:val="1"/>
          <w:color w:val="auto"/>
        </w:rPr>
        <w:t>SPECIAL ISSUANCE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-130175</wp:posOffset>
            </wp:positionV>
            <wp:extent cx="3267075" cy="36874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267075" cy="3687445"/>
                    </a:xfrm>
                    <a:prstGeom prst="rect">
                      <a:avLst/>
                    </a:prstGeom>
                    <a:noFill/>
                  </pic:spPr>
                </pic:pic>
              </a:graphicData>
            </a:graphic>
          </wp:anchor>
        </w:drawing>
      </w:r>
    </w:p>
    <w:p>
      <w:pPr>
        <w:spacing w:after="0" w:line="1"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(See Instructions 3 and 4)</w:t>
      </w:r>
    </w:p>
    <w:p>
      <w:pPr>
        <w:spacing w:after="0" w:line="1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To be completed ONLY if certificates for Old Notes not exchanged and/or New Notes are to be issued in the name of and sent to someone other than the person or persons whose signature(s) appear(s) on this Letter below, or if Old Notes delivered by book-entry transfer which are not accepted for exchange are to be returned by credit to an account maintained at the Book-Entry Transfer Facility other than the account indicated above.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Issue New Notes and/or Old Notes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(Please Type or Print)</w:t>
      </w:r>
    </w:p>
    <w:p>
      <w:pPr>
        <w:spacing w:after="0" w:line="341"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(Please Type or Print)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369"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(Zip Code)</w:t>
      </w:r>
    </w:p>
    <w:p>
      <w:pPr>
        <w:spacing w:after="0" w:line="136"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(Complete Substitute Form W-9)</w:t>
      </w:r>
    </w:p>
    <w:p>
      <w:pPr>
        <w:spacing w:after="0" w:line="141" w:lineRule="exact"/>
        <w:rPr>
          <w:sz w:val="20"/>
          <w:szCs w:val="20"/>
          <w:color w:val="auto"/>
        </w:rPr>
      </w:pPr>
    </w:p>
    <w:p>
      <w:pPr>
        <w:ind w:left="440" w:hanging="430"/>
        <w:spacing w:after="0" w:line="370" w:lineRule="auto"/>
        <w:tabs>
          <w:tab w:leader="none" w:pos="521" w:val="left"/>
        </w:tabs>
        <w:numPr>
          <w:ilvl w:val="0"/>
          <w:numId w:val="382"/>
        </w:numPr>
        <w:rPr>
          <w:rFonts w:ascii="MS PGothic" w:cs="MS PGothic" w:eastAsia="MS PGothic" w:hAnsi="MS PGothic"/>
          <w:sz w:val="15"/>
          <w:szCs w:val="15"/>
          <w:color w:val="auto"/>
        </w:rPr>
      </w:pPr>
      <w:r>
        <w:rPr>
          <w:rFonts w:ascii="Arial" w:cs="Arial" w:eastAsia="Arial" w:hAnsi="Arial"/>
          <w:sz w:val="15"/>
          <w:szCs w:val="15"/>
          <w:color w:val="auto"/>
        </w:rPr>
        <w:t>Credit unexchanged Old Notes delivered by book-entry transfer to the Book-Entry Transfer Facility account set forth below.</w:t>
      </w:r>
    </w:p>
    <w:p>
      <w:pPr>
        <w:spacing w:after="0" w:line="261"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Book-Entry Transfer Facility</w:t>
      </w:r>
    </w:p>
    <w:p>
      <w:pPr>
        <w:spacing w:after="0" w:line="1"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Account Number, if applicable)</w:t>
      </w:r>
    </w:p>
    <w:p>
      <w:pPr>
        <w:spacing w:after="0" w:line="20" w:lineRule="exact"/>
        <w:rPr>
          <w:sz w:val="20"/>
          <w:szCs w:val="20"/>
          <w:color w:val="auto"/>
        </w:rPr>
      </w:pPr>
      <w:r>
        <w:rPr>
          <w:sz w:val="20"/>
          <w:szCs w:val="20"/>
          <w:color w:val="auto"/>
        </w:rPr>
        <w:br w:type="column"/>
      </w:r>
    </w:p>
    <w:p>
      <w:pPr>
        <w:jc w:val="center"/>
        <w:ind w:left="-259"/>
        <w:spacing w:after="0"/>
        <w:rPr>
          <w:sz w:val="20"/>
          <w:szCs w:val="20"/>
          <w:color w:val="auto"/>
        </w:rPr>
      </w:pPr>
      <w:r>
        <w:rPr>
          <w:rFonts w:ascii="Arial" w:cs="Arial" w:eastAsia="Arial" w:hAnsi="Arial"/>
          <w:sz w:val="18"/>
          <w:szCs w:val="18"/>
          <w:b w:val="1"/>
          <w:bCs w:val="1"/>
          <w:color w:val="auto"/>
        </w:rPr>
        <w:t>SPECIAL ISSUANCE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-224155</wp:posOffset>
            </wp:positionV>
            <wp:extent cx="7267575" cy="378206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7575" cy="3782060"/>
                    </a:xfrm>
                    <a:prstGeom prst="rect">
                      <a:avLst/>
                    </a:prstGeom>
                    <a:noFill/>
                  </pic:spPr>
                </pic:pic>
              </a:graphicData>
            </a:graphic>
          </wp:anchor>
        </w:drawing>
      </w:r>
    </w:p>
    <w:p>
      <w:pPr>
        <w:spacing w:after="0" w:line="1" w:lineRule="exact"/>
        <w:rPr>
          <w:sz w:val="20"/>
          <w:szCs w:val="20"/>
          <w:color w:val="auto"/>
        </w:rPr>
      </w:pPr>
    </w:p>
    <w:p>
      <w:pPr>
        <w:jc w:val="center"/>
        <w:ind w:left="-259"/>
        <w:spacing w:after="0"/>
        <w:rPr>
          <w:sz w:val="20"/>
          <w:szCs w:val="20"/>
          <w:color w:val="auto"/>
        </w:rPr>
      </w:pPr>
      <w:r>
        <w:rPr>
          <w:rFonts w:ascii="Arial" w:cs="Arial" w:eastAsia="Arial" w:hAnsi="Arial"/>
          <w:sz w:val="18"/>
          <w:szCs w:val="18"/>
          <w:b w:val="1"/>
          <w:bCs w:val="1"/>
          <w:color w:val="auto"/>
        </w:rPr>
        <w:t>(See Instructions 3 and 4)</w:t>
      </w:r>
    </w:p>
    <w:p>
      <w:pPr>
        <w:spacing w:after="0" w:line="16" w:lineRule="exact"/>
        <w:rPr>
          <w:sz w:val="20"/>
          <w:szCs w:val="20"/>
          <w:color w:val="auto"/>
        </w:rPr>
      </w:pPr>
    </w:p>
    <w:p>
      <w:pPr>
        <w:ind w:left="600" w:firstLine="432"/>
        <w:spacing w:after="0" w:line="294" w:lineRule="auto"/>
        <w:rPr>
          <w:sz w:val="20"/>
          <w:szCs w:val="20"/>
          <w:color w:val="auto"/>
        </w:rPr>
      </w:pPr>
      <w:r>
        <w:rPr>
          <w:rFonts w:ascii="Arial" w:cs="Arial" w:eastAsia="Arial" w:hAnsi="Arial"/>
          <w:sz w:val="16"/>
          <w:szCs w:val="16"/>
          <w:color w:val="auto"/>
        </w:rPr>
        <w:t>To be completed ONLY if certificates for Old Notes not exchanged and/or New Notes are to be sent to someone other than the person or persons whose signature(s) appear(s) on this Letter below or to such person or persons at an address other than shown in the box entitled “Description of Old Notes” on this Letter above.</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Mail New Notes and/or Old Notes to:</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(Please Type or Print)</w:t>
      </w:r>
    </w:p>
    <w:p>
      <w:pPr>
        <w:spacing w:after="0" w:line="341"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(Please Type or Print)</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Address</w:t>
      </w:r>
    </w:p>
    <w:p>
      <w:pPr>
        <w:spacing w:after="0" w:line="369"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5000" w:space="560"/>
            <w:col w:w="5560"/>
          </w:cols>
          <w:pgMar w:left="360" w:top="287" w:right="419" w:bottom="1440" w:gutter="0" w:footer="0" w:header="0"/>
        </w:sectPr>
      </w:pPr>
    </w:p>
    <w:bookmarkStart w:id="457" w:name="page458"/>
    <w:bookmarkEnd w:id="457"/>
    <w:p>
      <w:pPr>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IMPORTANT: THIS LETTER OR A FACSIMILE HEREOF OR AN AGENT’S MESSAGE IN LIEU THEREOF (TOGETHER WITH THE CERTIFICATES FOR OLD NOTES OR A BOOK-ENTRY CONFIRMATION AND ALL OTHER REQUIRED DOCUMENTS OR THE NOTICE OF GUARANTEED DELIVERY) MUST BE RECEIVED BY THE EXCHANGE AGENT PRIOR TO 5:00 P.M., NEW YORK CITY TIME, ON THE EXPIRATION DATE.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READ THIS ENTIRE LETTER OF TRANSMITTAL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CAREFULLY BEFORE COMPLETING ANY BOX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515429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46620" cy="5154295"/>
                    </a:xfrm>
                    <a:prstGeom prst="rect">
                      <a:avLst/>
                    </a:prstGeom>
                    <a:noFill/>
                  </pic:spPr>
                </pic:pic>
              </a:graphicData>
            </a:graphic>
          </wp:anchor>
        </w:drawing>
      </w:r>
    </w:p>
    <w:p>
      <w:pPr>
        <w:spacing w:after="0" w:line="38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960" w:type="dxa"/>
            <w:vAlign w:val="bottom"/>
            <w:gridSpan w:val="4"/>
          </w:tcPr>
          <w:p>
            <w:pPr>
              <w:jc w:val="center"/>
              <w:ind w:right="4220"/>
              <w:spacing w:after="0"/>
              <w:rPr>
                <w:sz w:val="20"/>
                <w:szCs w:val="20"/>
                <w:color w:val="auto"/>
              </w:rPr>
            </w:pPr>
            <w:r>
              <w:rPr>
                <w:rFonts w:ascii="Arial" w:cs="Arial" w:eastAsia="Arial" w:hAnsi="Arial"/>
                <w:sz w:val="18"/>
                <w:szCs w:val="18"/>
                <w:b w:val="1"/>
                <w:bCs w:val="1"/>
                <w:color w:val="auto"/>
                <w:w w:val="96"/>
              </w:rPr>
              <w:t>PLEASE SIGN HERE</w:t>
            </w:r>
          </w:p>
        </w:tc>
      </w:tr>
      <w:tr>
        <w:trPr>
          <w:trHeight w:val="216"/>
        </w:trPr>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40" w:type="dxa"/>
            <w:vAlign w:val="bottom"/>
            <w:gridSpan w:val="5"/>
          </w:tcPr>
          <w:p>
            <w:pPr>
              <w:jc w:val="center"/>
              <w:ind w:right="3220"/>
              <w:spacing w:after="0"/>
              <w:rPr>
                <w:sz w:val="20"/>
                <w:szCs w:val="20"/>
                <w:color w:val="auto"/>
              </w:rPr>
            </w:pPr>
            <w:r>
              <w:rPr>
                <w:rFonts w:ascii="Arial" w:cs="Arial" w:eastAsia="Arial" w:hAnsi="Arial"/>
                <w:sz w:val="18"/>
                <w:szCs w:val="18"/>
                <w:b w:val="1"/>
                <w:bCs w:val="1"/>
                <w:color w:val="auto"/>
                <w:w w:val="98"/>
              </w:rPr>
              <w:t>(TO BE COMPLETED BY ALL TENDERING HOLDERS)</w:t>
            </w:r>
          </w:p>
        </w:tc>
      </w:tr>
      <w:tr>
        <w:trPr>
          <w:trHeight w:val="228"/>
        </w:trPr>
        <w:tc>
          <w:tcPr>
            <w:tcW w:w="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940" w:type="dxa"/>
            <w:vAlign w:val="bottom"/>
            <w:gridSpan w:val="5"/>
          </w:tcPr>
          <w:p>
            <w:pPr>
              <w:jc w:val="center"/>
              <w:ind w:right="3240"/>
              <w:spacing w:after="0"/>
              <w:rPr>
                <w:sz w:val="20"/>
                <w:szCs w:val="20"/>
                <w:color w:val="auto"/>
              </w:rPr>
            </w:pPr>
            <w:r>
              <w:rPr>
                <w:rFonts w:ascii="Arial" w:cs="Arial" w:eastAsia="Arial" w:hAnsi="Arial"/>
                <w:sz w:val="18"/>
                <w:szCs w:val="18"/>
                <w:b w:val="1"/>
                <w:bCs w:val="1"/>
                <w:color w:val="auto"/>
                <w:w w:val="88"/>
              </w:rPr>
              <w:t>(Complete Accompanying Substitute Form W-9 Below)</w:t>
            </w:r>
          </w:p>
        </w:tc>
      </w:tr>
      <w:tr>
        <w:trPr>
          <w:trHeight w:val="434"/>
        </w:trPr>
        <w:tc>
          <w:tcPr>
            <w:tcW w:w="180" w:type="dxa"/>
            <w:vAlign w:val="bottom"/>
          </w:tcPr>
          <w:p>
            <w:pPr>
              <w:spacing w:after="0"/>
              <w:rPr>
                <w:sz w:val="20"/>
                <w:szCs w:val="20"/>
                <w:color w:val="auto"/>
              </w:rPr>
            </w:pPr>
            <w:r>
              <w:rPr>
                <w:rFonts w:ascii="Arial" w:cs="Arial" w:eastAsia="Arial" w:hAnsi="Arial"/>
                <w:sz w:val="18"/>
                <w:szCs w:val="18"/>
                <w:color w:val="auto"/>
              </w:rPr>
              <w:t>X</w:t>
            </w:r>
          </w:p>
        </w:tc>
        <w:tc>
          <w:tcPr>
            <w:tcW w:w="306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60" w:type="dxa"/>
            <w:vAlign w:val="bottom"/>
            <w:gridSpan w:val="3"/>
          </w:tcPr>
          <w:p>
            <w:pPr>
              <w:jc w:val="right"/>
              <w:spacing w:after="0"/>
              <w:rPr>
                <w:sz w:val="20"/>
                <w:szCs w:val="20"/>
                <w:color w:val="auto"/>
              </w:rPr>
            </w:pPr>
            <w:r>
              <w:rPr>
                <w:rFonts w:ascii="Arial" w:cs="Arial" w:eastAsia="Arial" w:hAnsi="Arial"/>
                <w:sz w:val="18"/>
                <w:szCs w:val="18"/>
                <w:color w:val="auto"/>
              </w:rPr>
              <w:t>, 2005</w:t>
            </w:r>
          </w:p>
        </w:tc>
      </w:tr>
      <w:tr>
        <w:trPr>
          <w:trHeight w:val="20"/>
        </w:trPr>
        <w:tc>
          <w:tcPr>
            <w:tcW w:w="1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9"/>
        </w:trPr>
        <w:tc>
          <w:tcPr>
            <w:tcW w:w="180" w:type="dxa"/>
            <w:vAlign w:val="bottom"/>
          </w:tcPr>
          <w:p>
            <w:pPr>
              <w:spacing w:after="0"/>
              <w:rPr>
                <w:sz w:val="20"/>
                <w:szCs w:val="20"/>
                <w:color w:val="auto"/>
              </w:rPr>
            </w:pPr>
            <w:r>
              <w:rPr>
                <w:rFonts w:ascii="Arial" w:cs="Arial" w:eastAsia="Arial" w:hAnsi="Arial"/>
                <w:sz w:val="18"/>
                <w:szCs w:val="18"/>
                <w:color w:val="auto"/>
              </w:rPr>
              <w:t>X</w:t>
            </w:r>
          </w:p>
        </w:tc>
        <w:tc>
          <w:tcPr>
            <w:tcW w:w="306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60" w:type="dxa"/>
            <w:vAlign w:val="bottom"/>
            <w:gridSpan w:val="3"/>
          </w:tcPr>
          <w:p>
            <w:pPr>
              <w:jc w:val="right"/>
              <w:spacing w:after="0"/>
              <w:rPr>
                <w:sz w:val="20"/>
                <w:szCs w:val="20"/>
                <w:color w:val="auto"/>
              </w:rPr>
            </w:pPr>
            <w:r>
              <w:rPr>
                <w:rFonts w:ascii="Arial" w:cs="Arial" w:eastAsia="Arial" w:hAnsi="Arial"/>
                <w:sz w:val="18"/>
                <w:szCs w:val="18"/>
                <w:color w:val="auto"/>
              </w:rPr>
              <w:t>, 2005</w:t>
            </w:r>
          </w:p>
        </w:tc>
      </w:tr>
      <w:tr>
        <w:trPr>
          <w:trHeight w:val="182"/>
        </w:trPr>
        <w:tc>
          <w:tcPr>
            <w:tcW w:w="180" w:type="dxa"/>
            <w:vAlign w:val="bottom"/>
          </w:tcPr>
          <w:p>
            <w:pPr>
              <w:spacing w:after="0"/>
              <w:rPr>
                <w:sz w:val="15"/>
                <w:szCs w:val="15"/>
                <w:color w:val="auto"/>
              </w:rPr>
            </w:pPr>
          </w:p>
        </w:tc>
        <w:tc>
          <w:tcPr>
            <w:tcW w:w="3060" w:type="dxa"/>
            <w:vAlign w:val="bottom"/>
            <w:tcBorders>
              <w:top w:val="single" w:sz="8" w:color="auto"/>
            </w:tcBorders>
            <w:gridSpan w:val="2"/>
          </w:tcPr>
          <w:p>
            <w:pPr>
              <w:ind w:left="1600"/>
              <w:spacing w:after="0"/>
              <w:rPr>
                <w:sz w:val="20"/>
                <w:szCs w:val="20"/>
                <w:color w:val="auto"/>
              </w:rPr>
            </w:pPr>
            <w:r>
              <w:rPr>
                <w:rFonts w:ascii="Arial" w:cs="Arial" w:eastAsia="Arial" w:hAnsi="Arial"/>
                <w:sz w:val="14"/>
                <w:szCs w:val="14"/>
                <w:b w:val="1"/>
                <w:bCs w:val="1"/>
                <w:color w:val="auto"/>
                <w:w w:val="92"/>
              </w:rPr>
              <w:t>(Signature(s) of Owner)</w:t>
            </w:r>
          </w:p>
        </w:tc>
        <w:tc>
          <w:tcPr>
            <w:tcW w:w="980" w:type="dxa"/>
            <w:vAlign w:val="bottom"/>
            <w:tcBorders>
              <w:top w:val="single" w:sz="8" w:color="auto"/>
            </w:tcBorders>
          </w:tcPr>
          <w:p>
            <w:pPr>
              <w:spacing w:after="0"/>
              <w:rPr>
                <w:sz w:val="15"/>
                <w:szCs w:val="15"/>
                <w:color w:val="auto"/>
              </w:rPr>
            </w:pPr>
          </w:p>
        </w:tc>
        <w:tc>
          <w:tcPr>
            <w:tcW w:w="2700" w:type="dxa"/>
            <w:vAlign w:val="bottom"/>
          </w:tcPr>
          <w:p>
            <w:pPr>
              <w:spacing w:after="0"/>
              <w:rPr>
                <w:sz w:val="15"/>
                <w:szCs w:val="15"/>
                <w:color w:val="auto"/>
              </w:rPr>
            </w:pPr>
          </w:p>
        </w:tc>
        <w:tc>
          <w:tcPr>
            <w:tcW w:w="3820" w:type="dxa"/>
            <w:vAlign w:val="bottom"/>
            <w:tcBorders>
              <w:top w:val="single" w:sz="8" w:color="auto"/>
            </w:tcBorders>
            <w:gridSpan w:val="2"/>
          </w:tcPr>
          <w:p>
            <w:pPr>
              <w:ind w:left="1640"/>
              <w:spacing w:after="0"/>
              <w:rPr>
                <w:sz w:val="20"/>
                <w:szCs w:val="20"/>
                <w:color w:val="auto"/>
              </w:rPr>
            </w:pPr>
            <w:r>
              <w:rPr>
                <w:rFonts w:ascii="Arial" w:cs="Arial" w:eastAsia="Arial" w:hAnsi="Arial"/>
                <w:sz w:val="14"/>
                <w:szCs w:val="14"/>
                <w:b w:val="1"/>
                <w:bCs w:val="1"/>
                <w:color w:val="auto"/>
              </w:rPr>
              <w:t>(Date)</w:t>
            </w:r>
          </w:p>
        </w:tc>
        <w:tc>
          <w:tcPr>
            <w:tcW w:w="440" w:type="dxa"/>
            <w:vAlign w:val="bottom"/>
          </w:tcPr>
          <w:p>
            <w:pPr>
              <w:spacing w:after="0"/>
              <w:rPr>
                <w:sz w:val="15"/>
                <w:szCs w:val="15"/>
                <w:color w:val="auto"/>
              </w:rPr>
            </w:pPr>
          </w:p>
        </w:tc>
      </w:tr>
      <w:tr>
        <w:trPr>
          <w:trHeight w:val="419"/>
        </w:trPr>
        <w:tc>
          <w:tcPr>
            <w:tcW w:w="180" w:type="dxa"/>
            <w:vAlign w:val="bottom"/>
          </w:tcPr>
          <w:p>
            <w:pPr>
              <w:spacing w:after="0"/>
              <w:rPr>
                <w:sz w:val="24"/>
                <w:szCs w:val="24"/>
                <w:color w:val="auto"/>
              </w:rPr>
            </w:pPr>
          </w:p>
        </w:tc>
        <w:tc>
          <w:tcPr>
            <w:tcW w:w="3060" w:type="dxa"/>
            <w:vAlign w:val="bottom"/>
            <w:gridSpan w:val="2"/>
          </w:tcPr>
          <w:p>
            <w:pPr>
              <w:ind w:left="260"/>
              <w:spacing w:after="0"/>
              <w:rPr>
                <w:sz w:val="20"/>
                <w:szCs w:val="20"/>
                <w:color w:val="auto"/>
              </w:rPr>
            </w:pPr>
            <w:r>
              <w:rPr>
                <w:rFonts w:ascii="Arial" w:cs="Arial" w:eastAsia="Arial" w:hAnsi="Arial"/>
                <w:sz w:val="18"/>
                <w:szCs w:val="18"/>
                <w:color w:val="auto"/>
                <w:w w:val="99"/>
              </w:rPr>
              <w:t>Area Code and Telephone Number</w:t>
            </w:r>
          </w:p>
        </w:tc>
        <w:tc>
          <w:tcPr>
            <w:tcW w:w="9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62" w:lineRule="exact"/>
        <w:rPr>
          <w:sz w:val="20"/>
          <w:szCs w:val="20"/>
          <w:color w:val="auto"/>
        </w:rPr>
      </w:pPr>
    </w:p>
    <w:p>
      <w:pPr>
        <w:ind w:left="120" w:right="400" w:firstLine="432"/>
        <w:spacing w:after="0" w:line="335" w:lineRule="auto"/>
        <w:rPr>
          <w:sz w:val="20"/>
          <w:szCs w:val="20"/>
          <w:color w:val="auto"/>
        </w:rPr>
      </w:pPr>
      <w:r>
        <w:rPr>
          <w:rFonts w:ascii="Arial" w:cs="Arial" w:eastAsia="Arial" w:hAnsi="Arial"/>
          <w:sz w:val="15"/>
          <w:szCs w:val="15"/>
          <w:color w:val="auto"/>
        </w:rPr>
        <w:t>If a holder is tendering any Old Notes, this Letter must be signed by the registered holder(s) as the name(s) appear(s) on the certificate(s) for the Old Notes or by any person(s) authorized to become registered holder(s) by endorsements and documents transmitted herewith. If signature is by a trustee, executor, administrator, guardian, officer or other person acting in a fiduciary or representative capacity, please set forth full title. See Instruction 3.</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(Please Type or Print)</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Capacity:</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Address: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(Including Zip Code)</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 Identification No.:</w:t>
      </w:r>
    </w:p>
    <w:p>
      <w:pPr>
        <w:spacing w:after="0" w:line="152"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SIGNATURE GUARANTEE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(If required by Instruction 3)</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Signature(s) Guaranteed by</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Eligible Institution: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(Authorized Signature)</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(Title)</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(Name and Firm)</w:t>
      </w:r>
    </w:p>
    <w:p>
      <w:pPr>
        <w:spacing w:after="0" w:line="11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 2005</w:t>
            </w:r>
          </w:p>
        </w:tc>
      </w:tr>
      <w:tr>
        <w:trPr>
          <w:trHeight w:val="20"/>
        </w:trPr>
        <w:tc>
          <w:tcPr>
            <w:tcW w:w="520" w:type="dxa"/>
            <w:vAlign w:val="bottom"/>
          </w:tcPr>
          <w:p>
            <w:pPr>
              <w:spacing w:after="0" w:line="20" w:lineRule="exact"/>
              <w:rPr>
                <w:sz w:val="1"/>
                <w:szCs w:val="1"/>
                <w:color w:val="auto"/>
              </w:rPr>
            </w:pPr>
          </w:p>
        </w:tc>
        <w:tc>
          <w:tcPr>
            <w:tcW w:w="7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3" w:right="259" w:bottom="1440" w:gutter="0" w:footer="0" w:header="0"/>
        </w:sectPr>
      </w:pPr>
    </w:p>
    <w:bookmarkStart w:id="458" w:name="page459"/>
    <w:bookmarkEnd w:id="458"/>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INSTRUCTIONS</w:t>
      </w:r>
    </w:p>
    <w:p>
      <w:pPr>
        <w:spacing w:after="0" w:line="15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Forming Part of the Terms and Conditions of the Exchange Offer for the</w:t>
      </w:r>
    </w:p>
    <w:p>
      <w:pPr>
        <w:jc w:val="center"/>
        <w:ind w:right="-19"/>
        <w:spacing w:after="0" w:line="232" w:lineRule="auto"/>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22"/>
          <w:szCs w:val="22"/>
          <w:b w:val="1"/>
          <w:bCs w:val="1"/>
          <w:color w:val="auto"/>
          <w:vertAlign w:val="superscript"/>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 of Wynn Las Vegas, LLC and Wynn Las Vegas Capital Corp.</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Exchange for the</w:t>
      </w:r>
    </w:p>
    <w:p>
      <w:pPr>
        <w:jc w:val="center"/>
        <w:ind w:right="-19"/>
        <w:spacing w:after="0" w:line="213" w:lineRule="auto"/>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22"/>
          <w:szCs w:val="22"/>
          <w:b w:val="1"/>
          <w:bCs w:val="1"/>
          <w:color w:val="auto"/>
          <w:vertAlign w:val="superscript"/>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 of Wynn Las Vegas, LLC and Wynn Las Vegas Capital Corp.</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Have Been Registered Under the Securities Act of 1933, as Amended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Delivery of this Letter and Notes; Guaranteed Delivery Procedures.</w:t>
      </w:r>
    </w:p>
    <w:p>
      <w:pPr>
        <w:spacing w:after="0" w:line="8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This Letter is to be completed by holders of Old Notes either if certificates are to be forwarded herewith or if tenders are to be made pursuant to the procedures for delivery by book-entry transfer set forth in “The Exchange Offer—Book-Entry Transfers” section of the Prospectus and an Agent’s Message is not delivered. Tenders by book-entry transfer may also be made by delivering an Agent’s Message in lieu of this Letter. The term “Agent’s Message” means a message, transmitted by the Book-Entry Transfer Facility to and received by the Exchange Agent and forming a part of a Book-Entry Confirmation, which states that the Book-Entry Transfer Facility has received an express acknowledgment from the tendering participant, which acknowledgment states that such participant has received and agrees to be bound by the Letter of Transmittal and that the Issuers may enforce the Letter of Transmittal against such participant. Certificates for all physically tendered Old Notes, or Book-Entry Confirmation, as the case may be, as well as a properly completed and duly executed Letter (or manually signed facsimile hereof or Agent’s Message in lieu thereof) and any other documents required by this Letter, must be received by the Exchange Agent at the address set forth herein on or prior to the Expiration Date, or the tendering holder must comply with the guaranteed delivery procedures set forth below. Old Notes tendered hereby must be in denominations of principal amount of $1,000 and any integral multiple thereof.</w:t>
      </w:r>
    </w:p>
    <w:p>
      <w:pPr>
        <w:spacing w:after="0" w:line="10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Holders whose certificates for Old Notes are not immediately available or who cannot deliver their certificates and all other required documents to the Exchange Agent on or prior to the Expiration Date, or who cannot complete the procedure for book-entry transfer on a timely basis, may tender their Old Notes pursuant to the guaranteed delivery procedures set forth in “The Exchange Offer—Guaranteed Delivery Procedures” section of the Prospectus. Pursuant to such procedures, (i) such tender must be made through an Eligible Institution, (ii) prior to 5:00 P.M., New York City time, on the Expiration Date, the (as defined below) Exchange Agent must receive from such Eligible Institution a properly completed and duly executed Notice of Guaranteed Delivery, substantially in the form provided by the Issuers (by telegram, facsimile transmission, mail or hand delivery), setting forth the name and address of the holder of Old Notes and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Letter (or facsimile thereof or Agent’s Message in lieu thereof) with any required signature guarantees and any other documents required by this Letter will be deposited by the Eligible Institution with the Exchange Agent, and (iii) the certificates for all physically tendered Old Notes, in proper form for transfer, or a Book-Entry Confirmation, as the case may be, together with a properly completed and duly executed Letter (or facsimile thereof or Agent’s Message in lieu thereof) with any required signature guarantees and all other documents required by this Letter, are received by the Exchange Agent within three NYSE trading days after the date of execution of the Notice of Guaranteed Delivery.</w:t>
      </w:r>
    </w:p>
    <w:p>
      <w:pPr>
        <w:spacing w:after="0" w:line="10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method of delivery of this Letter, the Old Notes and all other required documents is at the election and risk of the tendering holders, but the delivery will be deemed made only when actually received or confirmed by the Exchange Agent. If Old Notes are sent by mail, it is suggested that the mailing be registered mail, properly insured, with return receipt requested, made sufficiently in advance of the Expiration Date to permit delivery to the Exchange Agent prior to 5:00 P.M., New York City time, on the Expiration Date.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Exchange Offer” section of the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59" w:name="page460"/>
    <w:bookmarkEnd w:id="4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Partial Tenders (not applicable to noteholders who tender by book-entry transfer).</w:t>
      </w:r>
    </w:p>
    <w:p>
      <w:pPr>
        <w:spacing w:after="0" w:line="83"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If less than all of the Old Notes evidenced by a submitted certificate are to be tendered, the tendering holder(s) should fill in the aggregate principal amount of Old Notes to be tendered in the box above entitled “Description of Old Notes—Principal Amount Tendered.” A reissued certificate representing the balance of nontendered Old Notes will be sent to such tendering holder, unless otherwise provided in the appropriate box on this Letter, promptly after the Expiration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of the Old Notes delivered to the Exchange Agent will be deemed to have been tendered unless otherwise indicated.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Signatures on this Letter; Bond Powers and Endorsements; Guarantee of Signatures.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this Letter is signed by the registered holder of the Old Notes tendered hereby, the signature must correspond exactly with the name as written on the face of the certificates without any change whatsoever.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tendered Old Notes are owned of record by two or more joint owners, all of such owners must sign this Letter.</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any tendered Old Notes are registered in different names on several certificates, it will be necessary to complete, sign and submit as many separate copies of this Letter as there are different registrations of certificates.</w:t>
      </w:r>
    </w:p>
    <w:p>
      <w:pPr>
        <w:spacing w:after="0" w:line="118"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When this Letter is signed by the registered holder or holders of the Old Notes specified herein and tendered hereby, no endorsements of certificates or separate bond powers are required. If, however, the New Notes are to be issued, or any untendered Old Notes are to be reissued, to a person other than the registered holder, then endorsements of any certificates transmitted hereby or separate bond powers are required. Signatures on such certificate(s) must be guaranteed by an Eligible Institution.</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this Letter is signed by a person other than the registered holder or holders of any certificate(s) specified herein, such certificate(s) must be endorsed or accompanied by appropriate bond powers, in either case signed exactly as the name or names of the registered holder or holders appear(s) on the certificate(s) and signatures on such certificate(s) must be guaranteed by an Eligible Institution.</w:t>
      </w:r>
    </w:p>
    <w:p>
      <w:pPr>
        <w:spacing w:after="0" w:line="12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this Letter or any certificates or bond powers are signed by trustees, executors, administrators, guardians, attorneys-in-fact, officers of corporations or others acting in a fiduciary or representative capacity, such persons should so indicate when signing, and, unless waived by the Issuers, proper evidence satisfactory to the Issuers of their authority to so act must be submitted.</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Endorsements on certificates for Old Notes or signatures on bond powers required by this Instruction 3 must be guaranteed by a firm that is a financial institution (including most banks, savings and loan associations and brokerage houses) that is a participant in the Securities Transfer Agents Medallion Program, the New York Stock Exchange Medallion Signature Program or the Stock Exchanges Medallion Program (each an “Eligible Institution”).</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Signatures on this Letter need not be guaranteed by an Eligible Institution, provided the Old Notes are tendered: (i) by a registered holder (which term, for purposes of the Exchange Offer, includes any participant in the Book-Entry Transfer Facility system whose name appears on a security position listing as the holder of such Old Notes) who has not completed the box entitled “Special Issuance Instructions” or “Special Delivery Instructions” on this Letter, or (ii) for the account of an Eligible Institution.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Special Issuance and Delivery Instructions.</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Tendering holders of Old Notes should indicate in the applicable box the name and address to which New Notes issued pursuant to the Exchange Offer and/or substitute certificates evidencing Old Notes not exchanged are to be issued or sent, if different from the name or address of the person signing this Letter. In the case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460" w:name="page461"/>
    <w:bookmarkEnd w:id="4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issuance in a different name, the employer identification or social security number of the person named must also be indicated. Noteholders tendering Old Notes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by book-entry transfer may request that Old Notes not exchanged be credited to such account maintained at the Book-Entry Transfer Facility as such noteholder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may designate hereon. If no such instructions are given, such Old Notes not exchanged will be returned to the name and address of the person signing this Letter.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Taxpayer Identification Number and Certification of Foreign Status.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Federal income tax law generally requires that a tendering holder whose Old Notes are accepted for exchange must provide the Issuers (as payors) with such holder’s correct Taxpayer Identification Number (“TIN”) on the Substitute Form W-9 below, which generally is such holder’s social security number or employee identification number, or otherwise establish an exemption. If the Issuers are not provided with the current TIN or an adequate basis for an exemption from backup withholding, such tendering holder may be subject to a $50 penalty imposed by the Internal Revenue Service (the “IRS”) and backup withholding at the then applicable rate on the amount of any reportable payments made after the exchange to such tendering holder of New Notes. If withholding results in an overpayment of taxes, a refund may be obtained provided that the required information is timely furnished to the IRS.</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Exempt holders of Old Notes (including, among others, all corporations and certain foreign individuals) are not subject to these backup withholding and reporting requirements. To prevent possible backup withholding an exempt holder that is a U.S. person should write “Exempt” in Part 3 of Substitute Form W-9. See the enclosed Guidelines of Certification of Taxpayer Identification Number on Substitute Form W-9 (the “W-9 Guidelines”) for additional instructions.</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prevent backup withholding, each tendering holder of Old Notes must provide its correct TIN by completing the Substitute Form W-9 set forth below, certifying, under penalties of perjury, that (A) the TIN provided is correct (or that such holder is awaiting a TIN), (B) the holder is a U.S. person, and (C) (i) the holder is exempt from backup withholding, (ii) the holder has not been notified by the IRS that such holder is subject to backup withholding as a result of a failure to report all interest or dividends or (iii) the IRS has notified the holder that such holder is no longer subject to backup withholding.</w:t>
      </w:r>
    </w:p>
    <w:p>
      <w:pPr>
        <w:spacing w:after="0" w:line="99"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If a holder that is a U.S. person does not have a TIN, such holder should consult the W-9 Guidelines for instructions on applying for a TIN, check the box in Part 2 of the Substitute Form W-9 and write “applied for” in the space for the TIN in Part 3 of the Substitute Form W-9. Note: Checking this box and writing “applied for” on the form means that such holder has already applied for a TIN or that such holder intends to apply for one in the near future. If the box in Part 2 of the Substitute Form W-9 is checked, and the Exchange Agent is not provided with a TIN by the time of payment, the Exchange Agent may withhold a portion of all reportable payments to the holder thereafter until such holder furnishes its TIN to the Exchange Agent.</w:t>
      </w:r>
    </w:p>
    <w:p>
      <w:pPr>
        <w:spacing w:after="0" w:line="10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If the tendering holder of Old Notes is a nonresident alien or foreign entity not subject to backup withholding, such holder must give the Exchange Agent a completed Form W-8BEN, Certificate of Foreign Status. These forms may be obtained from the Exchange Agent. If the Old Notes are in more than one name or are not in the name of the actual owner, such holder should consult the W-9 Guidelines for information on which TIN to report.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Transfer Taxes.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Issuers will pay all transfer taxes, if any, applicable to the transfer of Old Notes to them or their order pursuant to the Exchange Offer. If, however, New Notes and/or substitute Old Notes not exchanged are to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461" w:name="page462"/>
    <w:bookmarkEnd w:id="46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delivered to, or are to be registered or issued in the name of, any person other than the registered holder of the Old Notes tendered hereby, or if tendered Old Notes are registered in the name of any person other than the person signing this Letter, or if a transfer tax is imposed for any reason other than the transfer of Old Notes to the Issuers or their order pursuant to the Exchange Offer, the amount of any such transfer taxes (whether imposed on the registered holder or any other persons) will be payable by the tendering holder. If satisfactory evidence of payment of such taxes or exemption therefrom is not submitted herewith, the amount of such transfer taxes will be billed directly to such tendering holder.</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Except as provided in this Instruction 6, it will not be necessary for transfer tax stamps to be affixed to the Old Notes specified in this letter.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Waiver of Conditions.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Issuers reserve the absolute right to waive satisfaction of any or all conditions enumerated in the Prospectus.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 Conditional Tenders.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 alternative, conditional, irregular or contingent tenders will be accepted. All tendering holders of Old Notes, by execution of this Letter, shall waive any right to receive notice of the acceptance of their Old Notes for exchange.</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Neither the Issuers, the Exchange Agent nor any other person is obligated to give notice of any defect or irregularity with respect to any tender of Old Notes nor shall any of them incur any liability for failure to give any such notice.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Mutilated, Lost, Stolen or Destroyed Old Notes.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Any holder whose Old Notes have been mutilated, lost, stolen or destroyed should contact the Exchange Agent at the address indicated above for further instructions.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Withdrawal Rights.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Tenders of Old Notes may be withdrawn at any time prior to 5:00 P.M., New York City time, on the Expiration Date.</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a withdrawal of a tender of Old Notes to be effective, a written notice of withdrawal must be received by the Exchange Agent at the address set forth above prior to 5:00 P.M., New York City time, on the Expiration Date. Any such notice of withdrawal must (i) specify the name of the person having tendered the Old Notes to be withdrawn (the “Depositor”), (ii) identify the Old Notes to be withdrawn (including certificate number or numbers and the principal amount of such Old Notes), (iii) contain a statement that such holder is withdrawing his election to have such Old Notes exchanged, (iv) be signed by the holder in the same manner as the original signature on the Letter by which such Old Notes were tendered (including any required signature guarantees) or be accompanied by documents of transfer to have the Trustee with respect to the Old Notes register the transfer of such Old Notes in the name of the person withdrawing the tender and (v) specify the name in which such Old Notes are registered, if different from that of the Depositor. If Old Notes have been tendered pursuant to the procedure for book-entry transfer set forth in “The Exchange Offer—Book-Entry Transfer” section of the Prospectus, any notice of withdrawal must specify the name and number of the account at the Book-Entry Transfer Facility to be credited with the withdrawn Old Notes and otherwise comply with the procedures of such facility. All questions as to the validity, form and eligibility (including time of receipt) of such notices will be determined by the Issuers, whose determination shall be final and binding on all parties. Any Old Notes so withdrawn will be deemed not to have been validly tendered for exchange for purposes of the Exchange Offer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462" w:name="page463"/>
    <w:bookmarkEnd w:id="46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 no New Notes will be issued with respect thereto unless the Old Notes so withdrawn are validly retendered. Any Old Notes that have been tendered for exchange but which are not exchanged for any reason will be returned to the Holder thereof without cost to such Holder (or, in the case of Old Notes tendered by book-entry transfer into the Exchange Agent’s account at the Book-Entry Transfer Facility pursuant to the book-entry transfer procedures set forth in “The Exchange Offer—Book-Entry Transfer” section of the Prospectus, such Old Notes will be credited to an account maintained with the Book-Entry Transfer Facility for the Old Notes) as soon as practicable after withdrawal, rejection of tender or termination of the Exchange Offer. Properly withdrawn Old Notes may be retendered by following the procedures described above at any time on or prior to 5:00 P.M., New York City time, on the Expiration Date.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Requests for Assistance or Additional Copies.</w:t>
      </w:r>
    </w:p>
    <w:p>
      <w:pPr>
        <w:spacing w:after="0" w:line="8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Questions relating to the procedure for tendering, as well as requests for additional copies of the Prospectus and this Letter, and requests for Notices of Guaranteed Delivery and other related documents may be directed to the Exchange Agent, at the address and telephone number indicated above.</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279" w:right="339" w:bottom="1440" w:gutter="0" w:footer="0" w:header="0"/>
        </w:sectPr>
      </w:pPr>
    </w:p>
    <w:bookmarkStart w:id="463" w:name="page464"/>
    <w:bookmarkEnd w:id="4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COMPLETED BY ALL TENDERING 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Instruction 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PAYOR’S NAME: U.S. BANK NATIONAL ASSOCIATION</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3680" w:type="dxa"/>
            <w:vAlign w:val="bottom"/>
            <w:tcBorders>
              <w:top w:val="single" w:sz="8" w:color="auto"/>
              <w:left w:val="single" w:sz="8" w:color="auto"/>
              <w:right w:val="single" w:sz="8" w:color="auto"/>
            </w:tcBorders>
          </w:tcPr>
          <w:p>
            <w:pPr>
              <w:spacing w:after="0"/>
              <w:rPr>
                <w:sz w:val="19"/>
                <w:szCs w:val="19"/>
                <w:color w:val="auto"/>
              </w:rPr>
            </w:pPr>
          </w:p>
        </w:tc>
        <w:tc>
          <w:tcPr>
            <w:tcW w:w="366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Part 1</w:t>
            </w:r>
            <w:r>
              <w:rPr>
                <w:rFonts w:ascii="Arial" w:cs="Arial" w:eastAsia="Arial" w:hAnsi="Arial"/>
                <w:sz w:val="18"/>
                <w:szCs w:val="18"/>
                <w:color w:val="auto"/>
              </w:rPr>
              <w:t>—PLEASE PROVIDE YOUR TIN</w:t>
            </w:r>
          </w:p>
        </w:tc>
        <w:tc>
          <w:tcPr>
            <w:tcW w:w="980" w:type="dxa"/>
            <w:vAlign w:val="bottom"/>
            <w:tcBorders>
              <w:top w:val="single" w:sz="8" w:color="auto"/>
            </w:tcBorders>
            <w:gridSpan w:val="2"/>
            <w:vMerge w:val="restart"/>
          </w:tcPr>
          <w:p>
            <w:pPr>
              <w:ind w:left="560"/>
              <w:spacing w:after="0"/>
              <w:rPr>
                <w:sz w:val="20"/>
                <w:szCs w:val="20"/>
                <w:color w:val="auto"/>
              </w:rPr>
            </w:pPr>
            <w:r>
              <w:rPr>
                <w:rFonts w:ascii="Arial" w:cs="Arial" w:eastAsia="Arial" w:hAnsi="Arial"/>
                <w:sz w:val="18"/>
                <w:szCs w:val="18"/>
                <w:b w:val="1"/>
                <w:bCs w:val="1"/>
                <w:color w:val="auto"/>
              </w:rPr>
              <w:t>TIN:</w:t>
            </w:r>
          </w:p>
        </w:tc>
        <w:tc>
          <w:tcPr>
            <w:tcW w:w="25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3680" w:type="dxa"/>
            <w:vAlign w:val="bottom"/>
            <w:tcBorders>
              <w:left w:val="single" w:sz="8" w:color="auto"/>
              <w:right w:val="single" w:sz="8" w:color="auto"/>
            </w:tcBorders>
          </w:tcPr>
          <w:p>
            <w:pPr>
              <w:spacing w:after="0"/>
              <w:rPr>
                <w:sz w:val="10"/>
                <w:szCs w:val="10"/>
                <w:color w:val="auto"/>
              </w:rPr>
            </w:pPr>
          </w:p>
        </w:tc>
        <w:tc>
          <w:tcPr>
            <w:tcW w:w="36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IN THE BOX AT RIGHT AND CERTIFY</w:t>
            </w:r>
          </w:p>
        </w:tc>
        <w:tc>
          <w:tcPr>
            <w:tcW w:w="980" w:type="dxa"/>
            <w:vAlign w:val="bottom"/>
            <w:gridSpan w:val="2"/>
            <w:vMerge w:val="continue"/>
          </w:tcPr>
          <w:p>
            <w:pPr>
              <w:spacing w:after="0"/>
              <w:rPr>
                <w:sz w:val="10"/>
                <w:szCs w:val="10"/>
                <w:color w:val="auto"/>
              </w:rPr>
            </w:pPr>
          </w:p>
        </w:tc>
        <w:tc>
          <w:tcPr>
            <w:tcW w:w="2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680" w:type="dxa"/>
            <w:vAlign w:val="bottom"/>
            <w:tcBorders>
              <w:left w:val="single" w:sz="8" w:color="auto"/>
              <w:right w:val="single" w:sz="8" w:color="auto"/>
            </w:tcBorders>
          </w:tcPr>
          <w:p>
            <w:pPr>
              <w:spacing w:after="0"/>
              <w:rPr>
                <w:sz w:val="6"/>
                <w:szCs w:val="6"/>
                <w:color w:val="auto"/>
              </w:rPr>
            </w:pPr>
          </w:p>
        </w:tc>
        <w:tc>
          <w:tcPr>
            <w:tcW w:w="3660" w:type="dxa"/>
            <w:vAlign w:val="bottom"/>
            <w:tcBorders>
              <w:right w:val="single" w:sz="8" w:color="auto"/>
            </w:tcBorders>
            <w:vMerge w:val="continue"/>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Social Security Number or</w:t>
            </w:r>
          </w:p>
        </w:tc>
        <w:tc>
          <w:tcPr>
            <w:tcW w:w="60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3680" w:type="dxa"/>
            <w:vAlign w:val="bottom"/>
            <w:tcBorders>
              <w:left w:val="single" w:sz="8" w:color="auto"/>
              <w:right w:val="single" w:sz="8" w:color="auto"/>
            </w:tcBorders>
          </w:tcPr>
          <w:p>
            <w:pPr>
              <w:spacing w:after="0"/>
              <w:rPr>
                <w:sz w:val="12"/>
                <w:szCs w:val="12"/>
                <w:color w:val="auto"/>
              </w:rPr>
            </w:pPr>
          </w:p>
        </w:tc>
        <w:tc>
          <w:tcPr>
            <w:tcW w:w="36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BY SIGNING AND DATING BELOW.</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6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SUBSTITUTE</w:t>
            </w:r>
          </w:p>
        </w:tc>
        <w:tc>
          <w:tcPr>
            <w:tcW w:w="3660" w:type="dxa"/>
            <w:vAlign w:val="bottom"/>
            <w:tcBorders>
              <w:right w:val="single" w:sz="8" w:color="auto"/>
            </w:tcBorders>
            <w:vMerge w:val="continue"/>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3100" w:type="dxa"/>
            <w:vAlign w:val="bottom"/>
            <w:gridSpan w:val="2"/>
            <w:vMerge w:val="restart"/>
          </w:tcPr>
          <w:p>
            <w:pPr>
              <w:jc w:val="center"/>
              <w:ind w:right="540"/>
              <w:spacing w:after="0"/>
              <w:rPr>
                <w:sz w:val="20"/>
                <w:szCs w:val="20"/>
                <w:color w:val="auto"/>
              </w:rPr>
            </w:pPr>
            <w:r>
              <w:rPr>
                <w:rFonts w:ascii="Arial" w:cs="Arial" w:eastAsia="Arial" w:hAnsi="Arial"/>
                <w:sz w:val="18"/>
                <w:szCs w:val="18"/>
                <w:b w:val="1"/>
                <w:bCs w:val="1"/>
                <w:color w:val="auto"/>
                <w:w w:val="91"/>
              </w:rPr>
              <w:t>Employer Identification Number</w:t>
            </w:r>
          </w:p>
        </w:tc>
        <w:tc>
          <w:tcPr>
            <w:tcW w:w="0" w:type="dxa"/>
            <w:vAlign w:val="bottom"/>
          </w:tcPr>
          <w:p>
            <w:pPr>
              <w:spacing w:after="0"/>
              <w:rPr>
                <w:sz w:val="1"/>
                <w:szCs w:val="1"/>
                <w:color w:val="auto"/>
              </w:rPr>
            </w:pPr>
          </w:p>
        </w:tc>
      </w:tr>
      <w:tr>
        <w:trPr>
          <w:trHeight w:val="162"/>
        </w:trPr>
        <w:tc>
          <w:tcPr>
            <w:tcW w:w="3680" w:type="dxa"/>
            <w:vAlign w:val="bottom"/>
            <w:tcBorders>
              <w:left w:val="single" w:sz="8" w:color="auto"/>
              <w:right w:val="single" w:sz="8" w:color="auto"/>
            </w:tcBorders>
            <w:vMerge w:val="continue"/>
          </w:tcPr>
          <w:p>
            <w:pPr>
              <w:spacing w:after="0"/>
              <w:rPr>
                <w:sz w:val="14"/>
                <w:szCs w:val="14"/>
                <w:color w:val="auto"/>
              </w:rPr>
            </w:pPr>
          </w:p>
        </w:tc>
        <w:tc>
          <w:tcPr>
            <w:tcW w:w="366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72"/>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 xml:space="preserve">Form </w:t>
            </w:r>
            <w:r>
              <w:rPr>
                <w:rFonts w:ascii="Arial" w:cs="Arial" w:eastAsia="Arial" w:hAnsi="Arial"/>
                <w:sz w:val="43"/>
                <w:szCs w:val="43"/>
                <w:b w:val="1"/>
                <w:bCs w:val="1"/>
                <w:color w:val="auto"/>
              </w:rPr>
              <w:t>W-9</w:t>
            </w:r>
          </w:p>
        </w:tc>
        <w:tc>
          <w:tcPr>
            <w:tcW w:w="366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Department of the Treasury</w:t>
            </w:r>
          </w:p>
        </w:tc>
        <w:tc>
          <w:tcPr>
            <w:tcW w:w="3660" w:type="dxa"/>
            <w:vAlign w:val="bottom"/>
            <w:tcBorders>
              <w:right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Internal Revenue Service</w:t>
            </w:r>
          </w:p>
        </w:tc>
        <w:tc>
          <w:tcPr>
            <w:tcW w:w="3660" w:type="dxa"/>
            <w:vAlign w:val="bottom"/>
            <w:tcBorders>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Payor’s Request for Taxpayer Identification</w:t>
            </w:r>
          </w:p>
        </w:tc>
        <w:tc>
          <w:tcPr>
            <w:tcW w:w="366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Number</w:t>
            </w:r>
          </w:p>
        </w:tc>
        <w:tc>
          <w:tcPr>
            <w:tcW w:w="36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(“TIN”) and Certification</w:t>
            </w:r>
          </w:p>
        </w:tc>
        <w:tc>
          <w:tcPr>
            <w:tcW w:w="3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ind w:left="440"/>
              <w:spacing w:after="0" w:line="207" w:lineRule="exact"/>
              <w:rPr>
                <w:sz w:val="20"/>
                <w:szCs w:val="20"/>
                <w:color w:val="auto"/>
              </w:rPr>
            </w:pPr>
            <w:r>
              <w:rPr>
                <w:rFonts w:ascii="Arial" w:cs="Arial" w:eastAsia="Arial" w:hAnsi="Arial"/>
                <w:sz w:val="18"/>
                <w:szCs w:val="18"/>
                <w:b w:val="1"/>
                <w:bCs w:val="1"/>
                <w:color w:val="auto"/>
              </w:rPr>
              <w:t>Part 2</w:t>
            </w:r>
            <w:r>
              <w:rPr>
                <w:rFonts w:ascii="Arial" w:cs="Arial" w:eastAsia="Arial" w:hAnsi="Arial"/>
                <w:sz w:val="18"/>
                <w:szCs w:val="18"/>
                <w:color w:val="auto"/>
              </w:rPr>
              <w:t>—</w:t>
            </w:r>
            <w:r>
              <w:rPr>
                <w:rFonts w:ascii="Arial" w:cs="Arial" w:eastAsia="Arial" w:hAnsi="Arial"/>
                <w:sz w:val="18"/>
                <w:szCs w:val="18"/>
                <w:b w:val="1"/>
                <w:bCs w:val="1"/>
                <w:color w:val="auto"/>
              </w:rPr>
              <w:t xml:space="preserve">Awaiting TIN </w:t>
            </w:r>
            <w:r>
              <w:rPr>
                <w:rFonts w:ascii="MS PGothic" w:cs="MS PGothic" w:eastAsia="MS PGothic" w:hAnsi="MS PGothic"/>
                <w:sz w:val="18"/>
                <w:szCs w:val="18"/>
                <w:color w:val="auto"/>
              </w:rPr>
              <w:t>☐</w:t>
            </w: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80" w:type="dxa"/>
            <w:vAlign w:val="bottom"/>
          </w:tcPr>
          <w:p>
            <w:pPr>
              <w:spacing w:after="0"/>
              <w:rPr>
                <w:sz w:val="17"/>
                <w:szCs w:val="17"/>
                <w:color w:val="auto"/>
              </w:rPr>
            </w:pPr>
          </w:p>
        </w:tc>
        <w:tc>
          <w:tcPr>
            <w:tcW w:w="7740" w:type="dxa"/>
            <w:vAlign w:val="bottom"/>
            <w:gridSpan w:val="5"/>
          </w:tcPr>
          <w:p>
            <w:pPr>
              <w:ind w:left="440"/>
              <w:spacing w:after="0" w:line="201" w:lineRule="exact"/>
              <w:rPr>
                <w:sz w:val="20"/>
                <w:szCs w:val="20"/>
                <w:color w:val="auto"/>
              </w:rPr>
            </w:pPr>
            <w:r>
              <w:rPr>
                <w:rFonts w:ascii="Arial" w:cs="Arial" w:eastAsia="Arial" w:hAnsi="Arial"/>
                <w:sz w:val="18"/>
                <w:szCs w:val="18"/>
                <w:b w:val="1"/>
                <w:bCs w:val="1"/>
                <w:color w:val="auto"/>
              </w:rPr>
              <w:t>Part 3</w:t>
            </w:r>
            <w:r>
              <w:rPr>
                <w:rFonts w:ascii="Arial" w:cs="Arial" w:eastAsia="Arial" w:hAnsi="Arial"/>
                <w:sz w:val="18"/>
                <w:szCs w:val="18"/>
                <w:color w:val="auto"/>
              </w:rPr>
              <w:t>—CERTIFICATION: UNDER THE PENALTIES OF PERJURY, I CERTIFY THAT: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740" w:type="dxa"/>
            <w:vAlign w:val="bottom"/>
            <w:gridSpan w:val="5"/>
          </w:tcPr>
          <w:p>
            <w:pPr>
              <w:ind w:left="440"/>
              <w:spacing w:after="0"/>
              <w:rPr>
                <w:sz w:val="20"/>
                <w:szCs w:val="20"/>
                <w:color w:val="auto"/>
              </w:rPr>
            </w:pPr>
            <w:r>
              <w:rPr>
                <w:rFonts w:ascii="Arial" w:cs="Arial" w:eastAsia="Arial" w:hAnsi="Arial"/>
                <w:sz w:val="18"/>
                <w:szCs w:val="18"/>
                <w:color w:val="auto"/>
                <w:w w:val="93"/>
              </w:rPr>
              <w:t>(1)  the number shown on this form is my correct TIN (or I am waiting for a number to be issued to</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3660" w:type="dxa"/>
            <w:vAlign w:val="bottom"/>
          </w:tcPr>
          <w:p>
            <w:pPr>
              <w:ind w:left="880"/>
              <w:spacing w:after="0"/>
              <w:rPr>
                <w:sz w:val="20"/>
                <w:szCs w:val="20"/>
                <w:color w:val="auto"/>
              </w:rPr>
            </w:pPr>
            <w:r>
              <w:rPr>
                <w:rFonts w:ascii="Arial" w:cs="Arial" w:eastAsia="Arial" w:hAnsi="Arial"/>
                <w:sz w:val="18"/>
                <w:szCs w:val="18"/>
                <w:color w:val="auto"/>
              </w:rPr>
              <w:t>me),</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740" w:type="dxa"/>
            <w:vAlign w:val="bottom"/>
            <w:gridSpan w:val="5"/>
          </w:tcPr>
          <w:p>
            <w:pPr>
              <w:ind w:left="440"/>
              <w:spacing w:after="0"/>
              <w:rPr>
                <w:sz w:val="20"/>
                <w:szCs w:val="20"/>
                <w:color w:val="auto"/>
              </w:rPr>
            </w:pPr>
            <w:r>
              <w:rPr>
                <w:rFonts w:ascii="Arial" w:cs="Arial" w:eastAsia="Arial" w:hAnsi="Arial"/>
                <w:sz w:val="18"/>
                <w:szCs w:val="18"/>
                <w:color w:val="auto"/>
              </w:rPr>
              <w:t>(2)  I am not subject to backup withholding either because: (a) I am exempt from backup</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740" w:type="dxa"/>
            <w:vAlign w:val="bottom"/>
            <w:gridSpan w:val="5"/>
          </w:tcPr>
          <w:p>
            <w:pPr>
              <w:ind w:left="880"/>
              <w:spacing w:after="0"/>
              <w:rPr>
                <w:sz w:val="20"/>
                <w:szCs w:val="20"/>
                <w:color w:val="auto"/>
              </w:rPr>
            </w:pPr>
            <w:r>
              <w:rPr>
                <w:rFonts w:ascii="Arial" w:cs="Arial" w:eastAsia="Arial" w:hAnsi="Arial"/>
                <w:sz w:val="18"/>
                <w:szCs w:val="18"/>
                <w:color w:val="auto"/>
                <w:w w:val="93"/>
              </w:rPr>
              <w:t>withholding, or (b) I have not been notified by the Internal Revenue Service (the “IRS”) that I</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740" w:type="dxa"/>
            <w:vAlign w:val="bottom"/>
            <w:gridSpan w:val="5"/>
          </w:tcPr>
          <w:p>
            <w:pPr>
              <w:ind w:left="880"/>
              <w:spacing w:after="0"/>
              <w:rPr>
                <w:sz w:val="20"/>
                <w:szCs w:val="20"/>
                <w:color w:val="auto"/>
              </w:rPr>
            </w:pPr>
            <w:r>
              <w:rPr>
                <w:rFonts w:ascii="Arial" w:cs="Arial" w:eastAsia="Arial" w:hAnsi="Arial"/>
                <w:sz w:val="18"/>
                <w:szCs w:val="18"/>
                <w:color w:val="auto"/>
                <w:w w:val="93"/>
              </w:rPr>
              <w:t>am subject to backup withholding as a result of a failure to report all interest or dividends, or</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740" w:type="dxa"/>
            <w:vAlign w:val="bottom"/>
            <w:gridSpan w:val="5"/>
          </w:tcPr>
          <w:p>
            <w:pPr>
              <w:ind w:left="880"/>
              <w:spacing w:after="0"/>
              <w:rPr>
                <w:sz w:val="20"/>
                <w:szCs w:val="20"/>
                <w:color w:val="auto"/>
              </w:rPr>
            </w:pPr>
            <w:r>
              <w:rPr>
                <w:rFonts w:ascii="Arial" w:cs="Arial" w:eastAsia="Arial" w:hAnsi="Arial"/>
                <w:sz w:val="18"/>
                <w:szCs w:val="18"/>
                <w:color w:val="auto"/>
              </w:rPr>
              <w:t>(c) the IRS has notified me that I am no longer subject to backup withholding and</w:t>
            </w:r>
          </w:p>
        </w:tc>
        <w:tc>
          <w:tcPr>
            <w:tcW w:w="0" w:type="dxa"/>
            <w:vAlign w:val="bottom"/>
          </w:tcPr>
          <w:p>
            <w:pPr>
              <w:spacing w:after="0"/>
              <w:rPr>
                <w:sz w:val="1"/>
                <w:szCs w:val="1"/>
                <w:color w:val="auto"/>
              </w:rPr>
            </w:pPr>
          </w:p>
        </w:tc>
      </w:tr>
      <w:tr>
        <w:trPr>
          <w:trHeight w:val="222"/>
        </w:trPr>
        <w:tc>
          <w:tcPr>
            <w:tcW w:w="3680" w:type="dxa"/>
            <w:vAlign w:val="bottom"/>
          </w:tcPr>
          <w:p>
            <w:pPr>
              <w:spacing w:after="0"/>
              <w:rPr>
                <w:sz w:val="19"/>
                <w:szCs w:val="19"/>
                <w:color w:val="auto"/>
              </w:rPr>
            </w:pP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w w:val="94"/>
              </w:rPr>
              <w:t>(3)  I am a U.S. person (including a U.S. resident alien).</w:t>
            </w:r>
          </w:p>
        </w:tc>
        <w:tc>
          <w:tcPr>
            <w:tcW w:w="2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-2990850</wp:posOffset>
            </wp:positionV>
            <wp:extent cx="7246620" cy="392747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46620" cy="3927475"/>
                    </a:xfrm>
                    <a:prstGeom prst="rect">
                      <a:avLst/>
                    </a:prstGeom>
                    <a:noFill/>
                  </pic:spPr>
                </pic:pic>
              </a:graphicData>
            </a:graphic>
          </wp:anchor>
        </w:drawing>
      </w:r>
    </w:p>
    <w:p>
      <w:pPr>
        <w:spacing w:after="0" w:line="4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For U.S. Payees Exempt from Backup Withholding (write “Exempt” in</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this space):</w:t>
      </w:r>
    </w:p>
    <w:p>
      <w:pPr>
        <w:spacing w:after="0" w:line="70" w:lineRule="exact"/>
        <w:rPr>
          <w:sz w:val="20"/>
          <w:szCs w:val="20"/>
          <w:color w:val="auto"/>
        </w:rPr>
      </w:pPr>
    </w:p>
    <w:p>
      <w:pPr>
        <w:ind w:left="4120"/>
        <w:spacing w:after="0"/>
        <w:tabs>
          <w:tab w:leader="none" w:pos="9400" w:val="left"/>
        </w:tabs>
        <w:rPr>
          <w:sz w:val="20"/>
          <w:szCs w:val="20"/>
          <w:color w:val="auto"/>
        </w:rPr>
      </w:pPr>
      <w:r>
        <w:rPr>
          <w:rFonts w:ascii="Arial" w:cs="Arial" w:eastAsia="Arial" w:hAnsi="Arial"/>
          <w:sz w:val="18"/>
          <w:szCs w:val="18"/>
          <w:color w:val="auto"/>
        </w:rPr>
        <w:t>SIGNATURE OF U.S. PERSON</w:t>
      </w:r>
      <w:r>
        <w:rPr>
          <w:sz w:val="20"/>
          <w:szCs w:val="20"/>
          <w:color w:val="auto"/>
        </w:rPr>
        <w:tab/>
      </w:r>
      <w:r>
        <w:rPr>
          <w:rFonts w:ascii="Arial" w:cs="Arial" w:eastAsia="Arial" w:hAnsi="Arial"/>
          <w:sz w:val="16"/>
          <w:szCs w:val="16"/>
          <w:color w:val="auto"/>
        </w:rPr>
        <w:t>DATE</w:t>
      </w:r>
    </w:p>
    <w:p>
      <w:pPr>
        <w:spacing w:after="0" w:line="36" w:lineRule="exact"/>
        <w:rPr>
          <w:sz w:val="20"/>
          <w:szCs w:val="20"/>
          <w:color w:val="auto"/>
        </w:rPr>
      </w:pPr>
    </w:p>
    <w:p>
      <w:pPr>
        <w:ind w:left="120" w:right="460"/>
        <w:spacing w:after="0" w:line="306" w:lineRule="auto"/>
        <w:rPr>
          <w:sz w:val="20"/>
          <w:szCs w:val="20"/>
          <w:color w:val="auto"/>
        </w:rPr>
      </w:pPr>
      <w:r>
        <w:rPr>
          <w:rFonts w:ascii="Arial" w:cs="Arial" w:eastAsia="Arial" w:hAnsi="Arial"/>
          <w:sz w:val="16"/>
          <w:szCs w:val="16"/>
          <w:color w:val="auto"/>
        </w:rPr>
        <w:t>You must cross out item (2) of the above certification if you have been notified by the IRS that you are subject to backup with holding because of underreporting of interest or dividends on your tax return and you have not been notified by the IRS that you are no longer subject to backup withholding. (Also see instructions in the enclosed Guidelines for Certification of Taxpayer Identification Number on Substitute Form W-9).</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MUST COMPLETE THE FOLLOWING CERTIFICATE IF YOU CHECKED THE BOX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PART 2 OF SUBSTITUTE FORM W-9</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AWAITING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50430" cy="105918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1059180"/>
                    </a:xfrm>
                    <a:prstGeom prst="rect">
                      <a:avLst/>
                    </a:prstGeom>
                    <a:noFill/>
                  </pic:spPr>
                </pic:pic>
              </a:graphicData>
            </a:graphic>
          </wp:anchor>
        </w:drawing>
      </w:r>
    </w:p>
    <w:p>
      <w:pPr>
        <w:spacing w:after="0" w:line="138" w:lineRule="exact"/>
        <w:rPr>
          <w:sz w:val="20"/>
          <w:szCs w:val="20"/>
          <w:color w:val="auto"/>
        </w:rPr>
      </w:pPr>
    </w:p>
    <w:p>
      <w:pPr>
        <w:ind w:left="120" w:right="260" w:firstLine="432"/>
        <w:spacing w:after="0" w:line="298" w:lineRule="auto"/>
        <w:rPr>
          <w:sz w:val="20"/>
          <w:szCs w:val="20"/>
          <w:color w:val="auto"/>
        </w:rPr>
      </w:pPr>
      <w:r>
        <w:rPr>
          <w:rFonts w:ascii="Arial" w:cs="Arial" w:eastAsia="Arial" w:hAnsi="Arial"/>
          <w:sz w:val="16"/>
          <w:szCs w:val="16"/>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by the time of the exchange, an amount equal to the then applicable backup withholding rate on all reportable payments made to me thereafter will be withheld until I provide a number.</w:t>
      </w:r>
    </w:p>
    <w:p>
      <w:pPr>
        <w:spacing w:after="0" w:line="93" w:lineRule="exact"/>
        <w:rPr>
          <w:sz w:val="20"/>
          <w:szCs w:val="20"/>
          <w:color w:val="auto"/>
        </w:rPr>
      </w:pPr>
    </w:p>
    <w:p>
      <w:pPr>
        <w:ind w:left="560"/>
        <w:spacing w:after="0"/>
        <w:tabs>
          <w:tab w:leader="none" w:pos="54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Date</w:t>
      </w:r>
    </w:p>
    <w:p>
      <w:pPr>
        <w:sectPr>
          <w:pgSz w:w="11900" w:h="16838" w:orient="portrait"/>
          <w:cols w:equalWidth="0" w:num="1">
            <w:col w:w="11420"/>
          </w:cols>
          <w:pgMar w:left="240" w:top="273" w:right="239" w:bottom="1440" w:gutter="0" w:footer="0" w:header="0"/>
        </w:sectPr>
      </w:pPr>
    </w:p>
    <w:bookmarkStart w:id="464" w:name="page465"/>
    <w:bookmarkEnd w:id="4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GUIDELINES FOR CERTIFICATION OF TAXPAYER IDENTIFICATION NUMBER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SUBSTITUTE FORM W-9</w:t>
      </w:r>
    </w:p>
    <w:p>
      <w:pPr>
        <w:spacing w:after="0" w:line="145"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GUIDELINES FOR DETERMINING THE PROPER IDENTIFICATION NUMBER TO GIVE THE PAYOR</w:t>
      </w:r>
      <w:r>
        <w:rPr>
          <w:rFonts w:ascii="Arial" w:cs="Arial" w:eastAsia="Arial" w:hAnsi="Arial"/>
          <w:sz w:val="18"/>
          <w:szCs w:val="18"/>
          <w:color w:val="auto"/>
        </w:rPr>
        <w:t>.—Social security numbers have nine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digits separated by two hyphens, </w:t>
      </w:r>
      <w:r>
        <w:rPr>
          <w:rFonts w:ascii="Arial" w:cs="Arial" w:eastAsia="Arial" w:hAnsi="Arial"/>
          <w:sz w:val="18"/>
          <w:szCs w:val="18"/>
          <w:i w:val="1"/>
          <w:iCs w:val="1"/>
          <w:color w:val="auto"/>
        </w:rPr>
        <w:t>e.g.</w:t>
      </w:r>
      <w:r>
        <w:rPr>
          <w:rFonts w:ascii="Arial" w:cs="Arial" w:eastAsia="Arial" w:hAnsi="Arial"/>
          <w:sz w:val="18"/>
          <w:szCs w:val="18"/>
          <w:color w:val="auto"/>
        </w:rPr>
        <w:t xml:space="preserve">, 000-00-0000. Employer identification numbers have nine digits separated by only one hyphen, </w:t>
      </w:r>
      <w:r>
        <w:rPr>
          <w:rFonts w:ascii="Arial" w:cs="Arial" w:eastAsia="Arial" w:hAnsi="Arial"/>
          <w:sz w:val="18"/>
          <w:szCs w:val="18"/>
          <w:i w:val="1"/>
          <w:iCs w:val="1"/>
          <w:color w:val="auto"/>
        </w:rPr>
        <w:t>e.g.</w:t>
      </w:r>
      <w:r>
        <w:rPr>
          <w:rFonts w:ascii="Arial" w:cs="Arial" w:eastAsia="Arial" w:hAnsi="Arial"/>
          <w:sz w:val="18"/>
          <w:szCs w:val="18"/>
          <w:color w:val="auto"/>
        </w:rPr>
        <w:t>, 00-0000000. The table below will help determine the number to give the payor.</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Give the name* and</w:t>
            </w:r>
          </w:p>
        </w:tc>
        <w:tc>
          <w:tcPr>
            <w:tcW w:w="368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tcPr>
          <w:p>
            <w:pPr>
              <w:ind w:left="1160"/>
              <w:spacing w:after="0" w:line="149" w:lineRule="exact"/>
              <w:rPr>
                <w:sz w:val="20"/>
                <w:szCs w:val="20"/>
                <w:color w:val="auto"/>
              </w:rPr>
            </w:pPr>
            <w:r>
              <w:rPr>
                <w:rFonts w:ascii="Arial" w:cs="Arial" w:eastAsia="Arial" w:hAnsi="Arial"/>
                <w:sz w:val="14"/>
                <w:szCs w:val="14"/>
                <w:b w:val="1"/>
                <w:bCs w:val="1"/>
                <w:color w:val="auto"/>
              </w:rPr>
              <w:t>Give the name and</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720" w:type="dxa"/>
            <w:vAlign w:val="bottom"/>
            <w:vMerge w:val="continue"/>
          </w:tcPr>
          <w:p>
            <w:pPr>
              <w:spacing w:after="0"/>
              <w:rPr>
                <w:sz w:val="11"/>
                <w:szCs w:val="11"/>
                <w:color w:val="auto"/>
              </w:rPr>
            </w:pPr>
          </w:p>
        </w:tc>
        <w:tc>
          <w:tcPr>
            <w:tcW w:w="3680" w:type="dxa"/>
            <w:vAlign w:val="bottom"/>
          </w:tcPr>
          <w:p>
            <w:pPr>
              <w:spacing w:after="0"/>
              <w:rPr>
                <w:sz w:val="11"/>
                <w:szCs w:val="11"/>
                <w:color w:val="auto"/>
              </w:rPr>
            </w:pPr>
          </w:p>
        </w:tc>
        <w:tc>
          <w:tcPr>
            <w:tcW w:w="3220" w:type="dxa"/>
            <w:vAlign w:val="bottom"/>
          </w:tcPr>
          <w:p>
            <w:pPr>
              <w:ind w:left="1160"/>
              <w:spacing w:after="0" w:line="135" w:lineRule="exact"/>
              <w:rPr>
                <w:sz w:val="20"/>
                <w:szCs w:val="20"/>
                <w:color w:val="auto"/>
              </w:rPr>
            </w:pPr>
            <w:r>
              <w:rPr>
                <w:rFonts w:ascii="Arial" w:cs="Arial" w:eastAsia="Arial" w:hAnsi="Arial"/>
                <w:sz w:val="14"/>
                <w:szCs w:val="14"/>
                <w:b w:val="1"/>
                <w:bCs w:val="1"/>
                <w:color w:val="auto"/>
              </w:rPr>
              <w:t>EMPLOYER</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72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SOCIAL SECURITY</w:t>
            </w:r>
          </w:p>
        </w:tc>
        <w:tc>
          <w:tcPr>
            <w:tcW w:w="3680" w:type="dxa"/>
            <w:vAlign w:val="bottom"/>
          </w:tcPr>
          <w:p>
            <w:pPr>
              <w:spacing w:after="0"/>
              <w:rPr>
                <w:sz w:val="12"/>
                <w:szCs w:val="12"/>
                <w:color w:val="auto"/>
              </w:rPr>
            </w:pPr>
          </w:p>
        </w:tc>
        <w:tc>
          <w:tcPr>
            <w:tcW w:w="3220" w:type="dxa"/>
            <w:vAlign w:val="bottom"/>
          </w:tcPr>
          <w:p>
            <w:pPr>
              <w:ind w:left="1160"/>
              <w:spacing w:after="0" w:line="149" w:lineRule="exact"/>
              <w:rPr>
                <w:sz w:val="20"/>
                <w:szCs w:val="20"/>
                <w:color w:val="auto"/>
              </w:rPr>
            </w:pPr>
            <w:r>
              <w:rPr>
                <w:rFonts w:ascii="Arial" w:cs="Arial" w:eastAsia="Arial" w:hAnsi="Arial"/>
                <w:sz w:val="14"/>
                <w:szCs w:val="14"/>
                <w:b w:val="1"/>
                <w:bCs w:val="1"/>
                <w:color w:val="auto"/>
              </w:rPr>
              <w:t>IDENTIFICATION</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20"/>
                <w:szCs w:val="20"/>
                <w:color w:val="auto"/>
              </w:rPr>
            </w:pPr>
            <w:r>
              <w:rPr>
                <w:rFonts w:ascii="Arial" w:cs="Arial" w:eastAsia="Arial" w:hAnsi="Arial"/>
                <w:sz w:val="14"/>
                <w:szCs w:val="14"/>
                <w:b w:val="1"/>
                <w:bCs w:val="1"/>
                <w:color w:val="auto"/>
              </w:rPr>
              <w:t>For this type of account:</w:t>
            </w:r>
          </w:p>
        </w:tc>
        <w:tc>
          <w:tcPr>
            <w:tcW w:w="2720" w:type="dxa"/>
            <w:vAlign w:val="bottom"/>
          </w:tcPr>
          <w:p>
            <w:pPr>
              <w:ind w:left="400"/>
              <w:spacing w:after="0"/>
              <w:rPr>
                <w:sz w:val="20"/>
                <w:szCs w:val="20"/>
                <w:color w:val="auto"/>
              </w:rPr>
            </w:pPr>
            <w:r>
              <w:rPr>
                <w:rFonts w:ascii="Arial" w:cs="Arial" w:eastAsia="Arial" w:hAnsi="Arial"/>
                <w:sz w:val="14"/>
                <w:szCs w:val="14"/>
                <w:b w:val="1"/>
                <w:bCs w:val="1"/>
                <w:color w:val="auto"/>
              </w:rPr>
              <w:t>number of—</w:t>
            </w:r>
          </w:p>
        </w:tc>
        <w:tc>
          <w:tcPr>
            <w:tcW w:w="3680" w:type="dxa"/>
            <w:vAlign w:val="bottom"/>
          </w:tcPr>
          <w:p>
            <w:pPr>
              <w:ind w:left="1100"/>
              <w:spacing w:after="0"/>
              <w:rPr>
                <w:sz w:val="20"/>
                <w:szCs w:val="20"/>
                <w:color w:val="auto"/>
              </w:rPr>
            </w:pPr>
            <w:r>
              <w:rPr>
                <w:rFonts w:ascii="Arial" w:cs="Arial" w:eastAsia="Arial" w:hAnsi="Arial"/>
                <w:sz w:val="14"/>
                <w:szCs w:val="14"/>
                <w:b w:val="1"/>
                <w:bCs w:val="1"/>
                <w:color w:val="auto"/>
              </w:rPr>
              <w:t>For this type of account:</w:t>
            </w:r>
          </w:p>
        </w:tc>
        <w:tc>
          <w:tcPr>
            <w:tcW w:w="3220" w:type="dxa"/>
            <w:vAlign w:val="bottom"/>
          </w:tcPr>
          <w:p>
            <w:pPr>
              <w:ind w:left="11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ind w:left="260" w:hanging="252"/>
        <w:spacing w:after="0"/>
        <w:tabs>
          <w:tab w:leader="none" w:pos="2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Individual</w:t>
      </w:r>
    </w:p>
    <w:p>
      <w:pPr>
        <w:spacing w:after="0" w:line="68" w:lineRule="exact"/>
        <w:rPr>
          <w:rFonts w:ascii="Arial" w:cs="Arial" w:eastAsia="Arial" w:hAnsi="Arial"/>
          <w:sz w:val="18"/>
          <w:szCs w:val="18"/>
          <w:color w:val="auto"/>
        </w:rPr>
      </w:pPr>
    </w:p>
    <w:p>
      <w:pPr>
        <w:ind w:left="260" w:hanging="252"/>
        <w:spacing w:after="0" w:line="332" w:lineRule="auto"/>
        <w:tabs>
          <w:tab w:leader="none" w:pos="26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Two or more individuals (joint account)</w:t>
      </w:r>
    </w:p>
    <w:p>
      <w:pPr>
        <w:spacing w:after="0" w:line="206" w:lineRule="exact"/>
        <w:rPr>
          <w:rFonts w:ascii="Arial" w:cs="Arial" w:eastAsia="Arial" w:hAnsi="Arial"/>
          <w:sz w:val="16"/>
          <w:szCs w:val="16"/>
          <w:color w:val="auto"/>
        </w:rPr>
      </w:pPr>
    </w:p>
    <w:p>
      <w:pPr>
        <w:jc w:val="both"/>
        <w:ind w:left="260" w:right="100" w:hanging="252"/>
        <w:spacing w:after="0" w:line="259" w:lineRule="auto"/>
        <w:tabs>
          <w:tab w:leader="none" w:pos="2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Custodian account of a minor (Uniform Gift to Minors Act)</w:t>
      </w:r>
    </w:p>
    <w:p>
      <w:pPr>
        <w:spacing w:after="0" w:line="45" w:lineRule="exact"/>
        <w:rPr>
          <w:rFonts w:ascii="Arial" w:cs="Arial" w:eastAsia="Arial" w:hAnsi="Arial"/>
          <w:sz w:val="18"/>
          <w:szCs w:val="18"/>
          <w:color w:val="auto"/>
        </w:rPr>
      </w:pPr>
    </w:p>
    <w:p>
      <w:pPr>
        <w:ind w:left="500" w:hanging="492"/>
        <w:spacing w:after="0" w:line="331" w:lineRule="auto"/>
        <w:tabs>
          <w:tab w:leader="none" w:pos="257" w:val="left"/>
        </w:tabs>
        <w:numPr>
          <w:ilvl w:val="0"/>
          <w:numId w:val="383"/>
        </w:numPr>
        <w:rPr>
          <w:rFonts w:ascii="Arial" w:cs="Arial" w:eastAsia="Arial" w:hAnsi="Arial"/>
          <w:sz w:val="15"/>
          <w:szCs w:val="15"/>
          <w:color w:val="auto"/>
        </w:rPr>
      </w:pPr>
      <w:r>
        <w:rPr>
          <w:rFonts w:ascii="Arial" w:cs="Arial" w:eastAsia="Arial" w:hAnsi="Arial"/>
          <w:sz w:val="15"/>
          <w:szCs w:val="15"/>
          <w:color w:val="auto"/>
        </w:rPr>
        <w:t>a. The usual revocable savings trust (grantor is also trustee)</w:t>
      </w:r>
    </w:p>
    <w:p>
      <w:pPr>
        <w:spacing w:after="0" w:line="2" w:lineRule="exact"/>
        <w:rPr>
          <w:rFonts w:ascii="Arial" w:cs="Arial" w:eastAsia="Arial" w:hAnsi="Arial"/>
          <w:sz w:val="15"/>
          <w:szCs w:val="15"/>
          <w:color w:val="auto"/>
        </w:rPr>
      </w:pPr>
    </w:p>
    <w:p>
      <w:pPr>
        <w:ind w:left="500" w:right="80" w:hanging="249"/>
        <w:spacing w:after="0" w:line="298" w:lineRule="auto"/>
        <w:tabs>
          <w:tab w:leader="none" w:pos="500" w:val="left"/>
        </w:tabs>
        <w:numPr>
          <w:ilvl w:val="1"/>
          <w:numId w:val="383"/>
        </w:numPr>
        <w:rPr>
          <w:rFonts w:ascii="Arial" w:cs="Arial" w:eastAsia="Arial" w:hAnsi="Arial"/>
          <w:sz w:val="16"/>
          <w:szCs w:val="16"/>
          <w:color w:val="auto"/>
        </w:rPr>
      </w:pPr>
      <w:r>
        <w:rPr>
          <w:rFonts w:ascii="Arial" w:cs="Arial" w:eastAsia="Arial" w:hAnsi="Arial"/>
          <w:sz w:val="16"/>
          <w:szCs w:val="16"/>
          <w:color w:val="auto"/>
        </w:rPr>
        <w:t>So-called “trust” account that is not a legal or valid trust under state law</w:t>
      </w:r>
    </w:p>
    <w:p>
      <w:pPr>
        <w:spacing w:after="0" w:line="18" w:lineRule="exact"/>
        <w:rPr>
          <w:rFonts w:ascii="Arial" w:cs="Arial" w:eastAsia="Arial" w:hAnsi="Arial"/>
          <w:sz w:val="16"/>
          <w:szCs w:val="16"/>
          <w:color w:val="auto"/>
        </w:rPr>
      </w:pPr>
    </w:p>
    <w:p>
      <w:pPr>
        <w:ind w:left="260" w:right="180" w:hanging="252"/>
        <w:spacing w:after="0" w:line="325" w:lineRule="auto"/>
        <w:tabs>
          <w:tab w:leader="none" w:pos="26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Sole proprietorship or single-owner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The individual</w:t>
            </w:r>
          </w:p>
        </w:tc>
        <w:tc>
          <w:tcPr>
            <w:tcW w:w="500" w:type="dxa"/>
            <w:vAlign w:val="bottom"/>
          </w:tcPr>
          <w:p>
            <w:pPr>
              <w:ind w:left="220"/>
              <w:spacing w:after="0"/>
              <w:rPr>
                <w:sz w:val="20"/>
                <w:szCs w:val="20"/>
                <w:color w:val="auto"/>
              </w:rPr>
            </w:pPr>
            <w:r>
              <w:rPr>
                <w:rFonts w:ascii="Arial" w:cs="Arial" w:eastAsia="Arial" w:hAnsi="Arial"/>
                <w:sz w:val="18"/>
                <w:szCs w:val="18"/>
                <w:color w:val="auto"/>
              </w:rPr>
              <w:t>6.</w:t>
            </w:r>
          </w:p>
        </w:tc>
        <w:tc>
          <w:tcPr>
            <w:tcW w:w="3380" w:type="dxa"/>
            <w:vAlign w:val="bottom"/>
          </w:tcPr>
          <w:p>
            <w:pPr>
              <w:ind w:left="60"/>
              <w:spacing w:after="0"/>
              <w:rPr>
                <w:sz w:val="20"/>
                <w:szCs w:val="20"/>
                <w:color w:val="auto"/>
              </w:rPr>
            </w:pPr>
            <w:r>
              <w:rPr>
                <w:rFonts w:ascii="Arial" w:cs="Arial" w:eastAsia="Arial" w:hAnsi="Arial"/>
                <w:sz w:val="18"/>
                <w:szCs w:val="18"/>
                <w:color w:val="auto"/>
              </w:rPr>
              <w:t>Sole proprietorship or single-owner LLC</w:t>
            </w:r>
          </w:p>
        </w:tc>
        <w:tc>
          <w:tcPr>
            <w:tcW w:w="1700" w:type="dxa"/>
            <w:vAlign w:val="bottom"/>
          </w:tcPr>
          <w:p>
            <w:pPr>
              <w:ind w:left="80"/>
              <w:spacing w:after="0"/>
              <w:rPr>
                <w:sz w:val="20"/>
                <w:szCs w:val="20"/>
                <w:color w:val="auto"/>
              </w:rPr>
            </w:pPr>
            <w:r>
              <w:rPr>
                <w:rFonts w:ascii="Arial" w:cs="Arial" w:eastAsia="Arial" w:hAnsi="Arial"/>
                <w:sz w:val="18"/>
                <w:szCs w:val="18"/>
                <w:color w:val="auto"/>
              </w:rPr>
              <w:t>The owner(3)</w:t>
            </w:r>
          </w:p>
        </w:tc>
      </w:tr>
      <w:tr>
        <w:trPr>
          <w:trHeight w:val="269"/>
        </w:trPr>
        <w:tc>
          <w:tcPr>
            <w:tcW w:w="3200" w:type="dxa"/>
            <w:vAlign w:val="bottom"/>
          </w:tcPr>
          <w:p>
            <w:pPr>
              <w:spacing w:after="0"/>
              <w:rPr>
                <w:sz w:val="20"/>
                <w:szCs w:val="20"/>
                <w:color w:val="auto"/>
              </w:rPr>
            </w:pPr>
            <w:r>
              <w:rPr>
                <w:rFonts w:ascii="Arial" w:cs="Arial" w:eastAsia="Arial" w:hAnsi="Arial"/>
                <w:sz w:val="18"/>
                <w:szCs w:val="18"/>
                <w:color w:val="auto"/>
              </w:rPr>
              <w:t>The actual owner of the account or, if</w:t>
            </w:r>
          </w:p>
        </w:tc>
        <w:tc>
          <w:tcPr>
            <w:tcW w:w="500" w:type="dxa"/>
            <w:vAlign w:val="bottom"/>
          </w:tcPr>
          <w:p>
            <w:pPr>
              <w:ind w:left="220"/>
              <w:spacing w:after="0"/>
              <w:rPr>
                <w:sz w:val="20"/>
                <w:szCs w:val="20"/>
                <w:color w:val="auto"/>
              </w:rPr>
            </w:pPr>
            <w:r>
              <w:rPr>
                <w:rFonts w:ascii="Arial" w:cs="Arial" w:eastAsia="Arial" w:hAnsi="Arial"/>
                <w:sz w:val="18"/>
                <w:szCs w:val="18"/>
                <w:color w:val="auto"/>
              </w:rPr>
              <w:t>7.</w:t>
            </w:r>
          </w:p>
        </w:tc>
        <w:tc>
          <w:tcPr>
            <w:tcW w:w="3380" w:type="dxa"/>
            <w:vAlign w:val="bottom"/>
          </w:tcPr>
          <w:p>
            <w:pPr>
              <w:ind w:left="60"/>
              <w:spacing w:after="0"/>
              <w:rPr>
                <w:sz w:val="20"/>
                <w:szCs w:val="20"/>
                <w:color w:val="auto"/>
              </w:rPr>
            </w:pPr>
            <w:r>
              <w:rPr>
                <w:rFonts w:ascii="Arial" w:cs="Arial" w:eastAsia="Arial" w:hAnsi="Arial"/>
                <w:sz w:val="18"/>
                <w:szCs w:val="18"/>
                <w:color w:val="auto"/>
              </w:rPr>
              <w:t>A valid trust, estate, or pension trust</w:t>
            </w:r>
          </w:p>
        </w:tc>
        <w:tc>
          <w:tcPr>
            <w:tcW w:w="1700" w:type="dxa"/>
            <w:vAlign w:val="bottom"/>
          </w:tcPr>
          <w:p>
            <w:pPr>
              <w:ind w:left="80"/>
              <w:spacing w:after="0"/>
              <w:rPr>
                <w:sz w:val="20"/>
                <w:szCs w:val="20"/>
                <w:color w:val="auto"/>
              </w:rPr>
            </w:pPr>
            <w:r>
              <w:rPr>
                <w:rFonts w:ascii="Arial" w:cs="Arial" w:eastAsia="Arial" w:hAnsi="Arial"/>
                <w:sz w:val="18"/>
                <w:szCs w:val="18"/>
                <w:color w:val="auto"/>
              </w:rPr>
              <w:t>Legal entity(4)</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6"/>
              </w:rPr>
              <w:t>combined funds, the first individual on the</w:t>
            </w:r>
          </w:p>
        </w:tc>
        <w:tc>
          <w:tcPr>
            <w:tcW w:w="5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account(1)</w:t>
            </w:r>
          </w:p>
        </w:tc>
        <w:tc>
          <w:tcPr>
            <w:tcW w:w="5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77"/>
        </w:trPr>
        <w:tc>
          <w:tcPr>
            <w:tcW w:w="3200" w:type="dxa"/>
            <w:vAlign w:val="bottom"/>
          </w:tcPr>
          <w:p>
            <w:pPr>
              <w:spacing w:after="0"/>
              <w:rPr>
                <w:sz w:val="20"/>
                <w:szCs w:val="20"/>
                <w:color w:val="auto"/>
              </w:rPr>
            </w:pPr>
            <w:r>
              <w:rPr>
                <w:rFonts w:ascii="Arial" w:cs="Arial" w:eastAsia="Arial" w:hAnsi="Arial"/>
                <w:sz w:val="18"/>
                <w:szCs w:val="18"/>
                <w:color w:val="auto"/>
              </w:rPr>
              <w:t>The minor(2)</w:t>
            </w:r>
          </w:p>
        </w:tc>
        <w:tc>
          <w:tcPr>
            <w:tcW w:w="500" w:type="dxa"/>
            <w:vAlign w:val="bottom"/>
          </w:tcPr>
          <w:p>
            <w:pPr>
              <w:ind w:left="220"/>
              <w:spacing w:after="0"/>
              <w:rPr>
                <w:sz w:val="20"/>
                <w:szCs w:val="20"/>
                <w:color w:val="auto"/>
              </w:rPr>
            </w:pPr>
            <w:r>
              <w:rPr>
                <w:rFonts w:ascii="Arial" w:cs="Arial" w:eastAsia="Arial" w:hAnsi="Arial"/>
                <w:sz w:val="18"/>
                <w:szCs w:val="18"/>
                <w:color w:val="auto"/>
              </w:rPr>
              <w:t>8.</w:t>
            </w:r>
          </w:p>
        </w:tc>
        <w:tc>
          <w:tcPr>
            <w:tcW w:w="3380" w:type="dxa"/>
            <w:vAlign w:val="bottom"/>
          </w:tcPr>
          <w:p>
            <w:pPr>
              <w:ind w:left="60"/>
              <w:spacing w:after="0"/>
              <w:rPr>
                <w:sz w:val="20"/>
                <w:szCs w:val="20"/>
                <w:color w:val="auto"/>
              </w:rPr>
            </w:pPr>
            <w:r>
              <w:rPr>
                <w:rFonts w:ascii="Arial" w:cs="Arial" w:eastAsia="Arial" w:hAnsi="Arial"/>
                <w:sz w:val="18"/>
                <w:szCs w:val="18"/>
                <w:color w:val="auto"/>
                <w:w w:val="90"/>
              </w:rPr>
              <w:t>Corporate or LLC electing corporate status on</w:t>
            </w:r>
          </w:p>
        </w:tc>
        <w:tc>
          <w:tcPr>
            <w:tcW w:w="1700" w:type="dxa"/>
            <w:vAlign w:val="bottom"/>
          </w:tcPr>
          <w:p>
            <w:pPr>
              <w:ind w:left="80"/>
              <w:spacing w:after="0"/>
              <w:rPr>
                <w:sz w:val="20"/>
                <w:szCs w:val="20"/>
                <w:color w:val="auto"/>
              </w:rPr>
            </w:pPr>
            <w:r>
              <w:rPr>
                <w:rFonts w:ascii="Arial" w:cs="Arial" w:eastAsia="Arial" w:hAnsi="Arial"/>
                <w:sz w:val="18"/>
                <w:szCs w:val="18"/>
                <w:color w:val="auto"/>
              </w:rPr>
              <w:t>The corporation</w:t>
            </w:r>
          </w:p>
        </w:tc>
      </w:tr>
      <w:tr>
        <w:trPr>
          <w:trHeight w:val="222"/>
        </w:trPr>
        <w:tc>
          <w:tcPr>
            <w:tcW w:w="3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80" w:type="dxa"/>
            <w:vAlign w:val="bottom"/>
          </w:tcPr>
          <w:p>
            <w:pPr>
              <w:ind w:left="60"/>
              <w:spacing w:after="0"/>
              <w:rPr>
                <w:sz w:val="20"/>
                <w:szCs w:val="20"/>
                <w:color w:val="auto"/>
              </w:rPr>
            </w:pPr>
            <w:r>
              <w:rPr>
                <w:rFonts w:ascii="Arial" w:cs="Arial" w:eastAsia="Arial" w:hAnsi="Arial"/>
                <w:sz w:val="18"/>
                <w:szCs w:val="18"/>
                <w:color w:val="auto"/>
              </w:rPr>
              <w:t>Form 8832</w:t>
            </w:r>
          </w:p>
        </w:tc>
        <w:tc>
          <w:tcPr>
            <w:tcW w:w="1700" w:type="dxa"/>
            <w:vAlign w:val="bottom"/>
          </w:tcPr>
          <w:p>
            <w:pPr>
              <w:spacing w:after="0"/>
              <w:rPr>
                <w:sz w:val="19"/>
                <w:szCs w:val="19"/>
                <w:color w:val="auto"/>
              </w:rPr>
            </w:pPr>
          </w:p>
        </w:tc>
      </w:tr>
      <w:tr>
        <w:trPr>
          <w:trHeight w:val="493"/>
        </w:trPr>
        <w:tc>
          <w:tcPr>
            <w:tcW w:w="3200" w:type="dxa"/>
            <w:vAlign w:val="bottom"/>
          </w:tcPr>
          <w:p>
            <w:pPr>
              <w:spacing w:after="0"/>
              <w:rPr>
                <w:sz w:val="20"/>
                <w:szCs w:val="20"/>
                <w:color w:val="auto"/>
              </w:rPr>
            </w:pPr>
            <w:r>
              <w:rPr>
                <w:rFonts w:ascii="Arial" w:cs="Arial" w:eastAsia="Arial" w:hAnsi="Arial"/>
                <w:sz w:val="18"/>
                <w:szCs w:val="18"/>
                <w:color w:val="auto"/>
              </w:rPr>
              <w:t>The grantor-trustee(1)</w:t>
            </w:r>
          </w:p>
        </w:tc>
        <w:tc>
          <w:tcPr>
            <w:tcW w:w="500" w:type="dxa"/>
            <w:vAlign w:val="bottom"/>
          </w:tcPr>
          <w:p>
            <w:pPr>
              <w:ind w:left="220"/>
              <w:spacing w:after="0"/>
              <w:rPr>
                <w:sz w:val="20"/>
                <w:szCs w:val="20"/>
                <w:color w:val="auto"/>
              </w:rPr>
            </w:pPr>
            <w:r>
              <w:rPr>
                <w:rFonts w:ascii="Arial" w:cs="Arial" w:eastAsia="Arial" w:hAnsi="Arial"/>
                <w:sz w:val="18"/>
                <w:szCs w:val="18"/>
                <w:color w:val="auto"/>
              </w:rPr>
              <w:t>9.</w:t>
            </w:r>
          </w:p>
        </w:tc>
        <w:tc>
          <w:tcPr>
            <w:tcW w:w="3380" w:type="dxa"/>
            <w:vAlign w:val="bottom"/>
          </w:tcPr>
          <w:p>
            <w:pPr>
              <w:ind w:left="60"/>
              <w:spacing w:after="0"/>
              <w:rPr>
                <w:sz w:val="20"/>
                <w:szCs w:val="20"/>
                <w:color w:val="auto"/>
              </w:rPr>
            </w:pPr>
            <w:r>
              <w:rPr>
                <w:rFonts w:ascii="Arial" w:cs="Arial" w:eastAsia="Arial" w:hAnsi="Arial"/>
                <w:sz w:val="18"/>
                <w:szCs w:val="18"/>
                <w:color w:val="auto"/>
              </w:rPr>
              <w:t>Association, club, religious, charitable,</w:t>
            </w:r>
          </w:p>
        </w:tc>
        <w:tc>
          <w:tcPr>
            <w:tcW w:w="1700" w:type="dxa"/>
            <w:vAlign w:val="bottom"/>
          </w:tcPr>
          <w:p>
            <w:pPr>
              <w:ind w:left="80"/>
              <w:spacing w:after="0"/>
              <w:rPr>
                <w:sz w:val="20"/>
                <w:szCs w:val="20"/>
                <w:color w:val="auto"/>
              </w:rPr>
            </w:pPr>
            <w:r>
              <w:rPr>
                <w:rFonts w:ascii="Arial" w:cs="Arial" w:eastAsia="Arial" w:hAnsi="Arial"/>
                <w:sz w:val="18"/>
                <w:szCs w:val="18"/>
                <w:color w:val="auto"/>
              </w:rPr>
              <w:t>The organization</w:t>
            </w:r>
          </w:p>
        </w:tc>
      </w:tr>
      <w:tr>
        <w:trPr>
          <w:trHeight w:val="222"/>
        </w:trPr>
        <w:tc>
          <w:tcPr>
            <w:tcW w:w="3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80" w:type="dxa"/>
            <w:vAlign w:val="bottom"/>
          </w:tcPr>
          <w:p>
            <w:pPr>
              <w:ind w:left="60"/>
              <w:spacing w:after="0"/>
              <w:rPr>
                <w:sz w:val="20"/>
                <w:szCs w:val="20"/>
                <w:color w:val="auto"/>
              </w:rPr>
            </w:pPr>
            <w:r>
              <w:rPr>
                <w:rFonts w:ascii="Arial" w:cs="Arial" w:eastAsia="Arial" w:hAnsi="Arial"/>
                <w:sz w:val="18"/>
                <w:szCs w:val="18"/>
                <w:color w:val="auto"/>
                <w:w w:val="92"/>
              </w:rPr>
              <w:t>educational or other tax-exempt organization</w:t>
            </w:r>
          </w:p>
        </w:tc>
        <w:tc>
          <w:tcPr>
            <w:tcW w:w="1700" w:type="dxa"/>
            <w:vAlign w:val="bottom"/>
          </w:tcPr>
          <w:p>
            <w:pPr>
              <w:spacing w:after="0"/>
              <w:rPr>
                <w:sz w:val="19"/>
                <w:szCs w:val="19"/>
                <w:color w:val="auto"/>
              </w:rPr>
            </w:pPr>
          </w:p>
        </w:tc>
      </w:tr>
      <w:tr>
        <w:trPr>
          <w:trHeight w:val="500"/>
        </w:trPr>
        <w:tc>
          <w:tcPr>
            <w:tcW w:w="3200" w:type="dxa"/>
            <w:vAlign w:val="bottom"/>
          </w:tcPr>
          <w:p>
            <w:pPr>
              <w:spacing w:after="0"/>
              <w:rPr>
                <w:sz w:val="20"/>
                <w:szCs w:val="20"/>
                <w:color w:val="auto"/>
              </w:rPr>
            </w:pPr>
            <w:r>
              <w:rPr>
                <w:rFonts w:ascii="Arial" w:cs="Arial" w:eastAsia="Arial" w:hAnsi="Arial"/>
                <w:sz w:val="18"/>
                <w:szCs w:val="18"/>
                <w:color w:val="auto"/>
              </w:rPr>
              <w:t>The actual owner(1)</w:t>
            </w:r>
          </w:p>
        </w:tc>
        <w:tc>
          <w:tcPr>
            <w:tcW w:w="500" w:type="dxa"/>
            <w:vAlign w:val="bottom"/>
          </w:tcPr>
          <w:p>
            <w:pPr>
              <w:ind w:left="220"/>
              <w:spacing w:after="0"/>
              <w:rPr>
                <w:sz w:val="20"/>
                <w:szCs w:val="20"/>
                <w:color w:val="auto"/>
              </w:rPr>
            </w:pPr>
            <w:r>
              <w:rPr>
                <w:rFonts w:ascii="Arial" w:cs="Arial" w:eastAsia="Arial" w:hAnsi="Arial"/>
                <w:sz w:val="18"/>
                <w:szCs w:val="18"/>
                <w:color w:val="auto"/>
              </w:rPr>
              <w:t>10.</w:t>
            </w:r>
          </w:p>
        </w:tc>
        <w:tc>
          <w:tcPr>
            <w:tcW w:w="3380" w:type="dxa"/>
            <w:vAlign w:val="bottom"/>
          </w:tcPr>
          <w:p>
            <w:pPr>
              <w:ind w:left="60"/>
              <w:spacing w:after="0"/>
              <w:rPr>
                <w:sz w:val="20"/>
                <w:szCs w:val="20"/>
                <w:color w:val="auto"/>
              </w:rPr>
            </w:pPr>
            <w:r>
              <w:rPr>
                <w:rFonts w:ascii="Arial" w:cs="Arial" w:eastAsia="Arial" w:hAnsi="Arial"/>
                <w:sz w:val="18"/>
                <w:szCs w:val="18"/>
                <w:color w:val="auto"/>
              </w:rPr>
              <w:t>Partnership or Multi-Member LLC</w:t>
            </w:r>
          </w:p>
        </w:tc>
        <w:tc>
          <w:tcPr>
            <w:tcW w:w="1700" w:type="dxa"/>
            <w:vAlign w:val="bottom"/>
          </w:tcPr>
          <w:p>
            <w:pPr>
              <w:ind w:left="80"/>
              <w:spacing w:after="0"/>
              <w:rPr>
                <w:sz w:val="20"/>
                <w:szCs w:val="20"/>
                <w:color w:val="auto"/>
              </w:rPr>
            </w:pPr>
            <w:r>
              <w:rPr>
                <w:rFonts w:ascii="Arial" w:cs="Arial" w:eastAsia="Arial" w:hAnsi="Arial"/>
                <w:sz w:val="18"/>
                <w:szCs w:val="18"/>
                <w:color w:val="auto"/>
              </w:rPr>
              <w:t>The partnership</w:t>
            </w:r>
          </w:p>
        </w:tc>
      </w:tr>
      <w:tr>
        <w:trPr>
          <w:trHeight w:val="932"/>
        </w:trPr>
        <w:tc>
          <w:tcPr>
            <w:tcW w:w="3200" w:type="dxa"/>
            <w:vAlign w:val="bottom"/>
          </w:tcPr>
          <w:p>
            <w:pPr>
              <w:spacing w:after="0"/>
              <w:rPr>
                <w:sz w:val="20"/>
                <w:szCs w:val="20"/>
                <w:color w:val="auto"/>
              </w:rPr>
            </w:pPr>
            <w:r>
              <w:rPr>
                <w:rFonts w:ascii="Arial" w:cs="Arial" w:eastAsia="Arial" w:hAnsi="Arial"/>
                <w:sz w:val="18"/>
                <w:szCs w:val="18"/>
                <w:color w:val="auto"/>
              </w:rPr>
              <w:t>The owner(3)</w:t>
            </w:r>
          </w:p>
        </w:tc>
        <w:tc>
          <w:tcPr>
            <w:tcW w:w="500" w:type="dxa"/>
            <w:vAlign w:val="bottom"/>
          </w:tcPr>
          <w:p>
            <w:pPr>
              <w:ind w:left="220"/>
              <w:spacing w:after="0"/>
              <w:rPr>
                <w:sz w:val="20"/>
                <w:szCs w:val="20"/>
                <w:color w:val="auto"/>
              </w:rPr>
            </w:pPr>
            <w:r>
              <w:rPr>
                <w:rFonts w:ascii="Arial" w:cs="Arial" w:eastAsia="Arial" w:hAnsi="Arial"/>
                <w:sz w:val="18"/>
                <w:szCs w:val="18"/>
                <w:color w:val="auto"/>
              </w:rPr>
              <w:t>11.</w:t>
            </w:r>
          </w:p>
        </w:tc>
        <w:tc>
          <w:tcPr>
            <w:tcW w:w="3380" w:type="dxa"/>
            <w:vAlign w:val="bottom"/>
          </w:tcPr>
          <w:p>
            <w:pPr>
              <w:ind w:left="60"/>
              <w:spacing w:after="0"/>
              <w:rPr>
                <w:sz w:val="20"/>
                <w:szCs w:val="20"/>
                <w:color w:val="auto"/>
              </w:rPr>
            </w:pPr>
            <w:r>
              <w:rPr>
                <w:rFonts w:ascii="Arial" w:cs="Arial" w:eastAsia="Arial" w:hAnsi="Arial"/>
                <w:sz w:val="18"/>
                <w:szCs w:val="18"/>
                <w:color w:val="auto"/>
              </w:rPr>
              <w:t>A broker or registered nominee</w:t>
            </w:r>
          </w:p>
        </w:tc>
        <w:tc>
          <w:tcPr>
            <w:tcW w:w="1700" w:type="dxa"/>
            <w:vAlign w:val="bottom"/>
          </w:tcPr>
          <w:p>
            <w:pPr>
              <w:ind w:left="80"/>
              <w:spacing w:after="0"/>
              <w:rPr>
                <w:sz w:val="20"/>
                <w:szCs w:val="20"/>
                <w:color w:val="auto"/>
              </w:rPr>
            </w:pPr>
            <w:r>
              <w:rPr>
                <w:rFonts w:ascii="Arial" w:cs="Arial" w:eastAsia="Arial" w:hAnsi="Arial"/>
                <w:sz w:val="18"/>
                <w:szCs w:val="18"/>
                <w:color w:val="auto"/>
                <w:w w:val="87"/>
              </w:rPr>
              <w:t>The broker or nominee</w:t>
            </w:r>
          </w:p>
        </w:tc>
      </w:tr>
    </w:tbl>
    <w:p>
      <w:pPr>
        <w:spacing w:after="0" w:line="276" w:lineRule="exact"/>
        <w:rPr>
          <w:sz w:val="20"/>
          <w:szCs w:val="20"/>
          <w:color w:val="auto"/>
        </w:rPr>
      </w:pPr>
    </w:p>
    <w:p>
      <w:pPr>
        <w:sectPr>
          <w:pgSz w:w="11900" w:h="16838" w:orient="portrait"/>
          <w:cols w:equalWidth="0" w:num="2">
            <w:col w:w="1980" w:space="220"/>
            <w:col w:w="9220"/>
          </w:cols>
          <w:pgMar w:left="240" w:top="274" w:right="239" w:bottom="1440" w:gutter="0" w:footer="0" w:header="0"/>
          <w:type w:val="continuous"/>
        </w:sectPr>
      </w:pPr>
    </w:p>
    <w:p>
      <w:pPr>
        <w:ind w:left="5620"/>
        <w:spacing w:after="0"/>
        <w:rPr>
          <w:sz w:val="20"/>
          <w:szCs w:val="20"/>
          <w:color w:val="auto"/>
        </w:rPr>
      </w:pPr>
      <w:r>
        <w:rPr>
          <w:rFonts w:ascii="Arial" w:cs="Arial" w:eastAsia="Arial" w:hAnsi="Arial"/>
          <w:sz w:val="18"/>
          <w:szCs w:val="18"/>
          <w:color w:val="auto"/>
        </w:rPr>
        <w:t>12.  Account with the Department of Agriculture in The public entity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name of a public entity (such as a state 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local government, school district, or prison)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that receives agricultural program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0" w:hanging="408"/>
        <w:spacing w:after="0"/>
        <w:tabs>
          <w:tab w:leader="none" w:pos="460" w:val="left"/>
        </w:tabs>
        <w:numPr>
          <w:ilvl w:val="0"/>
          <w:numId w:val="384"/>
        </w:numPr>
        <w:rPr>
          <w:rFonts w:ascii="Arial" w:cs="Arial" w:eastAsia="Arial" w:hAnsi="Arial"/>
          <w:sz w:val="15"/>
          <w:szCs w:val="15"/>
          <w:color w:val="auto"/>
        </w:rPr>
      </w:pPr>
      <w:r>
        <w:rPr>
          <w:rFonts w:ascii="Arial" w:cs="Arial" w:eastAsia="Arial" w:hAnsi="Arial"/>
          <w:sz w:val="15"/>
          <w:szCs w:val="15"/>
          <w:color w:val="auto"/>
        </w:rPr>
        <w:t>If you are an individual, you must generally enter the name shown on your social security card. However, if you have changed your last name, for instance,</w:t>
      </w:r>
    </w:p>
    <w:p>
      <w:pPr>
        <w:spacing w:after="0" w:line="50" w:lineRule="exact"/>
        <w:rPr>
          <w:sz w:val="20"/>
          <w:szCs w:val="20"/>
          <w:color w:val="auto"/>
        </w:rPr>
      </w:pPr>
    </w:p>
    <w:p>
      <w:pPr>
        <w:ind w:left="460" w:right="500"/>
        <w:spacing w:after="0" w:line="250" w:lineRule="auto"/>
        <w:rPr>
          <w:sz w:val="20"/>
          <w:szCs w:val="20"/>
          <w:color w:val="auto"/>
        </w:rPr>
      </w:pPr>
      <w:r>
        <w:rPr>
          <w:rFonts w:ascii="Arial" w:cs="Arial" w:eastAsia="Arial" w:hAnsi="Arial"/>
          <w:sz w:val="18"/>
          <w:szCs w:val="18"/>
          <w:color w:val="auto"/>
        </w:rPr>
        <w:t>due to marriage, without informing the Social Security Administration of the name change, enter your first name, the last name shown on your social security card, and your new last name.</w:t>
      </w:r>
    </w:p>
    <w:p>
      <w:pPr>
        <w:spacing w:after="0" w:line="1" w:lineRule="exact"/>
        <w:rPr>
          <w:sz w:val="20"/>
          <w:szCs w:val="20"/>
          <w:color w:val="auto"/>
        </w:rPr>
      </w:pPr>
    </w:p>
    <w:p>
      <w:pPr>
        <w:ind w:left="460" w:right="400" w:hanging="452"/>
        <w:spacing w:after="0" w:line="250" w:lineRule="auto"/>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number you furnish. If only one person on a joint account has a social security number, that person’s number must be furnished.</w:t>
      </w:r>
    </w:p>
    <w:p>
      <w:pPr>
        <w:ind w:left="460" w:hanging="452"/>
        <w:spacing w:after="0"/>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Circle the minor’s name and furnish the minor’s social security number.</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You must show your individual name and you may also enter your business or “DBA” name on the second name line. You may use either your social security number or employer identification number (if you have one). If you are a sole proprietor, the Internal Revenue Service encourages you to use your social security number.</w:t>
      </w:r>
    </w:p>
    <w:p>
      <w:pPr>
        <w:spacing w:after="0" w:line="1"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 (Do not furnish the TIN of the personal representative or trustee unless the legal entity itself is not designated in the account title.)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If no name is circled when more than one name is listed, the number will be considered to be that of the first name listed.</w:t>
      </w:r>
    </w:p>
    <w:p>
      <w:pPr>
        <w:sectPr>
          <w:pgSz w:w="11900" w:h="16838" w:orient="portrait"/>
          <w:cols w:equalWidth="0" w:num="1">
            <w:col w:w="11420"/>
          </w:cols>
          <w:pgMar w:left="240" w:top="274" w:right="239" w:bottom="1440" w:gutter="0" w:footer="0" w:header="0"/>
          <w:type w:val="continuous"/>
        </w:sectPr>
      </w:pPr>
    </w:p>
    <w:bookmarkStart w:id="465" w:name="page466"/>
    <w:bookmarkEnd w:id="4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GUIDELINES FOR CERTIFICATION OF TAXPAYER IDENTIFICATION NUMBER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SUBSTITUTE FORM W-9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Obtaining a TIN</w:t>
      </w:r>
    </w:p>
    <w:p>
      <w:pPr>
        <w:spacing w:after="0" w:line="77"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color w:val="auto"/>
        </w:rPr>
        <w:t xml:space="preserve">If you do not have a TIN or you do not know your number, obtain </w:t>
      </w:r>
      <w:r>
        <w:rPr>
          <w:rFonts w:ascii="Arial" w:cs="Arial" w:eastAsia="Arial" w:hAnsi="Arial"/>
          <w:sz w:val="16"/>
          <w:szCs w:val="16"/>
          <w:b w:val="1"/>
          <w:bCs w:val="1"/>
          <w:color w:val="auto"/>
        </w:rPr>
        <w:t>Form SS-5</w:t>
      </w:r>
      <w:r>
        <w:rPr>
          <w:rFonts w:ascii="Arial" w:cs="Arial" w:eastAsia="Arial" w:hAnsi="Arial"/>
          <w:sz w:val="16"/>
          <w:szCs w:val="16"/>
          <w:color w:val="auto"/>
        </w:rPr>
        <w:t xml:space="preserve">, Application for a Social Security Card (for resident individuals), </w:t>
      </w:r>
      <w:r>
        <w:rPr>
          <w:rFonts w:ascii="Arial" w:cs="Arial" w:eastAsia="Arial" w:hAnsi="Arial"/>
          <w:sz w:val="16"/>
          <w:szCs w:val="16"/>
          <w:b w:val="1"/>
          <w:bCs w:val="1"/>
          <w:color w:val="auto"/>
        </w:rPr>
        <w:t>Form SS-4</w:t>
      </w:r>
      <w:r>
        <w:rPr>
          <w:rFonts w:ascii="Arial" w:cs="Arial" w:eastAsia="Arial" w:hAnsi="Arial"/>
          <w:sz w:val="16"/>
          <w:szCs w:val="16"/>
          <w:color w:val="auto"/>
        </w:rPr>
        <w:t>, Application for Employer Identification Number (for businesses and all other entities),</w:t>
      </w:r>
      <w:r>
        <w:rPr>
          <w:rFonts w:ascii="Arial" w:cs="Arial" w:eastAsia="Arial" w:hAnsi="Arial"/>
          <w:sz w:val="16"/>
          <w:szCs w:val="16"/>
          <w:b w:val="1"/>
          <w:bCs w:val="1"/>
          <w:color w:val="auto"/>
        </w:rPr>
        <w:t xml:space="preserve"> Form W-7</w:t>
      </w:r>
      <w:r>
        <w:rPr>
          <w:rFonts w:ascii="Arial" w:cs="Arial" w:eastAsia="Arial" w:hAnsi="Arial"/>
          <w:sz w:val="16"/>
          <w:szCs w:val="16"/>
          <w:color w:val="auto"/>
        </w:rPr>
        <w:t>, Application for IRS Individual Taxpayer Identification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Number (for resident alien individuals required to file U.S. tax returns). You may obtain Form SS-5 from your local Social Security Administration Office and Forms SS-4 and W-7 from the IRS by calling 1-800-TAX-FORM (1-800-829-3676) or from the IRS’s Internet Web Site at </w:t>
      </w:r>
      <w:r>
        <w:rPr>
          <w:rFonts w:ascii="Arial" w:cs="Arial" w:eastAsia="Arial" w:hAnsi="Arial"/>
          <w:sz w:val="16"/>
          <w:szCs w:val="16"/>
          <w:i w:val="1"/>
          <w:iCs w:val="1"/>
          <w:color w:val="auto"/>
        </w:rPr>
        <w:t>www.irs.gov.</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To complete Substitute Form W-9 if you do not have a TIN, write “Applied For” in the space for the TIN in Part 1, sign and date the form, and give it to the payor. Generally, you will then have 60 days to obtain a TIN and furnish it to the payor. If the payor does not receive your TIN within 60 days, backup withholding, if applicable, will begin and will continue until you furnish your TIN to the payor. </w:t>
      </w:r>
      <w:r>
        <w:rPr>
          <w:rFonts w:ascii="Arial" w:cs="Arial" w:eastAsia="Arial" w:hAnsi="Arial"/>
          <w:sz w:val="18"/>
          <w:szCs w:val="18"/>
          <w:b w:val="1"/>
          <w:bCs w:val="1"/>
          <w:color w:val="auto"/>
        </w:rPr>
        <w:t>Note</w:t>
      </w:r>
      <w:r>
        <w:rPr>
          <w:rFonts w:ascii="Arial" w:cs="Arial" w:eastAsia="Arial" w:hAnsi="Arial"/>
          <w:sz w:val="18"/>
          <w:szCs w:val="18"/>
          <w:i w:val="1"/>
          <w:iCs w:val="1"/>
          <w:color w:val="auto"/>
        </w:rPr>
        <w:t>: Writing “Applied For” means that you have already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applied for a TIN </w:t>
      </w:r>
      <w:r>
        <w:rPr>
          <w:rFonts w:ascii="Arial" w:cs="Arial" w:eastAsia="Arial" w:hAnsi="Arial"/>
          <w:sz w:val="18"/>
          <w:szCs w:val="18"/>
          <w:b w:val="1"/>
          <w:bCs w:val="1"/>
          <w:i w:val="1"/>
          <w:iCs w:val="1"/>
          <w:color w:val="auto"/>
        </w:rPr>
        <w:t>OR</w:t>
      </w:r>
      <w:r>
        <w:rPr>
          <w:rFonts w:ascii="Arial" w:cs="Arial" w:eastAsia="Arial" w:hAnsi="Arial"/>
          <w:sz w:val="18"/>
          <w:szCs w:val="18"/>
          <w:i w:val="1"/>
          <w:iCs w:val="1"/>
          <w:color w:val="auto"/>
        </w:rPr>
        <w:t xml:space="preserve"> that you intend to apply for one soon.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Payees Exempt from Backup Withholding</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Unless otherwise noted herein, all references below to section numbers or to regulations are references to the Internal Revenue Code of 1986, as amended, and the regulations promulgated thereunder.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Payees specifically exempted from backup withholding on ALL payments include the following:*</w:t>
      </w:r>
    </w:p>
    <w:p>
      <w:pPr>
        <w:spacing w:after="0" w:line="77" w:lineRule="exact"/>
        <w:rPr>
          <w:sz w:val="20"/>
          <w:szCs w:val="20"/>
          <w:color w:val="auto"/>
        </w:rPr>
      </w:pPr>
    </w:p>
    <w:p>
      <w:pPr>
        <w:ind w:left="900" w:right="820" w:hanging="446"/>
        <w:spacing w:after="0" w:line="268" w:lineRule="auto"/>
        <w:tabs>
          <w:tab w:leader="none" w:pos="9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 organization exempt from tax under section 501(a), any IRA, or a custodial account under section 403(b)(7) if the account satisfies the requirements of section 401(f)(2).</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United States or any of its agencies or instrumentalities.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 state, the District of Columbia, a possession of the United States, or any of their political subdivisions or instrumentalities.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 foreign government or any of its political subdivisions, agencies or instrumentalities.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 international organization or any of its agencies or instrumentalities.</w:t>
      </w:r>
    </w:p>
    <w:p>
      <w:pPr>
        <w:spacing w:after="0" w:line="179"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Exempt payees described above should file a Substitute Form W-9 to avoid possible backup withholding. FURNISH YOUR TIN IN PART 1, WRITE “EXEMPT” IN PART 3, SIGN AND DATE THE FORM AND RETURN IT TO THE PAYOR.</w:t>
      </w:r>
    </w:p>
    <w:p>
      <w:pPr>
        <w:spacing w:after="0" w:line="3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payments not subject to information reporting also are not subject to backup withholding. For details, see sections 6041, 6041A(a), 6042, 6044, 6045, 6049, 6050A, and 6050N, and their regulations.</w:t>
      </w:r>
    </w:p>
    <w:p>
      <w:pPr>
        <w:spacing w:after="0" w:line="112" w:lineRule="exact"/>
        <w:rPr>
          <w:sz w:val="20"/>
          <w:szCs w:val="20"/>
          <w:color w:val="auto"/>
        </w:rPr>
      </w:pPr>
    </w:p>
    <w:p>
      <w:pPr>
        <w:ind w:right="120" w:firstLine="456"/>
        <w:spacing w:after="0" w:line="339" w:lineRule="auto"/>
        <w:rPr>
          <w:sz w:val="20"/>
          <w:szCs w:val="20"/>
          <w:color w:val="auto"/>
        </w:rPr>
      </w:pPr>
      <w:r>
        <w:rPr>
          <w:rFonts w:ascii="Arial" w:cs="Arial" w:eastAsia="Arial" w:hAnsi="Arial"/>
          <w:sz w:val="15"/>
          <w:szCs w:val="15"/>
          <w:b w:val="1"/>
          <w:bCs w:val="1"/>
          <w:color w:val="auto"/>
        </w:rPr>
        <w:t xml:space="preserve">Privacy Act Notice. </w:t>
      </w:r>
      <w:r>
        <w:rPr>
          <w:rFonts w:ascii="Arial" w:cs="Arial" w:eastAsia="Arial" w:hAnsi="Arial"/>
          <w:sz w:val="15"/>
          <w:szCs w:val="15"/>
          <w:color w:val="auto"/>
        </w:rPr>
        <w:t>Section 6109 requires you to give your correct TIN to persons who must file information returns with the IRS to report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dividends and certain other payments. The IRS uses the numbers for identification purposes and to help verify the accuracy of your tax return. The IRS also may provide this information to the Department of Justice for civil and criminal litigation, and to cities, states and the District of Columbia to carry out their tax laws.</w:t>
      </w:r>
    </w:p>
    <w:p>
      <w:pPr>
        <w:spacing w:after="0" w:line="66"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 xml:space="preserve">You must provide your TIN to the payor whether or not you are required to file a tax return. </w:t>
      </w:r>
      <w:r>
        <w:rPr>
          <w:rFonts w:ascii="Arial" w:cs="Arial" w:eastAsia="Arial" w:hAnsi="Arial"/>
          <w:sz w:val="16"/>
          <w:szCs w:val="16"/>
          <w:color w:val="auto"/>
        </w:rPr>
        <w:t>Payors must generally withhold 28% of taxable</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dividends, and certain other payments to a payee who does not give a TIN to a payor. Certain penalties also may apply.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77" w:lineRule="exact"/>
        <w:rPr>
          <w:sz w:val="20"/>
          <w:szCs w:val="20"/>
          <w:color w:val="auto"/>
        </w:rPr>
      </w:pPr>
    </w:p>
    <w:p>
      <w:pPr>
        <w:ind w:right="40" w:firstLine="464"/>
        <w:spacing w:after="0" w:line="275" w:lineRule="auto"/>
        <w:tabs>
          <w:tab w:leader="none" w:pos="705"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Penalty for Failure to Furnish a TIN.—</w:t>
      </w:r>
      <w:r>
        <w:rPr>
          <w:rFonts w:ascii="Arial" w:cs="Arial" w:eastAsia="Arial" w:hAnsi="Arial"/>
          <w:sz w:val="18"/>
          <w:szCs w:val="18"/>
          <w:color w:val="auto"/>
        </w:rPr>
        <w:t>If you fail to furnish your TIN to a payor, you are subject to a penalty of $50 for each such failure unless your</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is due to reasonable cause and not to willful neglect.</w:t>
      </w:r>
    </w:p>
    <w:p>
      <w:pPr>
        <w:spacing w:after="0" w:line="106" w:lineRule="exact"/>
        <w:rPr>
          <w:rFonts w:ascii="Arial" w:cs="Arial" w:eastAsia="Arial" w:hAnsi="Arial"/>
          <w:sz w:val="18"/>
          <w:szCs w:val="18"/>
          <w:b w:val="1"/>
          <w:bCs w:val="1"/>
          <w:color w:val="auto"/>
        </w:rPr>
      </w:pPr>
    </w:p>
    <w:p>
      <w:pPr>
        <w:ind w:right="520" w:firstLine="464"/>
        <w:spacing w:after="0" w:line="275" w:lineRule="auto"/>
        <w:tabs>
          <w:tab w:leader="none" w:pos="705"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Civil Penalty for False Statements With Respect to Withholding.—</w:t>
      </w:r>
      <w:r>
        <w:rPr>
          <w:rFonts w:ascii="Arial" w:cs="Arial" w:eastAsia="Arial" w:hAnsi="Arial"/>
          <w:sz w:val="18"/>
          <w:szCs w:val="18"/>
          <w:color w:val="auto"/>
        </w:rPr>
        <w:t>If you make a false statement with no reasonable basis which results in no</w:t>
      </w:r>
      <w:r>
        <w:rPr>
          <w:rFonts w:ascii="Arial" w:cs="Arial" w:eastAsia="Arial" w:hAnsi="Arial"/>
          <w:sz w:val="18"/>
          <w:szCs w:val="18"/>
          <w:b w:val="1"/>
          <w:bCs w:val="1"/>
          <w:color w:val="auto"/>
        </w:rPr>
        <w:t xml:space="preserve"> </w:t>
      </w:r>
      <w:r>
        <w:rPr>
          <w:rFonts w:ascii="Arial" w:cs="Arial" w:eastAsia="Arial" w:hAnsi="Arial"/>
          <w:sz w:val="18"/>
          <w:szCs w:val="18"/>
          <w:color w:val="auto"/>
        </w:rPr>
        <w:t>imposition of backup withholding, you are subject to a $500 penalty.</w:t>
      </w:r>
    </w:p>
    <w:p>
      <w:pPr>
        <w:spacing w:after="0" w:line="106" w:lineRule="exact"/>
        <w:rPr>
          <w:rFonts w:ascii="Arial" w:cs="Arial" w:eastAsia="Arial" w:hAnsi="Arial"/>
          <w:sz w:val="18"/>
          <w:szCs w:val="18"/>
          <w:b w:val="1"/>
          <w:bCs w:val="1"/>
          <w:color w:val="auto"/>
        </w:rPr>
      </w:pPr>
    </w:p>
    <w:p>
      <w:pPr>
        <w:ind w:right="20" w:firstLine="464"/>
        <w:spacing w:after="0" w:line="275" w:lineRule="auto"/>
        <w:tabs>
          <w:tab w:leader="none" w:pos="705"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Criminal Penalty for Falsifying Information.—</w:t>
      </w:r>
      <w:r>
        <w:rPr>
          <w:rFonts w:ascii="Arial" w:cs="Arial" w:eastAsia="Arial" w:hAnsi="Arial"/>
          <w:sz w:val="18"/>
          <w:szCs w:val="18"/>
          <w:color w:val="auto"/>
        </w:rPr>
        <w:t>Willfully falsifying certifications or affirmations may subject you to criminal penalties including fines</w:t>
      </w:r>
      <w:r>
        <w:rPr>
          <w:rFonts w:ascii="Arial" w:cs="Arial" w:eastAsia="Arial" w:hAnsi="Arial"/>
          <w:sz w:val="18"/>
          <w:szCs w:val="18"/>
          <w:b w:val="1"/>
          <w:bCs w:val="1"/>
          <w:color w:val="auto"/>
        </w:rPr>
        <w:t xml:space="preserve"> </w:t>
      </w:r>
      <w:r>
        <w:rPr>
          <w:rFonts w:ascii="Arial" w:cs="Arial" w:eastAsia="Arial" w:hAnsi="Arial"/>
          <w:sz w:val="18"/>
          <w:szCs w:val="18"/>
          <w:color w:val="auto"/>
        </w:rPr>
        <w:t>and/or imprisonment.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ADDITIONAL INFORMATION CONTACT YOUR TAX CONSULTANT OR THE INTERNAL</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REVENUE SERVICE.</w:t>
      </w:r>
    </w:p>
    <w:p>
      <w:pPr>
        <w:sectPr>
          <w:pgSz w:w="11900" w:h="16838" w:orient="portrait"/>
          <w:cols w:equalWidth="0" w:num="1">
            <w:col w:w="11420"/>
          </w:cols>
          <w:pgMar w:left="240" w:top="274" w:right="239" w:bottom="1440" w:gutter="0" w:footer="0" w:header="0"/>
        </w:sectPr>
      </w:pPr>
    </w:p>
    <w:bookmarkStart w:id="466" w:name="page467"/>
    <w:bookmarkEnd w:id="46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GUARANTEED DELIVERY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CAPITAL CORP.</w:t>
      </w:r>
    </w:p>
    <w:p>
      <w:pPr>
        <w:sectPr>
          <w:pgSz w:w="11900" w:h="16838" w:orient="portrait"/>
          <w:cols w:equalWidth="0" w:num="1">
            <w:col w:w="11420"/>
          </w:cols>
          <w:pgMar w:left="240" w:top="125" w:right="239" w:bottom="1440" w:gutter="0" w:footer="0" w:header="0"/>
        </w:sectPr>
      </w:pPr>
    </w:p>
    <w:p>
      <w:pPr>
        <w:spacing w:after="0" w:line="136"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Offer to Exchange all Outstanding</w:t>
      </w:r>
    </w:p>
    <w:p>
      <w:pPr>
        <w:spacing w:after="0" w:line="44"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0"/>
          <w:szCs w:val="10"/>
          <w:b w:val="1"/>
          <w:bCs w:val="1"/>
          <w:color w:val="auto"/>
        </w:rPr>
        <w:t>5</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2014</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0"/>
          <w:szCs w:val="10"/>
          <w:b w:val="1"/>
          <w:bCs w:val="1"/>
          <w:color w:val="auto"/>
        </w:rPr>
        <w:t>5</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2014</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That Have Been Registered Under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the Securities Act of 1933, as Amended,</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Pursuant to the Prospectus, 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2005</w:t>
      </w:r>
    </w:p>
    <w:p>
      <w:pPr>
        <w:spacing w:after="0" w:line="191" w:lineRule="exact"/>
        <w:rPr>
          <w:sz w:val="20"/>
          <w:szCs w:val="20"/>
          <w:color w:val="auto"/>
        </w:rPr>
      </w:pPr>
    </w:p>
    <w:p>
      <w:pPr>
        <w:sectPr>
          <w:pgSz w:w="11900" w:h="16838" w:orient="portrait"/>
          <w:cols w:equalWidth="0" w:num="2">
            <w:col w:w="7200" w:space="20"/>
            <w:col w:w="4200"/>
          </w:cols>
          <w:pgMar w:left="240" w:top="125" w:right="239" w:bottom="1440" w:gutter="0" w:footer="0" w:header="0"/>
          <w:type w:val="continuous"/>
        </w:sectPr>
      </w:pPr>
    </w:p>
    <w:p>
      <w:pPr>
        <w:ind w:left="120" w:right="380"/>
        <w:spacing w:after="0" w:line="275" w:lineRule="auto"/>
        <w:rPr>
          <w:sz w:val="20"/>
          <w:szCs w:val="20"/>
          <w:color w:val="auto"/>
        </w:rPr>
      </w:pPr>
      <w:r>
        <w:rPr>
          <w:rFonts w:ascii="Arial" w:cs="Arial" w:eastAsia="Arial" w:hAnsi="Arial"/>
          <w:sz w:val="18"/>
          <w:szCs w:val="18"/>
          <w:b w:val="1"/>
          <w:bCs w:val="1"/>
          <w:color w:val="auto"/>
        </w:rPr>
        <w:t>THE EXCHANGE OFFER WILL EXPIRE AT 5:00 P.M. NEW YORK CITY TIME, ON , 2005, UNLESS EXTENDED (THE “EXPIRATION DATE”). TENDERS MAY BE WITHDRAWN PRIOR TO 5:00 P.M., NEW YORK CITY TIME, ON THE EXPIRATION DATE.</w:t>
      </w:r>
    </w:p>
    <w:p>
      <w:pPr>
        <w:spacing w:after="0" w:line="112"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 xml:space="preserve">This form or one substantially equivalent hereto must be used to accept the Exchange Offer of Wynn Las Vegas, LLC and Wynn Las Vegas Capital Corp. (together, the “Issuers”) made pursuant to the Prospectus, dated , 2005 (the “Prospectus”), if certificates for the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w:t>
      </w:r>
    </w:p>
    <w:p>
      <w:pPr>
        <w:sectPr>
          <w:pgSz w:w="11900" w:h="16838" w:orient="portrait"/>
          <w:cols w:equalWidth="0" w:num="1">
            <w:col w:w="11420"/>
          </w:cols>
          <w:pgMar w:left="240" w:top="125" w:right="239" w:bottom="1440" w:gutter="0" w:footer="0" w:header="0"/>
          <w:type w:val="continuous"/>
        </w:sectPr>
      </w:pPr>
    </w:p>
    <w:p>
      <w:pPr>
        <w:spacing w:after="0" w:line="252" w:lineRule="auto"/>
        <w:rPr>
          <w:sz w:val="20"/>
          <w:szCs w:val="20"/>
          <w:color w:val="auto"/>
        </w:rPr>
      </w:pPr>
      <w:r>
        <w:rPr>
          <w:rFonts w:ascii="Arial" w:cs="Arial" w:eastAsia="Arial" w:hAnsi="Arial"/>
          <w:sz w:val="18"/>
          <w:szCs w:val="18"/>
          <w:color w:val="auto"/>
        </w:rPr>
        <w:t>Notes due 2014 of the Issuers (the “Old Notes”) are not immediately available or if the procedure for book-entry transfer cannot be completed on a timely basis or time will not permit all required documents to reach U.S. Bank National Association, as exchange agent (the “Exchange Agent”) prior to 5:00 P.M., New York City time, on the Expiration Date of the Exchange Offer. Such form may be delivered or transmitted by facsimile transmission, mail or hand delivery to the Exchange Agent as set forth below. In addition, in order to utilize the guaranteed delivery procedure to tender Old Notes pursuant to the Exchange Offer, a completed, signed and dated Letter of Transmittal, or facsimile thereof or Agent’s Message in lieu thereof, must also be received by the Exchange Agent prior to 5:00 P.M., New York City time, on the Expiration Date. Capitalized terms not defined herein shall have the respective meanings ascribed to them in the Prospectus.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xml:space="preserve">Delivery To: </w:t>
      </w:r>
      <w:r>
        <w:rPr>
          <w:rFonts w:ascii="Arial" w:cs="Arial" w:eastAsia="Arial" w:hAnsi="Arial"/>
          <w:sz w:val="18"/>
          <w:szCs w:val="18"/>
          <w:b w:val="1"/>
          <w:bCs w:val="1"/>
          <w:color w:val="auto"/>
        </w:rPr>
        <w:t>U.S. Bank National Association,</w:t>
      </w:r>
      <w:r>
        <w:rPr>
          <w:rFonts w:ascii="Arial" w:cs="Arial" w:eastAsia="Arial" w:hAnsi="Arial"/>
          <w:sz w:val="18"/>
          <w:szCs w:val="18"/>
          <w:b w:val="1"/>
          <w:bCs w:val="1"/>
          <w:i w:val="1"/>
          <w:iCs w:val="1"/>
          <w:color w:val="auto"/>
        </w:rPr>
        <w:t xml:space="preserve"> Exchange Agent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Hand, Overnight Delivery or by Mail:</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 Paul, Minnesota 55107-2292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Specialized Finance Dept.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Facsimile Transmission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Eligible Institutions only):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651-495-8158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Confirm by Telephone: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800-934-6802</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DELIVERY OF THIS INSTRUMENT TO AN ADDRESS OTHER THAN AS SET FORTH ABOVE, OR TRANSMISSION OF THIS INSTRUMENT VIA FACSIMILE OTHER THAN AS SET FORTH ABOVE, WILL NOT CONSTITUTE A VALID DELIVERY.</w:t>
      </w:r>
    </w:p>
    <w:p>
      <w:pPr>
        <w:spacing w:after="0" w:line="118"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This Notice is not to be used to guarantee signatures. If a signature on a Letter of Transmittal is required to be guaranteed by an “Medallion Signature Guarantor” under the instructions thereto, such signature guarantee must appear in the applicable space provided in the signature box on the Letter of Transmittal.</w:t>
      </w:r>
    </w:p>
    <w:p>
      <w:pPr>
        <w:sectPr>
          <w:pgSz w:w="11900" w:h="16838" w:orient="portrait"/>
          <w:cols w:equalWidth="0" w:num="1">
            <w:col w:w="11420"/>
          </w:cols>
          <w:pgMar w:left="240" w:top="125" w:right="239" w:bottom="1440" w:gutter="0" w:footer="0" w:header="0"/>
          <w:type w:val="continuous"/>
        </w:sectPr>
      </w:pPr>
    </w:p>
    <w:bookmarkStart w:id="467" w:name="page468"/>
    <w:bookmarkEnd w:id="46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Ladies and Gentlemen:</w:t>
      </w:r>
    </w:p>
    <w:p>
      <w:pPr>
        <w:spacing w:after="0" w:line="15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Upon the terms and conditions set forth in the Prospectus and the accompanying Letter of Transmittal, receipt of which the undersigned hereby acknowledges, the undersigned hereby tenders to the Issuers the aggregate principal amount of Old Notes set forth below pursuant to the guaranteed delivery procedure described in “The Exchange Offer—Guaranteed Delivery Procedures” section of the Prospectus.</w:t>
      </w:r>
    </w:p>
    <w:p>
      <w:pPr>
        <w:sectPr>
          <w:pgSz w:w="11900" w:h="16838" w:orient="portrait"/>
          <w:cols w:equalWidth="0" w:num="1">
            <w:col w:w="11200"/>
          </w:cols>
          <w:pgMar w:left="240" w:top="279" w:right="4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260" w:right="360"/>
        <w:spacing w:after="0" w:line="268" w:lineRule="auto"/>
        <w:rPr>
          <w:sz w:val="20"/>
          <w:szCs w:val="20"/>
          <w:color w:val="auto"/>
        </w:rPr>
      </w:pPr>
      <w:r>
        <w:rPr>
          <w:rFonts w:ascii="Arial" w:cs="Arial" w:eastAsia="Arial" w:hAnsi="Arial"/>
          <w:sz w:val="18"/>
          <w:szCs w:val="18"/>
          <w:color w:val="auto"/>
        </w:rPr>
        <w:t>Aggregate Principal Amount of Old Notes Tendered (must be in integral multiples of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3267075" cy="520573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267075" cy="520573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Name(s) of Holders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of Eligible Guarantor Institution Guaranteeing Delivery</w:t>
      </w:r>
    </w:p>
    <w:p>
      <w:pPr>
        <w:spacing w:after="0" w:line="158" w:lineRule="exact"/>
        <w:rPr>
          <w:sz w:val="20"/>
          <w:szCs w:val="20"/>
          <w:color w:val="auto"/>
        </w:rPr>
      </w:pPr>
    </w:p>
    <w:p>
      <w:pPr>
        <w:ind w:left="260" w:right="240"/>
        <w:spacing w:after="0" w:line="268" w:lineRule="auto"/>
        <w:rPr>
          <w:sz w:val="20"/>
          <w:szCs w:val="20"/>
          <w:color w:val="auto"/>
        </w:rPr>
      </w:pPr>
      <w:r>
        <w:rPr>
          <w:rFonts w:ascii="Arial" w:cs="Arial" w:eastAsia="Arial" w:hAnsi="Arial"/>
          <w:sz w:val="18"/>
          <w:szCs w:val="18"/>
          <w:color w:val="auto"/>
        </w:rPr>
        <w:t>Provide the following information for Old Notes certificates to be delivered to the Exchange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of Tendering Institution</w:t>
      </w: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DTC Account Number</w:t>
      </w:r>
    </w:p>
    <w:p>
      <w:pPr>
        <w:spacing w:after="0" w:line="15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b w:val="1"/>
          <w:bCs w:val="1"/>
          <w:color w:val="auto"/>
        </w:rPr>
        <w:t>ALL AUTHORITY HEREIN CONFERRED OR AGREED TO BE CONFERRED SHALL SURVIVE THE DEATH OR INCAPACITY OF THE UNDERSIGNED AND EVERY OBLIGATION OF THE UNDERSIGNED HEREUNDER SHALL BE BINDING UPON THE HEIRS, PERSONAL REPRESENTATIVES, SUCCESSORS AND ASSIGNS OF THE UNDERSIGNED.</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PLEASE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-130175</wp:posOffset>
            </wp:positionV>
            <wp:extent cx="3395980" cy="520573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395980" cy="520573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X</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Signature(s) of Owner(s) Date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or Authorized Signatory</w:t>
      </w:r>
    </w:p>
    <w:p>
      <w:pPr>
        <w:spacing w:after="0" w:line="200" w:lineRule="exact"/>
        <w:rPr>
          <w:sz w:val="20"/>
          <w:szCs w:val="20"/>
          <w:color w:val="auto"/>
        </w:rPr>
      </w:pPr>
    </w:p>
    <w:p>
      <w:pPr>
        <w:spacing w:after="0" w:line="27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Area Code and Telephone Number</w:t>
      </w:r>
    </w:p>
    <w:p>
      <w:pPr>
        <w:spacing w:after="0" w:line="77" w:lineRule="exact"/>
        <w:rPr>
          <w:sz w:val="20"/>
          <w:szCs w:val="20"/>
          <w:color w:val="auto"/>
        </w:rPr>
      </w:pPr>
    </w:p>
    <w:p>
      <w:pPr>
        <w:ind w:left="600"/>
        <w:spacing w:after="0" w:line="306" w:lineRule="auto"/>
        <w:rPr>
          <w:sz w:val="20"/>
          <w:szCs w:val="20"/>
          <w:color w:val="auto"/>
        </w:rPr>
      </w:pPr>
      <w:r>
        <w:rPr>
          <w:rFonts w:ascii="Arial" w:cs="Arial" w:eastAsia="Arial" w:hAnsi="Arial"/>
          <w:sz w:val="15"/>
          <w:szCs w:val="15"/>
          <w:color w:val="auto"/>
        </w:rPr>
        <w:t>The Notice of Guaranteed Delivery must be signed by the registered holder(s) of the Old Notes, or if signed by a person other than the registered holder(s) of any certificate(s), such certificate(s) must be endorsed or accompanied by appropriate bond powers, in either case, signed exactly as its (their) name(s) appear(s) on certificate(s) or on a security position listing, and such certificate(s) must be guaranteed by an Eligible Institution. If signature is by a trustee, executor, administrator, guardian, attorney-in-fact, officer of a corporation or other person acting in a fiduciary or representative capacity, such person must set forth his or her full title below and, unless waived by the Issuers, submit proper evidence satisfactory to the Issuers of such person’s authority to so act. Please print name(s) and address(es).</w:t>
      </w:r>
    </w:p>
    <w:p>
      <w:pPr>
        <w:spacing w:after="0" w:line="200" w:lineRule="exact"/>
        <w:rPr>
          <w:sz w:val="20"/>
          <w:szCs w:val="20"/>
          <w:color w:val="auto"/>
        </w:rPr>
      </w:pPr>
    </w:p>
    <w:p>
      <w:pPr>
        <w:spacing w:after="0" w:line="2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Name(s):</w:t>
      </w:r>
    </w:p>
    <w:p>
      <w:pPr>
        <w:spacing w:after="0" w:line="200" w:lineRule="exact"/>
        <w:rPr>
          <w:sz w:val="20"/>
          <w:szCs w:val="20"/>
          <w:color w:val="auto"/>
        </w:rPr>
      </w:pP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Address(es):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120" w:space="560"/>
            <w:col w:w="5520"/>
          </w:cols>
          <w:pgMar w:left="240" w:top="279" w:right="459" w:bottom="1440" w:gutter="0" w:footer="0" w:header="0"/>
          <w:type w:val="continuous"/>
        </w:sectPr>
      </w:pPr>
    </w:p>
    <w:bookmarkStart w:id="468" w:name="page469"/>
    <w:bookmarkEnd w:id="4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 to be Used for Signature Guarantees)</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undersigned, a financial institution (including most banks, savings and loan associations and brokerage houses) that is a participant in the Securities Transfer Agents Medallion Program, the New York Stock Exchange Medallion Signature Program or the Stock Exchanges Medallion Program, hereby guarantees that the certificates representing the principal amount of Old Notes tendered hereby in proper form for transfer, or timely confirmation of the book-entry transfer of such Old Notes into the Exchange Agent’s account at The Depository Trust Company pursuant to the procedures set forth in “The Exchange Offer— Guaranteed Delivery Procedures” section of the Prospectus, together with one or more properly and duly executed Letters of Transmittal, or facsimile thereof or Agent’s Message in lieu thereof, and any required signature guarantee and any other documents required by the Letter of Transmittal, will be received by the Exchange Agent at the address set forth above, no later than three New York Stock Exchange trading days after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09231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09231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80" w:type="dxa"/>
            <w:vAlign w:val="bottom"/>
          </w:tcPr>
          <w:p>
            <w:pPr>
              <w:spacing w:after="0"/>
              <w:rPr>
                <w:sz w:val="19"/>
                <w:szCs w:val="19"/>
                <w:color w:val="auto"/>
              </w:rPr>
            </w:pPr>
          </w:p>
        </w:tc>
        <w:tc>
          <w:tcPr>
            <w:tcW w:w="3800" w:type="dxa"/>
            <w:vAlign w:val="bottom"/>
            <w:gridSpan w:val="2"/>
          </w:tcPr>
          <w:p>
            <w:pPr>
              <w:jc w:val="center"/>
              <w:ind w:right="1540"/>
              <w:spacing w:after="0"/>
              <w:rPr>
                <w:sz w:val="20"/>
                <w:szCs w:val="20"/>
                <w:color w:val="auto"/>
              </w:rPr>
            </w:pPr>
            <w:r>
              <w:rPr>
                <w:rFonts w:ascii="Arial" w:cs="Arial" w:eastAsia="Arial" w:hAnsi="Arial"/>
                <w:sz w:val="18"/>
                <w:szCs w:val="18"/>
                <w:color w:val="auto"/>
                <w:w w:val="89"/>
              </w:rPr>
              <w:t>Name of Firm</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Authorized Signature</w:t>
            </w:r>
          </w:p>
        </w:tc>
        <w:tc>
          <w:tcPr>
            <w:tcW w:w="0" w:type="dxa"/>
            <w:vAlign w:val="bottom"/>
          </w:tcPr>
          <w:p>
            <w:pPr>
              <w:spacing w:after="0"/>
              <w:rPr>
                <w:sz w:val="1"/>
                <w:szCs w:val="1"/>
                <w:color w:val="auto"/>
              </w:rPr>
            </w:pPr>
          </w:p>
        </w:tc>
      </w:tr>
      <w:tr>
        <w:trPr>
          <w:trHeight w:val="340"/>
        </w:trPr>
        <w:tc>
          <w:tcPr>
            <w:tcW w:w="16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80" w:type="dxa"/>
            <w:vAlign w:val="bottom"/>
            <w:vMerge w:val="restart"/>
          </w:tcPr>
          <w:p>
            <w:pPr>
              <w:spacing w:after="0"/>
              <w:rPr>
                <w:sz w:val="11"/>
                <w:szCs w:val="11"/>
                <w:color w:val="auto"/>
              </w:rPr>
            </w:pPr>
          </w:p>
        </w:tc>
        <w:tc>
          <w:tcPr>
            <w:tcW w:w="3800" w:type="dxa"/>
            <w:vAlign w:val="bottom"/>
            <w:gridSpan w:val="2"/>
            <w:vMerge w:val="restart"/>
          </w:tcPr>
          <w:p>
            <w:pPr>
              <w:jc w:val="center"/>
              <w:ind w:right="1540"/>
              <w:spacing w:after="0"/>
              <w:rPr>
                <w:sz w:val="20"/>
                <w:szCs w:val="20"/>
                <w:color w:val="auto"/>
              </w:rPr>
            </w:pPr>
            <w:r>
              <w:rPr>
                <w:rFonts w:ascii="Arial" w:cs="Arial" w:eastAsia="Arial" w:hAnsi="Arial"/>
                <w:sz w:val="18"/>
                <w:szCs w:val="18"/>
                <w:color w:val="auto"/>
                <w:w w:val="87"/>
              </w:rPr>
              <w:t>Address</w:t>
            </w:r>
          </w:p>
        </w:tc>
        <w:tc>
          <w:tcPr>
            <w:tcW w:w="5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80" w:type="dxa"/>
            <w:vAlign w:val="bottom"/>
            <w:vMerge w:val="continue"/>
          </w:tcPr>
          <w:p>
            <w:pPr>
              <w:spacing w:after="0"/>
              <w:rPr>
                <w:sz w:val="14"/>
                <w:szCs w:val="14"/>
                <w:color w:val="auto"/>
              </w:rPr>
            </w:pPr>
          </w:p>
        </w:tc>
        <w:tc>
          <w:tcPr>
            <w:tcW w:w="38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3"/>
              </w:rPr>
              <w:t>Title</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0"/>
        </w:trPr>
        <w:tc>
          <w:tcPr>
            <w:tcW w:w="16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61"/>
        </w:trPr>
        <w:tc>
          <w:tcPr>
            <w:tcW w:w="16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680" w:type="dxa"/>
            <w:vAlign w:val="bottom"/>
          </w:tcPr>
          <w:p>
            <w:pPr>
              <w:spacing w:after="0"/>
              <w:rPr>
                <w:sz w:val="20"/>
                <w:szCs w:val="20"/>
                <w:color w:val="auto"/>
              </w:rPr>
            </w:pPr>
          </w:p>
        </w:tc>
        <w:tc>
          <w:tcPr>
            <w:tcW w:w="3800" w:type="dxa"/>
            <w:vAlign w:val="bottom"/>
            <w:gridSpan w:val="2"/>
          </w:tcPr>
          <w:p>
            <w:pPr>
              <w:jc w:val="center"/>
              <w:ind w:right="1540"/>
              <w:spacing w:after="0"/>
              <w:rPr>
                <w:sz w:val="20"/>
                <w:szCs w:val="20"/>
                <w:color w:val="auto"/>
              </w:rPr>
            </w:pPr>
            <w:r>
              <w:rPr>
                <w:rFonts w:ascii="Arial" w:cs="Arial" w:eastAsia="Arial" w:hAnsi="Arial"/>
                <w:sz w:val="18"/>
                <w:szCs w:val="18"/>
                <w:color w:val="auto"/>
                <w:w w:val="90"/>
              </w:rPr>
              <w:t>Zip Code</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80" w:type="dxa"/>
            <w:vAlign w:val="bottom"/>
            <w:tcBorders>
              <w:top w:val="single" w:sz="8" w:color="auto"/>
            </w:tcBorders>
          </w:tcPr>
          <w:p>
            <w:pPr>
              <w:jc w:val="center"/>
              <w:ind w:left="272"/>
              <w:spacing w:after="0"/>
              <w:rPr>
                <w:sz w:val="20"/>
                <w:szCs w:val="20"/>
                <w:color w:val="auto"/>
              </w:rPr>
            </w:pPr>
            <w:r>
              <w:rPr>
                <w:rFonts w:ascii="Arial" w:cs="Arial" w:eastAsia="Arial" w:hAnsi="Arial"/>
                <w:sz w:val="18"/>
                <w:szCs w:val="18"/>
                <w:color w:val="auto"/>
                <w:w w:val="87"/>
              </w:rPr>
              <w:t>(Please Type of Print)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1680" w:type="dxa"/>
            <w:vAlign w:val="bottom"/>
          </w:tcPr>
          <w:p>
            <w:pPr>
              <w:spacing w:after="0"/>
              <w:rPr>
                <w:sz w:val="20"/>
                <w:szCs w:val="20"/>
                <w:color w:val="auto"/>
              </w:rPr>
            </w:pPr>
            <w:r>
              <w:rPr>
                <w:rFonts w:ascii="Arial" w:cs="Arial" w:eastAsia="Arial" w:hAnsi="Arial"/>
                <w:sz w:val="18"/>
                <w:szCs w:val="18"/>
                <w:color w:val="auto"/>
                <w:w w:val="87"/>
              </w:rPr>
              <w:t>Area Code and Tel. No.</w:t>
            </w:r>
          </w:p>
        </w:tc>
        <w:tc>
          <w:tcPr>
            <w:tcW w:w="2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Dated:</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920" w:right="820" w:hanging="919"/>
        <w:spacing w:after="0" w:line="262" w:lineRule="auto"/>
        <w:tabs>
          <w:tab w:leader="none" w:pos="9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b w:val="1"/>
          <w:bCs w:val="1"/>
          <w:color w:val="auto"/>
        </w:rPr>
        <w:t>DO NOT SEND THE PHYSICAL CERTIFICATES REPRESENTING OLD NOTES WITH THIS NOTICE. SUCH PHYSICAL CERTIFICATES SHOULD BE SENT TO THE EXCHANGE AGENT, TOGETHER WITH A COPY OF YOUR PREVIOUSLY EXECUTED LETTER OF TRANSMITTAL.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3" w:right="259" w:bottom="1440" w:gutter="0" w:footer="0" w:header="0"/>
        </w:sectPr>
      </w:pPr>
    </w:p>
    <w:bookmarkStart w:id="469" w:name="page470"/>
    <w:bookmarkEnd w:id="469"/>
    <w:p>
      <w:pPr>
        <w:jc w:val="right"/>
        <w:spacing w:after="0"/>
        <w:rPr>
          <w:sz w:val="20"/>
          <w:szCs w:val="20"/>
          <w:color w:val="auto"/>
        </w:rPr>
      </w:pPr>
      <w:r>
        <w:rPr>
          <w:rFonts w:ascii="Arial" w:cs="Arial" w:eastAsia="Arial" w:hAnsi="Arial"/>
          <w:sz w:val="18"/>
          <w:szCs w:val="18"/>
          <w:b w:val="1"/>
          <w:bCs w:val="1"/>
          <w:color w:val="auto"/>
        </w:rPr>
        <w:t>Exhibit 99.3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jc w:val="center"/>
        <w:spacing w:after="0"/>
        <w:rPr>
          <w:sz w:val="20"/>
          <w:szCs w:val="20"/>
          <w:color w:val="auto"/>
        </w:rPr>
      </w:pPr>
      <w:r>
        <w:rPr>
          <w:rFonts w:ascii="Arial" w:cs="Arial" w:eastAsia="Arial" w:hAnsi="Arial"/>
          <w:sz w:val="32"/>
          <w:szCs w:val="32"/>
          <w:b w:val="1"/>
          <w:bCs w:val="1"/>
          <w:color w:val="auto"/>
        </w:rPr>
        <w:t>WYNN LAS VEGAS CAPITAL CORP.</w:t>
      </w:r>
    </w:p>
    <w:p>
      <w:pPr>
        <w:sectPr>
          <w:pgSz w:w="11900" w:h="16838" w:orient="portrait"/>
          <w:cols w:equalWidth="0" w:num="1">
            <w:col w:w="11420"/>
          </w:cols>
          <w:pgMar w:left="240" w:top="125" w:right="239" w:bottom="1440" w:gutter="0" w:footer="0" w:header="0"/>
        </w:sectPr>
      </w:pPr>
    </w:p>
    <w:p>
      <w:pPr>
        <w:spacing w:after="0" w:line="136"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Offer to Exchange all Outstanding</w:t>
      </w:r>
    </w:p>
    <w:p>
      <w:pPr>
        <w:spacing w:after="0" w:line="44"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0"/>
          <w:szCs w:val="10"/>
          <w:b w:val="1"/>
          <w:bCs w:val="1"/>
          <w:color w:val="auto"/>
        </w:rPr>
        <w:t>5</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2014</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0"/>
          <w:szCs w:val="10"/>
          <w:b w:val="1"/>
          <w:bCs w:val="1"/>
          <w:color w:val="auto"/>
        </w:rPr>
        <w:t>5</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2014</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That Have Been Registered Under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the Securities Act of 1933, as Amended,</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Pursuant to the Prospectus, 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2005</w:t>
      </w:r>
    </w:p>
    <w:p>
      <w:pPr>
        <w:spacing w:after="0" w:line="191" w:lineRule="exact"/>
        <w:rPr>
          <w:sz w:val="20"/>
          <w:szCs w:val="20"/>
          <w:color w:val="auto"/>
        </w:rPr>
      </w:pPr>
    </w:p>
    <w:p>
      <w:pPr>
        <w:sectPr>
          <w:pgSz w:w="11900" w:h="16838" w:orient="portrait"/>
          <w:cols w:equalWidth="0" w:num="2">
            <w:col w:w="7200" w:space="20"/>
            <w:col w:w="420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To Our Clients:</w:t>
      </w:r>
    </w:p>
    <w:p>
      <w:pPr>
        <w:spacing w:after="0" w:line="83" w:lineRule="exact"/>
        <w:rPr>
          <w:sz w:val="20"/>
          <w:szCs w:val="20"/>
          <w:color w:val="auto"/>
        </w:rPr>
      </w:pPr>
    </w:p>
    <w:p>
      <w:pPr>
        <w:ind w:left="460"/>
        <w:spacing w:after="0"/>
        <w:tabs>
          <w:tab w:leader="none" w:pos="5160" w:val="left"/>
        </w:tabs>
        <w:rPr>
          <w:sz w:val="20"/>
          <w:szCs w:val="20"/>
          <w:color w:val="auto"/>
        </w:rPr>
      </w:pPr>
      <w:r>
        <w:rPr>
          <w:rFonts w:ascii="Arial" w:cs="Arial" w:eastAsia="Arial" w:hAnsi="Arial"/>
          <w:sz w:val="18"/>
          <w:szCs w:val="18"/>
          <w:color w:val="auto"/>
        </w:rPr>
        <w:t>Enclosed for your consideration is a Prospectus, dated</w:t>
      </w:r>
      <w:r>
        <w:rPr>
          <w:sz w:val="20"/>
          <w:szCs w:val="20"/>
          <w:color w:val="auto"/>
        </w:rPr>
        <w:tab/>
      </w:r>
      <w:r>
        <w:rPr>
          <w:rFonts w:ascii="Arial" w:cs="Arial" w:eastAsia="Arial" w:hAnsi="Arial"/>
          <w:sz w:val="16"/>
          <w:szCs w:val="16"/>
          <w:color w:val="auto"/>
        </w:rPr>
        <w:t>, 2005 (the “Prospectus”), and the related Letter of Transmittal (the “Letter of</w:t>
      </w:r>
    </w:p>
    <w:p>
      <w:pPr>
        <w:sectPr>
          <w:pgSz w:w="11900" w:h="16838" w:orient="portrait"/>
          <w:cols w:equalWidth="0" w:num="1">
            <w:col w:w="11420"/>
          </w:cols>
          <w:pgMar w:left="240" w:top="125" w:right="239" w:bottom="1440" w:gutter="0" w:footer="0" w:header="0"/>
          <w:type w:val="continuous"/>
        </w:sectPr>
      </w:pPr>
    </w:p>
    <w:p>
      <w:pPr>
        <w:spacing w:after="0" w:line="1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xml:space="preserve">Transmittal”), relating to the offer (the “Exchange Offer”) of Wynn Las Vegas, LLC and Wynn Las Vegas Capital Corp. (together, the “Issuers”) to exchange their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which have been registered under the Securities Act of 1933, as amended (the “New Notes”), for their outstanding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(the “Old Notes”), upon the terms and subject to the conditions described in the Prospectus and the Letter of Transmittal. The Exchange Offer is being made in order to satisfy certain obligations of the Issuers contained in the Registration Rights Agreement, dated December 14, 2004, by and among the Issuers, as issuers, the guarantors referred to therein and the initial purchasers referred to therein.</w:t>
      </w:r>
    </w:p>
    <w:p>
      <w:pPr>
        <w:spacing w:after="0" w:line="1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This material is being forwarded to you as the beneficial owner of the Old Notes held by us for your account but not registered in your name. A TENDER OF SUCH OLD NOTES MAY ONLY BE MADE BY US AS THE HOLDER OF RECORD AND PURSUANT TO YOUR INSTRUCTIONS</w:t>
      </w:r>
      <w:r>
        <w:rPr>
          <w:rFonts w:ascii="Arial" w:cs="Arial" w:eastAsia="Arial" w:hAnsi="Arial"/>
          <w:sz w:val="16"/>
          <w:szCs w:val="16"/>
          <w:b w:val="1"/>
          <w:bCs w:val="1"/>
          <w:color w:val="auto"/>
        </w:rPr>
        <w:t>.</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Accordingly, we request instructions as to whether you wish us to tender on your behalf the Old Notes held by us for your account, pursuant to the terms and conditions set forth in the enclosed Prospectus and Letter of Transmittal.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instructions should be forwarded to us as promptly as possible in order to permit us to tender the Old Notes on your behalf in accordance with the</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provisions of the Exchange Offer. The Exchange Offer will expire at 5:00 P.M., New York City time, on , 2005, unless extended by the Issuers. Any Old Notes tendered pursuant to the Exchange Offer may be withdrawn at any time before the Expiration Date.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attention is directed to the following:</w:t>
      </w:r>
    </w:p>
    <w:p>
      <w:pPr>
        <w:spacing w:after="0" w:line="77" w:lineRule="exact"/>
        <w:rPr>
          <w:sz w:val="20"/>
          <w:szCs w:val="20"/>
          <w:color w:val="auto"/>
        </w:rPr>
      </w:pPr>
    </w:p>
    <w:p>
      <w:pPr>
        <w:ind w:left="1080" w:hanging="177"/>
        <w:spacing w:after="0"/>
        <w:tabs>
          <w:tab w:leader="none" w:pos="10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Exchange Offer is for any and all Old Notes.</w:t>
      </w:r>
    </w:p>
    <w:p>
      <w:pPr>
        <w:spacing w:after="0" w:line="76" w:lineRule="exact"/>
        <w:rPr>
          <w:rFonts w:ascii="Arial" w:cs="Arial" w:eastAsia="Arial" w:hAnsi="Arial"/>
          <w:sz w:val="18"/>
          <w:szCs w:val="18"/>
          <w:color w:val="auto"/>
        </w:rPr>
      </w:pPr>
    </w:p>
    <w:p>
      <w:pPr>
        <w:ind w:left="460" w:right="220" w:firstLine="443"/>
        <w:spacing w:after="0" w:line="268" w:lineRule="auto"/>
        <w:tabs>
          <w:tab w:leader="none" w:pos="107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Exchange Offer is subject to certain conditions set forth in the Prospectus in the section captioned “The Exchange Offer—Conditions to the Exchange Offer.”</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07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Any transfer taxes incident to the transfer of Old Notes from the holder to the Issuers will be paid by the Issuers, except as otherwise provided in the Instructions in the Letter of Transmittal.</w:t>
      </w:r>
    </w:p>
    <w:p>
      <w:pPr>
        <w:spacing w:after="0" w:line="37" w:lineRule="exact"/>
        <w:rPr>
          <w:sz w:val="20"/>
          <w:szCs w:val="20"/>
          <w:color w:val="auto"/>
        </w:rPr>
      </w:pPr>
    </w:p>
    <w:p>
      <w:pPr>
        <w:ind w:left="900"/>
        <w:spacing w:after="0"/>
        <w:tabs>
          <w:tab w:leader="none" w:pos="6620" w:val="left"/>
        </w:tabs>
        <w:rPr>
          <w:sz w:val="20"/>
          <w:szCs w:val="20"/>
          <w:color w:val="auto"/>
        </w:rPr>
      </w:pPr>
      <w:r>
        <w:rPr>
          <w:rFonts w:ascii="Arial" w:cs="Arial" w:eastAsia="Arial" w:hAnsi="Arial"/>
          <w:sz w:val="18"/>
          <w:szCs w:val="18"/>
          <w:color w:val="auto"/>
        </w:rPr>
        <w:t>4. The Exchange Offer expires at 5:00 P.M., New York City time, on</w:t>
      </w:r>
      <w:r>
        <w:rPr>
          <w:sz w:val="20"/>
          <w:szCs w:val="20"/>
          <w:color w:val="auto"/>
        </w:rPr>
        <w:tab/>
      </w:r>
      <w:r>
        <w:rPr>
          <w:rFonts w:ascii="Arial" w:cs="Arial" w:eastAsia="Arial" w:hAnsi="Arial"/>
          <w:sz w:val="15"/>
          <w:szCs w:val="15"/>
          <w:color w:val="auto"/>
        </w:rPr>
        <w:t>, 2005, unless extended by the Company.</w:t>
      </w:r>
    </w:p>
    <w:p>
      <w:pPr>
        <w:spacing w:after="0" w:line="15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If you wish to have us tender your Old Notes, please so instruct us by completing, executing and returning to us the instruction form on the back of this letter. THE LETTER OF TRANSMITTAL IS FURNISHED TO YOU FOR INFORMATION ONLY AND MAY NOT BE USED DIRECTLY BY YOU TO TENDER OLD NOTES.</w:t>
      </w:r>
    </w:p>
    <w:p>
      <w:pPr>
        <w:sectPr>
          <w:pgSz w:w="11900" w:h="16838" w:orient="portrait"/>
          <w:cols w:equalWidth="0" w:num="1">
            <w:col w:w="11420"/>
          </w:cols>
          <w:pgMar w:left="240" w:top="125" w:right="239" w:bottom="1440" w:gutter="0" w:footer="0" w:header="0"/>
          <w:type w:val="continuous"/>
        </w:sectPr>
      </w:pPr>
    </w:p>
    <w:bookmarkStart w:id="470" w:name="page471"/>
    <w:bookmarkEnd w:id="4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INSTRUCTIONS WITH RESPECT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1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undersigned acknowledge(s) receipt of your letter and the enclosed material referred to therein relating to the Exchange Offer made by Wynn Las Vegas, LLC and Wynn Las Vegas Capital Corp. with respect to their Old Notes.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will instruct you to tender the Old Notes held by you for the account of the undersigned, upon and subject to the terms and conditions set forth in the Prospectus and the related Letter of Transmittal.</w:t>
      </w:r>
    </w:p>
    <w:p>
      <w:pPr>
        <w:spacing w:after="0" w:line="118"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tender, sell, assign and transfer all right, title and interest in the Old Notes and to acquire the New Notes, issuable upon the exchange of such Old Notes, and that, when such validly tendered Old Notes are accepted by the Issuers for exchange, the Issuers will acquire good and unencumbered title thereto, free and clear of all liens, restrictions, charges and encumbrances and not subject to any adverse claim.</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By completing, executing and delivering these Instructions, the undersigned hereby (i) makes the acknowledgments, representations and warranties referred to above, (ii) instructs you to tender the Old Notes held by you for the account of the undersigned, upon the terms and subject to the conditions set forth in the Prospectus and Letter of Transmittal and (iii) expressly agrees to be bound by the enclosed Letter of Transmittal and that such Letter of Transmittal may be enforced against the undersigned.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tender the Old Notes held by you for my account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8083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50430" cy="8083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22"/>
          <w:szCs w:val="22"/>
          <w:b w:val="1"/>
          <w:bCs w:val="1"/>
          <w:color w:val="auto"/>
          <w:vertAlign w:val="superscript"/>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w:t>
      </w:r>
    </w:p>
    <w:tbl>
      <w:tblPr>
        <w:tblLayout w:type="fixed"/>
        <w:tblInd w:w="0" w:type="dxa"/>
        <w:tblCellMar>
          <w:top w:w="0" w:type="dxa"/>
          <w:left w:w="0" w:type="dxa"/>
          <w:bottom w:w="0" w:type="dxa"/>
          <w:right w:w="0" w:type="dxa"/>
        </w:tblCellMar>
      </w:tblPr>
      <w:tr>
        <w:trPr>
          <w:trHeight w:val="133"/>
        </w:trPr>
        <w:tc>
          <w:tcPr>
            <w:tcW w:w="3680" w:type="dxa"/>
            <w:vAlign w:val="bottom"/>
            <w:tcBorders>
              <w:top w:val="single" w:sz="8" w:color="auto"/>
              <w:right w:val="single" w:sz="8" w:color="auto"/>
            </w:tcBorders>
          </w:tcPr>
          <w:p>
            <w:pPr>
              <w:ind w:left="1300"/>
              <w:spacing w:after="0" w:line="133" w:lineRule="exact"/>
              <w:rPr>
                <w:sz w:val="20"/>
                <w:szCs w:val="20"/>
                <w:color w:val="auto"/>
              </w:rPr>
            </w:pPr>
            <w:r>
              <w:rPr>
                <w:rFonts w:ascii="Arial" w:cs="Arial" w:eastAsia="Arial" w:hAnsi="Arial"/>
                <w:sz w:val="14"/>
                <w:szCs w:val="14"/>
                <w:b w:val="1"/>
                <w:bCs w:val="1"/>
                <w:color w:val="auto"/>
              </w:rPr>
              <w:t>Certificate Numbers</w:t>
            </w:r>
          </w:p>
        </w:tc>
        <w:tc>
          <w:tcPr>
            <w:tcW w:w="3880" w:type="dxa"/>
            <w:vAlign w:val="bottom"/>
            <w:tcBorders>
              <w:top w:val="single" w:sz="8" w:color="auto"/>
              <w:right w:val="single" w:sz="8" w:color="auto"/>
            </w:tcBorders>
          </w:tcPr>
          <w:p>
            <w:pPr>
              <w:ind w:left="1520"/>
              <w:spacing w:after="0" w:line="133" w:lineRule="exact"/>
              <w:rPr>
                <w:sz w:val="20"/>
                <w:szCs w:val="20"/>
                <w:color w:val="auto"/>
              </w:rPr>
            </w:pPr>
            <w:r>
              <w:rPr>
                <w:rFonts w:ascii="Arial" w:cs="Arial" w:eastAsia="Arial" w:hAnsi="Arial"/>
                <w:sz w:val="14"/>
                <w:szCs w:val="14"/>
                <w:b w:val="1"/>
                <w:bCs w:val="1"/>
                <w:color w:val="auto"/>
              </w:rPr>
              <w:t>Principal Amount</w:t>
            </w:r>
          </w:p>
        </w:tc>
        <w:tc>
          <w:tcPr>
            <w:tcW w:w="3860" w:type="dxa"/>
            <w:vAlign w:val="bottom"/>
            <w:tcBorders>
              <w:top w:val="single" w:sz="8" w:color="auto"/>
            </w:tcBorders>
          </w:tcPr>
          <w:p>
            <w:pPr>
              <w:jc w:val="center"/>
              <w:ind w:left="32"/>
              <w:spacing w:after="0" w:line="133" w:lineRule="exact"/>
              <w:rPr>
                <w:sz w:val="20"/>
                <w:szCs w:val="20"/>
                <w:color w:val="auto"/>
              </w:rPr>
            </w:pPr>
            <w:r>
              <w:rPr>
                <w:rFonts w:ascii="Arial" w:cs="Arial" w:eastAsia="Arial" w:hAnsi="Arial"/>
                <w:sz w:val="14"/>
                <w:szCs w:val="14"/>
                <w:b w:val="1"/>
                <w:bCs w:val="1"/>
                <w:color w:val="auto"/>
                <w:w w:val="87"/>
              </w:rPr>
              <w:t>Old Notes are</w:t>
            </w:r>
          </w:p>
        </w:tc>
      </w:tr>
      <w:tr>
        <w:trPr>
          <w:trHeight w:val="149"/>
        </w:trPr>
        <w:tc>
          <w:tcPr>
            <w:tcW w:w="3680" w:type="dxa"/>
            <w:vAlign w:val="bottom"/>
            <w:tcBorders>
              <w:right w:val="single" w:sz="8" w:color="auto"/>
            </w:tcBorders>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386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to be Tendered</w:t>
            </w:r>
          </w:p>
        </w:tc>
      </w:tr>
      <w:tr>
        <w:trPr>
          <w:trHeight w:val="175"/>
        </w:trPr>
        <w:tc>
          <w:tcPr>
            <w:tcW w:w="3680" w:type="dxa"/>
            <w:vAlign w:val="bottom"/>
            <w:tcBorders>
              <w:bottom w:val="single" w:sz="8" w:color="auto"/>
              <w:right w:val="single" w:sz="8" w:color="auto"/>
            </w:tcBorders>
          </w:tcPr>
          <w:p>
            <w:pPr>
              <w:spacing w:after="0"/>
              <w:rPr>
                <w:sz w:val="15"/>
                <w:szCs w:val="15"/>
                <w:color w:val="auto"/>
              </w:rPr>
            </w:pPr>
          </w:p>
        </w:tc>
        <w:tc>
          <w:tcPr>
            <w:tcW w:w="3880" w:type="dxa"/>
            <w:vAlign w:val="bottom"/>
            <w:tcBorders>
              <w:bottom w:val="single" w:sz="8" w:color="auto"/>
              <w:right w:val="single" w:sz="8" w:color="auto"/>
            </w:tcBorders>
          </w:tcPr>
          <w:p>
            <w:pPr>
              <w:spacing w:after="0"/>
              <w:rPr>
                <w:sz w:val="15"/>
                <w:szCs w:val="15"/>
                <w:color w:val="auto"/>
              </w:rPr>
            </w:pPr>
          </w:p>
        </w:tc>
        <w:tc>
          <w:tcPr>
            <w:tcW w:w="386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0"/>
              </w:rPr>
              <w:t>(“Yes” or “No”)*</w:t>
            </w:r>
          </w:p>
        </w:tc>
      </w:tr>
      <w:tr>
        <w:trPr>
          <w:trHeight w:val="142"/>
        </w:trPr>
        <w:tc>
          <w:tcPr>
            <w:tcW w:w="3680" w:type="dxa"/>
            <w:vAlign w:val="bottom"/>
            <w:tcBorders>
              <w:bottom w:val="single" w:sz="8" w:color="auto"/>
              <w:right w:val="single" w:sz="8" w:color="auto"/>
            </w:tcBorders>
          </w:tcPr>
          <w:p>
            <w:pPr>
              <w:spacing w:after="0"/>
              <w:rPr>
                <w:sz w:val="12"/>
                <w:szCs w:val="12"/>
                <w:color w:val="auto"/>
              </w:rPr>
            </w:pPr>
          </w:p>
        </w:tc>
        <w:tc>
          <w:tcPr>
            <w:tcW w:w="3880" w:type="dxa"/>
            <w:vAlign w:val="bottom"/>
            <w:tcBorders>
              <w:bottom w:val="single" w:sz="8" w:color="auto"/>
              <w:right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r>
      <w:tr>
        <w:trPr>
          <w:trHeight w:val="142"/>
        </w:trPr>
        <w:tc>
          <w:tcPr>
            <w:tcW w:w="3680" w:type="dxa"/>
            <w:vAlign w:val="bottom"/>
            <w:tcBorders>
              <w:bottom w:val="single" w:sz="8" w:color="auto"/>
              <w:right w:val="single" w:sz="8" w:color="auto"/>
            </w:tcBorders>
          </w:tcPr>
          <w:p>
            <w:pPr>
              <w:spacing w:after="0"/>
              <w:rPr>
                <w:sz w:val="12"/>
                <w:szCs w:val="12"/>
                <w:color w:val="auto"/>
              </w:rPr>
            </w:pPr>
          </w:p>
        </w:tc>
        <w:tc>
          <w:tcPr>
            <w:tcW w:w="3880" w:type="dxa"/>
            <w:vAlign w:val="bottom"/>
            <w:tcBorders>
              <w:bottom w:val="single" w:sz="8" w:color="auto"/>
              <w:right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r>
    </w:tbl>
    <w:p>
      <w:pPr>
        <w:ind w:left="300" w:hanging="170"/>
        <w:spacing w:after="0"/>
        <w:tabs>
          <w:tab w:leader="none" w:pos="3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Unless otherwise indicated, “yes” will be assumed.</w:t>
      </w:r>
    </w:p>
    <w:p>
      <w:pPr>
        <w:spacing w:after="0" w:line="14" w:lineRule="exact"/>
        <w:rPr>
          <w:rFonts w:ascii="Arial" w:cs="Arial" w:eastAsia="Arial" w:hAnsi="Arial"/>
          <w:sz w:val="18"/>
          <w:szCs w:val="18"/>
          <w:color w:val="auto"/>
        </w:rPr>
      </w:pPr>
    </w:p>
    <w:p>
      <w:pPr>
        <w:ind w:left="1480" w:hanging="567"/>
        <w:spacing w:after="0"/>
        <w:tabs>
          <w:tab w:leader="none" w:pos="1480" w:val="left"/>
        </w:tabs>
        <w:numPr>
          <w:ilvl w:val="1"/>
          <w:numId w:val="389"/>
        </w:numPr>
        <w:rPr>
          <w:rFonts w:ascii="MS PGothic" w:cs="MS PGothic" w:eastAsia="MS PGothic" w:hAnsi="MS PGothic"/>
          <w:sz w:val="18"/>
          <w:szCs w:val="18"/>
          <w:color w:val="auto"/>
        </w:rPr>
      </w:pPr>
      <w:r>
        <w:rPr>
          <w:rFonts w:ascii="Arial" w:cs="Arial" w:eastAsia="Arial" w:hAnsi="Arial"/>
          <w:sz w:val="18"/>
          <w:szCs w:val="18"/>
          <w:color w:val="auto"/>
        </w:rPr>
        <w:t>Please do not tender any Old Notes held by you for my account.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-13970</wp:posOffset>
            </wp:positionV>
            <wp:extent cx="543496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-13970</wp:posOffset>
            </wp:positionV>
            <wp:extent cx="507238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507238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-13970</wp:posOffset>
            </wp:positionV>
            <wp:extent cx="51562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15620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Area Code and 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-13970</wp:posOffset>
            </wp:positionV>
            <wp:extent cx="406908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406908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Tax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-13970</wp:posOffset>
            </wp:positionV>
            <wp:extent cx="351155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51155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My Account Number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-13970</wp:posOffset>
            </wp:positionV>
            <wp:extent cx="384619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846195" cy="8890"/>
                    </a:xfrm>
                    <a:prstGeom prst="rect">
                      <a:avLst/>
                    </a:prstGeom>
                    <a:noFill/>
                  </pic:spPr>
                </pic:pic>
              </a:graphicData>
            </a:graphic>
          </wp:anchor>
        </w:drawing>
      </w:r>
    </w:p>
    <w:p>
      <w:pPr>
        <w:spacing w:after="0" w:line="138"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2005</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(Must be signed by the registered holder(s) of the Old Notes, or if signed by a person other than the registered holder(s) of any certificate(s), such certificate(s) must be endorsed or accompanied by appropriate bond powers, in either case, signed exactly as its (their) name(s) appear(s) on certificate(s) or on a security position listing, and such certificate(s) must be guaranteed by an Eligible Institution (as defined in the Letter of Transmittal). If signature is by a trustee, executor, administrator, guardian, attorney-in-fact, officer of a corporation or other person acting in a fiduciary or representative capacity, such person must set forth his or her full title next to his or her name above and, unless waived by the Issuers, submit proper evidence satisfactory to the Issuers of such person’s authority to so act. See Instruction 3 to the Letter of Transmittal.)</w:t>
      </w:r>
    </w:p>
    <w:p>
      <w:pPr>
        <w:spacing w:after="0" w:line="107" w:lineRule="exact"/>
        <w:rPr>
          <w:sz w:val="20"/>
          <w:szCs w:val="20"/>
          <w:color w:val="auto"/>
        </w:rPr>
      </w:pPr>
    </w:p>
    <w:p>
      <w:pPr>
        <w:jc w:val="both"/>
        <w:ind w:right="320" w:firstLine="456"/>
        <w:spacing w:after="0" w:line="370" w:lineRule="auto"/>
        <w:rPr>
          <w:sz w:val="20"/>
          <w:szCs w:val="20"/>
          <w:color w:val="auto"/>
        </w:rPr>
      </w:pPr>
      <w:r>
        <w:rPr>
          <w:rFonts w:ascii="Arial" w:cs="Arial" w:eastAsia="Arial" w:hAnsi="Arial"/>
          <w:sz w:val="15"/>
          <w:szCs w:val="15"/>
          <w:color w:val="auto"/>
        </w:rPr>
        <w:t>None of the Old Notes held by us for your account will be tendered unless we receive written instructions from you to do so. Unless a specific contrary instruction is given in the space provided, your signature(s) hereon shall constitute an instruction to us to tender all the Old Notes held by us for your account.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71" w:name="page472"/>
    <w:bookmarkEnd w:id="471"/>
    <w:p>
      <w:pPr>
        <w:jc w:val="right"/>
        <w:spacing w:after="0"/>
        <w:rPr>
          <w:sz w:val="20"/>
          <w:szCs w:val="20"/>
          <w:color w:val="auto"/>
        </w:rPr>
      </w:pPr>
      <w:r>
        <w:rPr>
          <w:rFonts w:ascii="Arial" w:cs="Arial" w:eastAsia="Arial" w:hAnsi="Arial"/>
          <w:sz w:val="18"/>
          <w:szCs w:val="18"/>
          <w:b w:val="1"/>
          <w:bCs w:val="1"/>
          <w:color w:val="auto"/>
        </w:rPr>
        <w:t>Exhibit 99.4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CAPITAL CORP.</w:t>
      </w:r>
    </w:p>
    <w:p>
      <w:pPr>
        <w:spacing w:after="0" w:line="159"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Offer to Exchange all Outstanding</w:t>
      </w:r>
    </w:p>
    <w:p>
      <w:pPr>
        <w:ind w:left="3980"/>
        <w:spacing w:after="0" w:line="194" w:lineRule="auto"/>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3"/>
          <w:szCs w:val="13"/>
          <w:b w:val="1"/>
          <w:bCs w:val="1"/>
          <w:color w:val="auto"/>
        </w:rPr>
        <w:t>8</w:t>
      </w:r>
      <w:r>
        <w:rPr>
          <w:rFonts w:ascii="Arial" w:cs="Arial" w:eastAsia="Arial" w:hAnsi="Arial"/>
          <w:sz w:val="22"/>
          <w:szCs w:val="22"/>
          <w:b w:val="1"/>
          <w:bCs w:val="1"/>
          <w:color w:val="auto"/>
        </w:rPr>
        <w:t>% First Mortgage Notes due 2014</w:t>
      </w:r>
    </w:p>
    <w:p>
      <w:pPr>
        <w:jc w:val="center"/>
        <w:spacing w:after="0"/>
        <w:rPr>
          <w:sz w:val="20"/>
          <w:szCs w:val="20"/>
          <w:color w:val="auto"/>
        </w:rPr>
      </w:pPr>
      <w:r>
        <w:rPr>
          <w:rFonts w:ascii="Arial" w:cs="Arial" w:eastAsia="Arial" w:hAnsi="Arial"/>
          <w:sz w:val="22"/>
          <w:szCs w:val="22"/>
          <w:b w:val="1"/>
          <w:bCs w:val="1"/>
          <w:color w:val="auto"/>
        </w:rPr>
        <w:t>for</w:t>
      </w:r>
    </w:p>
    <w:p>
      <w:pPr>
        <w:jc w:val="center"/>
        <w:spacing w:after="0" w:line="185" w:lineRule="auto"/>
        <w:rPr>
          <w:sz w:val="20"/>
          <w:szCs w:val="20"/>
          <w:color w:val="auto"/>
        </w:rPr>
      </w:pPr>
      <w:r>
        <w:rPr>
          <w:rFonts w:ascii="Arial" w:cs="Arial" w:eastAsia="Arial" w:hAnsi="Arial"/>
          <w:sz w:val="21"/>
          <w:szCs w:val="21"/>
          <w:b w:val="1"/>
          <w:bCs w:val="1"/>
          <w:color w:val="auto"/>
        </w:rPr>
        <w:t xml:space="preserve">6 </w:t>
      </w:r>
      <w:r>
        <w:rPr>
          <w:rFonts w:ascii="Arial" w:cs="Arial" w:eastAsia="Arial" w:hAnsi="Arial"/>
          <w:sz w:val="28"/>
          <w:szCs w:val="28"/>
          <w:b w:val="1"/>
          <w:bCs w:val="1"/>
          <w:color w:val="auto"/>
          <w:vertAlign w:val="superscript"/>
        </w:rPr>
        <w:t>5</w:t>
      </w:r>
      <w:r>
        <w:rPr>
          <w:rFonts w:ascii="Arial" w:cs="Arial" w:eastAsia="Arial" w:hAnsi="Arial"/>
          <w:sz w:val="21"/>
          <w:szCs w:val="21"/>
          <w:b w:val="1"/>
          <w:bCs w:val="1"/>
          <w:color w:val="auto"/>
        </w:rPr>
        <w:t>/</w:t>
      </w:r>
      <w:r>
        <w:rPr>
          <w:rFonts w:ascii="Arial" w:cs="Arial" w:eastAsia="Arial" w:hAnsi="Arial"/>
          <w:sz w:val="13"/>
          <w:szCs w:val="13"/>
          <w:b w:val="1"/>
          <w:bCs w:val="1"/>
          <w:color w:val="auto"/>
        </w:rPr>
        <w:t>8</w:t>
      </w:r>
      <w:r>
        <w:rPr>
          <w:rFonts w:ascii="Arial" w:cs="Arial" w:eastAsia="Arial" w:hAnsi="Arial"/>
          <w:sz w:val="21"/>
          <w:szCs w:val="21"/>
          <w:b w:val="1"/>
          <w:bCs w:val="1"/>
          <w:color w:val="auto"/>
        </w:rPr>
        <w:t>% First Mortgage Notes due 2014</w:t>
      </w:r>
    </w:p>
    <w:p>
      <w:pPr>
        <w:jc w:val="center"/>
        <w:spacing w:after="0" w:line="230" w:lineRule="auto"/>
        <w:rPr>
          <w:sz w:val="20"/>
          <w:szCs w:val="20"/>
          <w:color w:val="auto"/>
        </w:rPr>
      </w:pPr>
      <w:r>
        <w:rPr>
          <w:rFonts w:ascii="Arial" w:cs="Arial" w:eastAsia="Arial" w:hAnsi="Arial"/>
          <w:sz w:val="22"/>
          <w:szCs w:val="22"/>
          <w:b w:val="1"/>
          <w:bCs w:val="1"/>
          <w:color w:val="auto"/>
        </w:rPr>
        <w:t>That Have Been Registered 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 as Amended,</w:t>
      </w:r>
    </w:p>
    <w:p>
      <w:pPr>
        <w:sectPr>
          <w:pgSz w:w="11900" w:h="16838" w:orient="portrait"/>
          <w:cols w:equalWidth="0" w:num="1">
            <w:col w:w="11420"/>
          </w:cols>
          <w:pgMar w:left="240" w:top="125" w:right="239" w:bottom="1440" w:gutter="0" w:footer="0" w:header="0"/>
        </w:sectPr>
      </w:pPr>
    </w:p>
    <w:p>
      <w:pPr>
        <w:spacing w:after="0" w:line="115" w:lineRule="exact"/>
        <w:rPr>
          <w:sz w:val="20"/>
          <w:szCs w:val="20"/>
          <w:color w:val="auto"/>
        </w:rPr>
      </w:pPr>
    </w:p>
    <w:p>
      <w:pPr>
        <w:ind w:left="3320"/>
        <w:spacing w:after="0"/>
        <w:rPr>
          <w:sz w:val="20"/>
          <w:szCs w:val="20"/>
          <w:color w:val="auto"/>
        </w:rPr>
      </w:pPr>
      <w:r>
        <w:rPr>
          <w:rFonts w:ascii="Arial" w:cs="Arial" w:eastAsia="Arial" w:hAnsi="Arial"/>
          <w:sz w:val="19"/>
          <w:szCs w:val="19"/>
          <w:b w:val="1"/>
          <w:bCs w:val="1"/>
          <w:color w:val="auto"/>
        </w:rPr>
        <w:t>Pursuant to the Prospectus, dated</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2005</w:t>
      </w:r>
    </w:p>
    <w:p>
      <w:pPr>
        <w:spacing w:after="0" w:line="186" w:lineRule="exact"/>
        <w:rPr>
          <w:sz w:val="20"/>
          <w:szCs w:val="20"/>
          <w:color w:val="auto"/>
        </w:rPr>
      </w:pPr>
    </w:p>
    <w:p>
      <w:pPr>
        <w:sectPr>
          <w:pgSz w:w="11900" w:h="16838" w:orient="portrait"/>
          <w:cols w:equalWidth="0" w:num="2">
            <w:col w:w="6840" w:space="720"/>
            <w:col w:w="3860"/>
          </w:cols>
          <w:pgMar w:left="240" w:top="125" w:right="239" w:bottom="1440" w:gutter="0" w:footer="0" w:header="0"/>
          <w:type w:val="continuous"/>
        </w:sectPr>
      </w:pPr>
    </w:p>
    <w:p>
      <w:pPr>
        <w:ind w:left="240"/>
        <w:spacing w:after="0"/>
        <w:tabs>
          <w:tab w:leader="none" w:pos="7840" w:val="left"/>
        </w:tabs>
        <w:rPr>
          <w:sz w:val="20"/>
          <w:szCs w:val="20"/>
          <w:color w:val="auto"/>
        </w:rPr>
      </w:pPr>
      <w:r>
        <w:rPr>
          <w:rFonts w:ascii="Arial" w:cs="Arial" w:eastAsia="Arial" w:hAnsi="Arial"/>
          <w:sz w:val="18"/>
          <w:szCs w:val="18"/>
          <w:b w:val="1"/>
          <w:bCs w:val="1"/>
          <w:color w:val="auto"/>
        </w:rPr>
        <w:t>THE EXCHANGE OFFER WILL EXPIRE AT 5:00 P.M. NEW YORK CITY TIME, ON</w:t>
      </w:r>
      <w:r>
        <w:rPr>
          <w:sz w:val="20"/>
          <w:szCs w:val="20"/>
          <w:color w:val="auto"/>
        </w:rPr>
        <w:tab/>
      </w:r>
      <w:r>
        <w:rPr>
          <w:rFonts w:ascii="Arial" w:cs="Arial" w:eastAsia="Arial" w:hAnsi="Arial"/>
          <w:sz w:val="16"/>
          <w:szCs w:val="16"/>
          <w:b w:val="1"/>
          <w:bCs w:val="1"/>
          <w:color w:val="auto"/>
        </w:rPr>
        <w:t>, 2005, UNLESS EXTENDED (THE</w:t>
      </w:r>
    </w:p>
    <w:p>
      <w:pPr>
        <w:sectPr>
          <w:pgSz w:w="11900" w:h="16838" w:orient="portrait"/>
          <w:cols w:equalWidth="0" w:num="1">
            <w:col w:w="11420"/>
          </w:cols>
          <w:pgMar w:left="240" w:top="125" w:right="239" w:bottom="1440" w:gutter="0" w:footer="0" w:header="0"/>
          <w:type w:val="continuous"/>
        </w:sectPr>
      </w:pPr>
    </w:p>
    <w:p>
      <w:pPr>
        <w:spacing w:after="0" w:line="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“EXPIRATION DATE”). TENDERS MAY BE WITHDRAWN PRIOR TO 5:00 P.M., NEW YORK CITY TIME, ON THE EXPIRATION DATE.</w:t>
      </w:r>
    </w:p>
    <w:p>
      <w:pPr>
        <w:spacing w:after="0" w:line="1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BROKERS, DEALERS, COMMERCIAL BANKS, TRUST COMPANIES AND OTHER NOMINEES: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Las Vegas, LLC and Wynn Las Vegas Capital Corp. (together, the “Issuers”) are offering, upon and subject to the terms and conditions set forth in</w:t>
      </w:r>
    </w:p>
    <w:p>
      <w:pPr>
        <w:spacing w:after="0" w:line="38"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 xml:space="preserve">the Prospectus, dated , 2005 (the “Prospectus”), and the enclosed letter of transmittal (the “Letter of Transmittal”), to exchange (the “Exchange Offer”) their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that have been registered under the Securities Act of 1933, as amended, for their outstanding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(the “Old Notes”). The Exchange Offer is being made in order to satisfy certain obligations of the Issuers contained in the Registration Rights Agreement, dated December 14, 2004, by and among the Issuers, as issuers, the guarantors referred to therein and the initial purchasers referred to therein.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requesting that you contact your clients for whom you hold Old Notes regarding the Exchange Offer. For your information and for forwarding to your clients for whom you hold Old Notes registered in your name or in the name of your nominee, or who hold Old Notes registered in their own names, we are enclosing the following documents:</w:t>
      </w:r>
    </w:p>
    <w:p>
      <w:pPr>
        <w:spacing w:after="0" w:line="46" w:lineRule="exact"/>
        <w:rPr>
          <w:sz w:val="20"/>
          <w:szCs w:val="20"/>
          <w:color w:val="auto"/>
        </w:rPr>
      </w:pPr>
    </w:p>
    <w:tbl>
      <w:tblPr>
        <w:tblLayout w:type="fixed"/>
        <w:tblInd w:w="900" w:type="dxa"/>
        <w:tblCellMar>
          <w:top w:w="0" w:type="dxa"/>
          <w:left w:w="0" w:type="dxa"/>
          <w:bottom w:w="0" w:type="dxa"/>
          <w:right w:w="0" w:type="dxa"/>
        </w:tblCellMar>
      </w:tblPr>
      <w:tr>
        <w:trPr>
          <w:trHeight w:val="222"/>
        </w:trPr>
        <w:tc>
          <w:tcPr>
            <w:tcW w:w="1820" w:type="dxa"/>
            <w:vAlign w:val="bottom"/>
          </w:tcPr>
          <w:p>
            <w:pPr>
              <w:spacing w:after="0"/>
              <w:rPr>
                <w:sz w:val="20"/>
                <w:szCs w:val="20"/>
                <w:color w:val="auto"/>
              </w:rPr>
            </w:pPr>
            <w:r>
              <w:rPr>
                <w:rFonts w:ascii="Arial" w:cs="Arial" w:eastAsia="Arial" w:hAnsi="Arial"/>
                <w:sz w:val="18"/>
                <w:szCs w:val="18"/>
                <w:color w:val="auto"/>
              </w:rPr>
              <w:t>1. Prospectus dated</w:t>
            </w:r>
          </w:p>
        </w:tc>
        <w:tc>
          <w:tcPr>
            <w:tcW w:w="960" w:type="dxa"/>
            <w:vAlign w:val="bottom"/>
          </w:tcPr>
          <w:p>
            <w:pPr>
              <w:jc w:val="right"/>
              <w:spacing w:after="0"/>
              <w:rPr>
                <w:sz w:val="20"/>
                <w:szCs w:val="20"/>
                <w:color w:val="auto"/>
              </w:rPr>
            </w:pPr>
            <w:r>
              <w:rPr>
                <w:rFonts w:ascii="Arial" w:cs="Arial" w:eastAsia="Arial" w:hAnsi="Arial"/>
                <w:sz w:val="18"/>
                <w:szCs w:val="18"/>
                <w:color w:val="auto"/>
              </w:rPr>
              <w:t>, 2005;</w:t>
            </w:r>
          </w:p>
        </w:tc>
      </w:tr>
    </w:tbl>
    <w:p>
      <w:pPr>
        <w:spacing w:after="0" w:line="61" w:lineRule="exact"/>
        <w:rPr>
          <w:sz w:val="20"/>
          <w:szCs w:val="20"/>
          <w:color w:val="auto"/>
        </w:rPr>
      </w:pPr>
    </w:p>
    <w:p>
      <w:pPr>
        <w:ind w:left="1080" w:hanging="177"/>
        <w:spacing w:after="0"/>
        <w:tabs>
          <w:tab w:leader="none" w:pos="10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Letter of Transmittal for your use and for the information of your clients;</w:t>
      </w:r>
    </w:p>
    <w:p>
      <w:pPr>
        <w:spacing w:after="0" w:line="76" w:lineRule="exact"/>
        <w:rPr>
          <w:rFonts w:ascii="Arial" w:cs="Arial" w:eastAsia="Arial" w:hAnsi="Arial"/>
          <w:sz w:val="18"/>
          <w:szCs w:val="18"/>
          <w:color w:val="auto"/>
        </w:rPr>
      </w:pPr>
    </w:p>
    <w:p>
      <w:pPr>
        <w:jc w:val="both"/>
        <w:ind w:left="460" w:right="180" w:firstLine="443"/>
        <w:spacing w:after="0" w:line="259" w:lineRule="auto"/>
        <w:tabs>
          <w:tab w:leader="none" w:pos="107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 Notice of Guaranteed Delivery to be used to accept the Exchange Offer if certificates for Old Notes are not immediately available or time will not permit all required documents to reach the Exchange Agent prior to the Expiration Date (as defined below) or if the procedure for book-entry transfer cannot be completed on a timely basis;</w:t>
      </w:r>
    </w:p>
    <w:p>
      <w:pPr>
        <w:spacing w:after="0" w:line="45" w:lineRule="exact"/>
        <w:rPr>
          <w:rFonts w:ascii="Arial" w:cs="Arial" w:eastAsia="Arial" w:hAnsi="Arial"/>
          <w:sz w:val="18"/>
          <w:szCs w:val="18"/>
          <w:color w:val="auto"/>
        </w:rPr>
      </w:pPr>
    </w:p>
    <w:p>
      <w:pPr>
        <w:ind w:left="460" w:right="240" w:firstLine="443"/>
        <w:spacing w:after="0" w:line="268" w:lineRule="auto"/>
        <w:tabs>
          <w:tab w:leader="none" w:pos="107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 form of letter which may be sent to your clients for whose account you hold Old Notes registered in your name or the name of your nominee, with space provided for obtaining such clients’ instructions with regard to the Exchange Offer;</w:t>
      </w:r>
    </w:p>
    <w:p>
      <w:pPr>
        <w:spacing w:after="0" w:line="37" w:lineRule="exact"/>
        <w:rPr>
          <w:rFonts w:ascii="Arial" w:cs="Arial" w:eastAsia="Arial" w:hAnsi="Arial"/>
          <w:sz w:val="18"/>
          <w:szCs w:val="18"/>
          <w:color w:val="auto"/>
        </w:rPr>
      </w:pPr>
    </w:p>
    <w:p>
      <w:pPr>
        <w:ind w:left="1080" w:hanging="177"/>
        <w:spacing w:after="0"/>
        <w:tabs>
          <w:tab w:leader="none" w:pos="10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Guidelines for Certification of Taxpayer Identification Number on Substitute Form W-9; and</w:t>
      </w:r>
    </w:p>
    <w:p>
      <w:pPr>
        <w:spacing w:after="0" w:line="76" w:lineRule="exact"/>
        <w:rPr>
          <w:rFonts w:ascii="Arial" w:cs="Arial" w:eastAsia="Arial" w:hAnsi="Arial"/>
          <w:sz w:val="18"/>
          <w:szCs w:val="18"/>
          <w:color w:val="auto"/>
        </w:rPr>
      </w:pPr>
    </w:p>
    <w:p>
      <w:pPr>
        <w:ind w:left="1080" w:hanging="177"/>
        <w:spacing w:after="0"/>
        <w:tabs>
          <w:tab w:leader="none" w:pos="10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Return envelopes addressed to U.S. Bank National Association, the Exchange Agent, for the Exchange Offer.</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YOUR PROMPT ACTION IS REQUESTED. THE EXCHANGE OFFER WILL EXPIRE AT 5:00 P.M., NEW YORK CITY TIME, ON</w:t>
      </w:r>
    </w:p>
    <w:p>
      <w:pPr>
        <w:spacing w:after="0" w:line="21" w:lineRule="exact"/>
        <w:rPr>
          <w:sz w:val="20"/>
          <w:szCs w:val="20"/>
          <w:color w:val="auto"/>
        </w:rPr>
      </w:pPr>
    </w:p>
    <w:p>
      <w:pPr>
        <w:ind w:right="620" w:firstLine="886"/>
        <w:spacing w:after="0" w:line="261" w:lineRule="auto"/>
        <w:tabs>
          <w:tab w:leader="none" w:pos="966"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2005, UNLESS EXTENDED BY THE ISSUERS (THE “EXPIRATION DATE”). OLD NOTES TENDERED PURSUANT TO THE EXCHANGE OFFER MAY BE WITHDRAWN AT ANY TIME BEFORE THE EXPIRATION DATE.</w:t>
      </w:r>
    </w:p>
    <w:p>
      <w:pPr>
        <w:sectPr>
          <w:pgSz w:w="11900" w:h="16838" w:orient="portrait"/>
          <w:cols w:equalWidth="0" w:num="1">
            <w:col w:w="11420"/>
          </w:cols>
          <w:pgMar w:left="240" w:top="125" w:right="239" w:bottom="1440" w:gutter="0" w:footer="0" w:header="0"/>
          <w:type w:val="continuous"/>
        </w:sectPr>
      </w:pPr>
    </w:p>
    <w:bookmarkStart w:id="472" w:name="page473"/>
    <w:bookmarkEnd w:id="472"/>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participate in the Exchange Offer, a duly executed and properly completed Letter of Transmittal (or facsimile thereof or Agent’s Message (as defined in the Letter of Transmittal) in lieu thereof), with any required signature guarantees and any other required documents, should be sent to the Exchange Agent and certificates representing the Old Notes should be delivered to the Exchange Agent, all in accordance with the instructions set forth in the Letter of Transmittal and the Prospectus.</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a registered holder of Old Notes desires to tender Old Notes, but such Old Notes are not immediately available, or time will not permit such holder’s Old Notes or other required documents to reach the Exchange Agent before the Expiration Date, or the procedure for book-entry transfer cannot be completed on a timely basis, a tender may be effected by following the guaranteed delivery procedures described in the Prospectus under the caption “The Exchange Offer— Guaranteed Delivery Procedures.”</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Issuers will, upon request, reimburse brokers, dealers, commercial banks and trust companies for reasonable and necessary costs and expenses incurred by them in forwarding the Prospectus and the related documents to the beneficial owners of Old Notes held by them as nominee or in a fiduciary capacity. The Issuers will pay or cause to be paid all stock transfer taxes applicable to the exchange of Old Notes pursuant to the Exchange Offer, except as set forth in Instruction 6 of the Letter of Transmittal.</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inquiries you may have with respect to the procedure for tendering Old Notes pursuant to the Exchange Offer, or requests for additional copies of the enclosed materials, should be directed to U.S. Bank National Association, the Exchange Agent for the Exchange Offer, at its address and telephone number set forth on the front of the Letter of Transmittal.</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WYNN LAS VEGAS CAPITAL CORP.</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NOTHING HEREIN OR IN THE ENCLOSED DOCUMENTS SHALL CONSTITUTE YOU OR ANY PERSON AS AN AGENT OF THE ISSUERS OR THE EXCHANGE AGENT, OR AUTHORIZE YOU OR ANY OTHER PERSON TO USE ANY DOCUMENT OR MAKE ANY STATEMENTS ON BEHALF OF ANY OF THEM WITH RESPECT TO THE EXCHANGE OFFER, EXCEPT FOR STATEMENTS EXPRESSLY MADE IN THE PROSPECTUS OR THE LETTER OF TRANSMITTAL.</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Enclosures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27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1C8153"/>
    <w:multiLevelType w:val="hybridMultilevel"/>
    <w:lvl w:ilvl="0">
      <w:lvlJc w:val="left"/>
      <w:lvlText w:val="(%1)"/>
      <w:numFmt w:val="decimal"/>
      <w:start w:val="213"/>
    </w:lvl>
  </w:abstractNum>
  <w:abstractNum w:abstractNumId="1">
    <w:nsid w:val="67906F60"/>
    <w:multiLevelType w:val="hybridMultilevel"/>
    <w:lvl w:ilvl="0">
      <w:lvlJc w:val="left"/>
      <w:lvlText w:val="(%1)"/>
      <w:numFmt w:val="decimal"/>
      <w:start w:val="1"/>
    </w:lvl>
  </w:abstractNum>
  <w:abstractNum w:abstractNumId="2">
    <w:nsid w:val="10DB9DAA"/>
    <w:multiLevelType w:val="hybridMultilevel"/>
    <w:lvl w:ilvl="0">
      <w:lvlJc w:val="left"/>
      <w:lvlText w:val="*"/>
      <w:numFmt w:val="bullet"/>
      <w:start w:val="1"/>
    </w:lvl>
  </w:abstractNum>
  <w:abstractNum w:abstractNumId="3">
    <w:nsid w:val="697D2D2"/>
    <w:multiLevelType w:val="hybridMultilevel"/>
    <w:lvl w:ilvl="0">
      <w:lvlJc w:val="left"/>
      <w:lvlText w:val="•"/>
      <w:numFmt w:val="bullet"/>
      <w:start w:val="1"/>
    </w:lvl>
  </w:abstractNum>
  <w:abstractNum w:abstractNumId="4">
    <w:nsid w:val="6D68AB2"/>
    <w:multiLevelType w:val="hybridMultilevel"/>
    <w:lvl w:ilvl="0">
      <w:lvlJc w:val="left"/>
      <w:lvlText w:val="•"/>
      <w:numFmt w:val="bullet"/>
      <w:start w:val="1"/>
    </w:lvl>
  </w:abstractNum>
  <w:abstractNum w:abstractNumId="5">
    <w:nsid w:val="3A966CD0"/>
    <w:multiLevelType w:val="hybridMultilevel"/>
    <w:lvl w:ilvl="0">
      <w:lvlJc w:val="left"/>
      <w:lvlText w:val="(%1)"/>
      <w:numFmt w:val="decimal"/>
      <w:start w:val="1"/>
    </w:lvl>
  </w:abstractNum>
  <w:abstractNum w:abstractNumId="6">
    <w:nsid w:val="63F37E85"/>
    <w:multiLevelType w:val="hybridMultilevel"/>
    <w:lvl w:ilvl="0">
      <w:lvlJc w:val="left"/>
      <w:lvlText w:val="•"/>
      <w:numFmt w:val="bullet"/>
      <w:start w:val="1"/>
    </w:lvl>
  </w:abstractNum>
  <w:abstractNum w:abstractNumId="7">
    <w:nsid w:val="5895F5FA"/>
    <w:multiLevelType w:val="hybridMultilevel"/>
    <w:lvl w:ilvl="0">
      <w:lvlJc w:val="left"/>
      <w:lvlText w:val="•"/>
      <w:numFmt w:val="bullet"/>
      <w:start w:val="1"/>
    </w:lvl>
  </w:abstractNum>
  <w:abstractNum w:abstractNumId="8">
    <w:nsid w:val="38A5D054"/>
    <w:multiLevelType w:val="hybridMultilevel"/>
    <w:lvl w:ilvl="0">
      <w:lvlJc w:val="left"/>
      <w:lvlText w:val="•"/>
      <w:numFmt w:val="bullet"/>
      <w:start w:val="1"/>
    </w:lvl>
  </w:abstractNum>
  <w:abstractNum w:abstractNumId="9">
    <w:nsid w:val="F3F09D8"/>
    <w:multiLevelType w:val="hybridMultilevel"/>
    <w:lvl w:ilvl="0">
      <w:lvlJc w:val="left"/>
      <w:lvlText w:val="•"/>
      <w:numFmt w:val="bullet"/>
      <w:start w:val="1"/>
    </w:lvl>
  </w:abstractNum>
  <w:abstractNum w:abstractNumId="10">
    <w:nsid w:val="4B793735"/>
    <w:multiLevelType w:val="hybridMultilevel"/>
    <w:lvl w:ilvl="0">
      <w:lvlJc w:val="left"/>
      <w:lvlText w:val="•"/>
      <w:numFmt w:val="bullet"/>
      <w:start w:val="1"/>
    </w:lvl>
  </w:abstractNum>
  <w:abstractNum w:abstractNumId="11">
    <w:nsid w:val="4A10B4E8"/>
    <w:multiLevelType w:val="hybridMultilevel"/>
    <w:lvl w:ilvl="0">
      <w:lvlJc w:val="left"/>
      <w:lvlText w:val="•"/>
      <w:numFmt w:val="bullet"/>
      <w:start w:val="1"/>
    </w:lvl>
  </w:abstractNum>
  <w:abstractNum w:abstractNumId="12">
    <w:nsid w:val="43D3BCD4"/>
    <w:multiLevelType w:val="hybridMultilevel"/>
    <w:lvl w:ilvl="0">
      <w:lvlJc w:val="left"/>
      <w:lvlText w:val="•"/>
      <w:numFmt w:val="bullet"/>
      <w:start w:val="1"/>
    </w:lvl>
    <w:lvl w:ilvl="1">
      <w:lvlJc w:val="left"/>
      <w:lvlText w:val="•"/>
      <w:numFmt w:val="bullet"/>
      <w:start w:val="1"/>
    </w:lvl>
  </w:abstractNum>
  <w:abstractNum w:abstractNumId="13">
    <w:nsid w:val="4C2A7166"/>
    <w:multiLevelType w:val="hybridMultilevel"/>
    <w:lvl w:ilvl="0">
      <w:lvlJc w:val="left"/>
      <w:lvlText w:val="•"/>
      <w:numFmt w:val="bullet"/>
      <w:start w:val="1"/>
    </w:lvl>
  </w:abstractNum>
  <w:abstractNum w:abstractNumId="14">
    <w:nsid w:val="2E534A82"/>
    <w:multiLevelType w:val="hybridMultilevel"/>
    <w:lvl w:ilvl="0">
      <w:lvlJc w:val="left"/>
      <w:lvlText w:val="•"/>
      <w:numFmt w:val="bullet"/>
      <w:start w:val="1"/>
    </w:lvl>
  </w:abstractNum>
  <w:abstractNum w:abstractNumId="15">
    <w:nsid w:val="26F2D364"/>
    <w:multiLevelType w:val="hybridMultilevel"/>
    <w:lvl w:ilvl="0">
      <w:lvlJc w:val="left"/>
      <w:lvlText w:val="•"/>
      <w:numFmt w:val="bullet"/>
      <w:start w:val="1"/>
    </w:lvl>
  </w:abstractNum>
  <w:abstractNum w:abstractNumId="16">
    <w:nsid w:val="71C1AF98"/>
    <w:multiLevelType w:val="hybridMultilevel"/>
    <w:lvl w:ilvl="0">
      <w:lvlJc w:val="left"/>
      <w:lvlText w:val="•"/>
      <w:numFmt w:val="bullet"/>
      <w:start w:val="1"/>
    </w:lvl>
  </w:abstractNum>
  <w:abstractNum w:abstractNumId="17">
    <w:nsid w:val="3D00B9D9"/>
    <w:multiLevelType w:val="hybridMultilevel"/>
    <w:lvl w:ilvl="0">
      <w:lvlJc w:val="left"/>
      <w:lvlText w:val="•"/>
      <w:numFmt w:val="bullet"/>
      <w:start w:val="1"/>
    </w:lvl>
  </w:abstractNum>
  <w:abstractNum w:abstractNumId="18">
    <w:nsid w:val="15BCABA8"/>
    <w:multiLevelType w:val="hybridMultilevel"/>
    <w:lvl w:ilvl="0">
      <w:lvlJc w:val="left"/>
      <w:lvlText w:val="•"/>
      <w:numFmt w:val="bullet"/>
      <w:start w:val="1"/>
    </w:lvl>
  </w:abstractNum>
  <w:abstractNum w:abstractNumId="19">
    <w:nsid w:val="4E0B9A87"/>
    <w:multiLevelType w:val="hybridMultilevel"/>
    <w:lvl w:ilvl="0">
      <w:lvlJc w:val="left"/>
      <w:lvlText w:val="•"/>
      <w:numFmt w:val="bullet"/>
      <w:start w:val="1"/>
    </w:lvl>
  </w:abstractNum>
  <w:abstractNum w:abstractNumId="20">
    <w:nsid w:val="434BAE75"/>
    <w:multiLevelType w:val="hybridMultilevel"/>
    <w:lvl w:ilvl="0">
      <w:lvlJc w:val="left"/>
      <w:lvlText w:val="•"/>
      <w:numFmt w:val="bullet"/>
      <w:start w:val="1"/>
    </w:lvl>
    <w:lvl w:ilvl="1">
      <w:lvlJc w:val="left"/>
      <w:lvlText w:val="•"/>
      <w:numFmt w:val="bullet"/>
      <w:start w:val="1"/>
    </w:lvl>
  </w:abstractNum>
  <w:abstractNum w:abstractNumId="21">
    <w:nsid w:val="4F38F265"/>
    <w:multiLevelType w:val="hybridMultilevel"/>
    <w:lvl w:ilvl="0">
      <w:lvlJc w:val="left"/>
      <w:lvlText w:val="•"/>
      <w:numFmt w:val="bullet"/>
      <w:start w:val="1"/>
    </w:lvl>
  </w:abstractNum>
  <w:abstractNum w:abstractNumId="22">
    <w:nsid w:val="4C502870"/>
    <w:multiLevelType w:val="hybridMultilevel"/>
    <w:lvl w:ilvl="0">
      <w:lvlJc w:val="left"/>
      <w:lvlText w:val="•"/>
      <w:numFmt w:val="bullet"/>
      <w:start w:val="1"/>
    </w:lvl>
  </w:abstractNum>
  <w:abstractNum w:abstractNumId="23">
    <w:nsid w:val="1DE8725A"/>
    <w:multiLevelType w:val="hybridMultilevel"/>
    <w:lvl w:ilvl="0">
      <w:lvlJc w:val="left"/>
      <w:lvlText w:val="•"/>
      <w:numFmt w:val="bullet"/>
      <w:start w:val="1"/>
    </w:lvl>
  </w:abstractNum>
  <w:abstractNum w:abstractNumId="24">
    <w:nsid w:val="6A37288A"/>
    <w:multiLevelType w:val="hybridMultilevel"/>
    <w:lvl w:ilvl="0">
      <w:lvlJc w:val="left"/>
      <w:lvlText w:val="•"/>
      <w:numFmt w:val="bullet"/>
      <w:start w:val="1"/>
    </w:lvl>
    <w:lvl w:ilvl="1">
      <w:lvlJc w:val="left"/>
      <w:lvlText w:val="•"/>
      <w:numFmt w:val="bullet"/>
      <w:start w:val="1"/>
    </w:lvl>
  </w:abstractNum>
  <w:abstractNum w:abstractNumId="25">
    <w:nsid w:val="8F8B73F"/>
    <w:multiLevelType w:val="hybridMultilevel"/>
    <w:lvl w:ilvl="0">
      <w:lvlJc w:val="left"/>
      <w:lvlText w:val="•"/>
      <w:numFmt w:val="bullet"/>
      <w:start w:val="1"/>
    </w:lvl>
  </w:abstractNum>
  <w:abstractNum w:abstractNumId="26">
    <w:nsid w:val="CA6B462"/>
    <w:multiLevelType w:val="hybridMultilevel"/>
    <w:lvl w:ilvl="0">
      <w:lvlJc w:val="left"/>
      <w:lvlText w:val="•"/>
      <w:numFmt w:val="bullet"/>
      <w:start w:val="1"/>
    </w:lvl>
  </w:abstractNum>
  <w:abstractNum w:abstractNumId="27">
    <w:nsid w:val="763CB680"/>
    <w:multiLevelType w:val="hybridMultilevel"/>
    <w:lvl w:ilvl="0">
      <w:lvlJc w:val="left"/>
      <w:lvlText w:val="(%1)"/>
      <w:numFmt w:val="decimal"/>
      <w:start w:val="1"/>
    </w:lvl>
  </w:abstractNum>
  <w:abstractNum w:abstractNumId="28">
    <w:nsid w:val="15B71329"/>
    <w:multiLevelType w:val="hybridMultilevel"/>
    <w:lvl w:ilvl="0">
      <w:lvlJc w:val="left"/>
      <w:lvlText w:val="(%1)"/>
      <w:numFmt w:val="decimal"/>
      <w:start w:val="1"/>
    </w:lvl>
  </w:abstractNum>
  <w:abstractNum w:abstractNumId="29">
    <w:nsid w:val="3DA97044"/>
    <w:multiLevelType w:val="hybridMultilevel"/>
    <w:lvl w:ilvl="0">
      <w:lvlJc w:val="left"/>
      <w:lvlText w:val="•"/>
      <w:numFmt w:val="bullet"/>
      <w:start w:val="1"/>
    </w:lvl>
  </w:abstractNum>
  <w:abstractNum w:abstractNumId="30">
    <w:nsid w:val="1CDCE2DE"/>
    <w:multiLevelType w:val="hybridMultilevel"/>
    <w:lvl w:ilvl="0">
      <w:lvlJc w:val="left"/>
      <w:lvlText w:val="•"/>
      <w:numFmt w:val="bullet"/>
      <w:start w:val="1"/>
    </w:lvl>
  </w:abstractNum>
  <w:abstractNum w:abstractNumId="31">
    <w:nsid w:val="69D3947C"/>
    <w:multiLevelType w:val="hybridMultilevel"/>
    <w:lvl w:ilvl="0">
      <w:lvlJc w:val="left"/>
      <w:lvlText w:val="•"/>
      <w:numFmt w:val="bullet"/>
      <w:start w:val="1"/>
    </w:lvl>
  </w:abstractNum>
  <w:abstractNum w:abstractNumId="32">
    <w:nsid w:val="2539DFA5"/>
    <w:multiLevelType w:val="hybridMultilevel"/>
    <w:lvl w:ilvl="0">
      <w:lvlJc w:val="left"/>
      <w:lvlText w:val="(%1)"/>
      <w:numFmt w:val="decimal"/>
      <w:start w:val="1"/>
    </w:lvl>
  </w:abstractNum>
  <w:abstractNum w:abstractNumId="33">
    <w:nsid w:val="2DB88089"/>
    <w:multiLevelType w:val="hybridMultilevel"/>
    <w:lvl w:ilvl="0">
      <w:lvlJc w:val="left"/>
      <w:lvlText w:val="(%1)"/>
      <w:numFmt w:val="decimal"/>
      <w:start w:val="1"/>
    </w:lvl>
  </w:abstractNum>
  <w:abstractNum w:abstractNumId="34">
    <w:nsid w:val="706B674E"/>
    <w:multiLevelType w:val="hybridMultilevel"/>
    <w:lvl w:ilvl="0">
      <w:lvlJc w:val="left"/>
      <w:lvlText w:val="•"/>
      <w:numFmt w:val="bullet"/>
      <w:start w:val="1"/>
    </w:lvl>
  </w:abstractNum>
  <w:abstractNum w:abstractNumId="35">
    <w:nsid w:val="2C106A57"/>
    <w:multiLevelType w:val="hybridMultilevel"/>
    <w:lvl w:ilvl="0">
      <w:lvlJc w:val="left"/>
      <w:lvlText w:val="•"/>
      <w:numFmt w:val="bullet"/>
      <w:start w:val="1"/>
    </w:lvl>
  </w:abstractNum>
  <w:abstractNum w:abstractNumId="36">
    <w:nsid w:val="684EED59"/>
    <w:multiLevelType w:val="hybridMultilevel"/>
    <w:lvl w:ilvl="0">
      <w:lvlJc w:val="left"/>
      <w:lvlText w:val="•"/>
      <w:numFmt w:val="bullet"/>
      <w:start w:val="1"/>
    </w:lvl>
  </w:abstractNum>
  <w:abstractNum w:abstractNumId="37">
    <w:nsid w:val="545EE5D3"/>
    <w:multiLevelType w:val="hybridMultilevel"/>
    <w:lvl w:ilvl="0">
      <w:lvlJc w:val="left"/>
      <w:lvlText w:val="•"/>
      <w:numFmt w:val="bullet"/>
      <w:start w:val="1"/>
    </w:lvl>
  </w:abstractNum>
  <w:abstractNum w:abstractNumId="38">
    <w:nsid w:val="4A66051"/>
    <w:multiLevelType w:val="hybridMultilevel"/>
    <w:lvl w:ilvl="0">
      <w:lvlJc w:val="left"/>
      <w:lvlText w:val="•"/>
      <w:numFmt w:val="bullet"/>
      <w:start w:val="1"/>
    </w:lvl>
  </w:abstractNum>
  <w:abstractNum w:abstractNumId="39">
    <w:nsid w:val="20F4BDAD"/>
    <w:multiLevelType w:val="hybridMultilevel"/>
    <w:lvl w:ilvl="0">
      <w:lvlJc w:val="left"/>
      <w:lvlText w:val="•"/>
      <w:numFmt w:val="bullet"/>
      <w:start w:val="1"/>
    </w:lvl>
  </w:abstractNum>
  <w:abstractNum w:abstractNumId="40">
    <w:nsid w:val="639DEFAC"/>
    <w:multiLevelType w:val="hybridMultilevel"/>
    <w:lvl w:ilvl="0">
      <w:lvlJc w:val="left"/>
      <w:lvlText w:val="•"/>
      <w:numFmt w:val="bullet"/>
      <w:start w:val="1"/>
    </w:lvl>
  </w:abstractNum>
  <w:abstractNum w:abstractNumId="41">
    <w:nsid w:val="501F9786"/>
    <w:multiLevelType w:val="hybridMultilevel"/>
    <w:lvl w:ilvl="0">
      <w:lvlJc w:val="left"/>
      <w:lvlText w:val="•"/>
      <w:numFmt w:val="bullet"/>
      <w:start w:val="1"/>
    </w:lvl>
  </w:abstractNum>
  <w:abstractNum w:abstractNumId="42">
    <w:nsid w:val="6B057295"/>
    <w:multiLevelType w:val="hybridMultilevel"/>
    <w:lvl w:ilvl="0">
      <w:lvlJc w:val="left"/>
      <w:lvlText w:val="•"/>
      <w:numFmt w:val="bullet"/>
      <w:start w:val="1"/>
    </w:lvl>
  </w:abstractNum>
  <w:abstractNum w:abstractNumId="43">
    <w:nsid w:val="2771AC80"/>
    <w:multiLevelType w:val="hybridMultilevel"/>
    <w:lvl w:ilvl="0">
      <w:lvlJc w:val="left"/>
      <w:lvlText w:val="•"/>
      <w:numFmt w:val="bullet"/>
      <w:start w:val="1"/>
    </w:lvl>
  </w:abstractNum>
  <w:abstractNum w:abstractNumId="44">
    <w:nsid w:val="1C4A08EC"/>
    <w:multiLevelType w:val="hybridMultilevel"/>
    <w:lvl w:ilvl="0">
      <w:lvlJc w:val="left"/>
      <w:lvlText w:val="•"/>
      <w:numFmt w:val="bullet"/>
      <w:start w:val="1"/>
    </w:lvl>
  </w:abstractNum>
  <w:abstractNum w:abstractNumId="45">
    <w:nsid w:val="1958BD17"/>
    <w:multiLevelType w:val="hybridMultilevel"/>
    <w:lvl w:ilvl="0">
      <w:lvlJc w:val="left"/>
      <w:lvlText w:val="•"/>
      <w:numFmt w:val="bullet"/>
      <w:start w:val="1"/>
    </w:lvl>
  </w:abstractNum>
  <w:abstractNum w:abstractNumId="46">
    <w:nsid w:val="4E647FE4"/>
    <w:multiLevelType w:val="hybridMultilevel"/>
    <w:lvl w:ilvl="0">
      <w:lvlJc w:val="left"/>
      <w:lvlText w:val="(%1)"/>
      <w:numFmt w:val="decimal"/>
      <w:start w:val="1"/>
    </w:lvl>
  </w:abstractNum>
  <w:abstractNum w:abstractNumId="47">
    <w:nsid w:val="E0BB885"/>
    <w:multiLevelType w:val="hybridMultilevel"/>
    <w:lvl w:ilvl="0">
      <w:lvlJc w:val="left"/>
      <w:lvlText w:val="(%1)"/>
      <w:numFmt w:val="decimal"/>
      <w:start w:val="1"/>
    </w:lvl>
  </w:abstractNum>
  <w:abstractNum w:abstractNumId="48">
    <w:nsid w:val="565976F1"/>
    <w:multiLevelType w:val="hybridMultilevel"/>
    <w:lvl w:ilvl="0">
      <w:lvlJc w:val="left"/>
      <w:lvlText w:val="•"/>
      <w:numFmt w:val="bullet"/>
      <w:start w:val="1"/>
    </w:lvl>
  </w:abstractNum>
  <w:abstractNum w:abstractNumId="49">
    <w:nsid w:val="64212B8C"/>
    <w:multiLevelType w:val="hybridMultilevel"/>
    <w:lvl w:ilvl="0">
      <w:lvlJc w:val="left"/>
      <w:lvlText w:val="(%1)"/>
      <w:numFmt w:val="lowerRoman"/>
      <w:start w:val="2"/>
    </w:lvl>
  </w:abstractNum>
  <w:abstractNum w:abstractNumId="50">
    <w:nsid w:val="5C17530C"/>
    <w:multiLevelType w:val="hybridMultilevel"/>
    <w:lvl w:ilvl="0">
      <w:lvlJc w:val="left"/>
      <w:lvlText w:val="(%1)"/>
      <w:numFmt w:val="lowerLetter"/>
      <w:start w:val="1"/>
    </w:lvl>
  </w:abstractNum>
  <w:abstractNum w:abstractNumId="51">
    <w:nsid w:val="19A52566"/>
    <w:multiLevelType w:val="hybridMultilevel"/>
    <w:lvl w:ilvl="0">
      <w:lvlJc w:val="left"/>
      <w:lvlText w:val="(%1)"/>
      <w:numFmt w:val="lowerLetter"/>
      <w:start w:val="1"/>
    </w:lvl>
  </w:abstractNum>
  <w:abstractNum w:abstractNumId="52">
    <w:nsid w:val="335A1DF1"/>
    <w:multiLevelType w:val="hybridMultilevel"/>
    <w:lvl w:ilvl="0">
      <w:lvlJc w:val="left"/>
      <w:lvlText w:val="*"/>
      <w:numFmt w:val="bullet"/>
      <w:start w:val="1"/>
    </w:lvl>
  </w:abstractNum>
  <w:abstractNum w:abstractNumId="53">
    <w:nsid w:val="28677B7C"/>
    <w:multiLevelType w:val="hybridMultilevel"/>
    <w:lvl w:ilvl="0">
      <w:lvlJc w:val="left"/>
      <w:lvlText w:val="(%1)"/>
      <w:numFmt w:val="decimal"/>
      <w:start w:val="1"/>
    </w:lvl>
  </w:abstractNum>
  <w:abstractNum w:abstractNumId="54">
    <w:nsid w:val="378D97C0"/>
    <w:multiLevelType w:val="hybridMultilevel"/>
    <w:lvl w:ilvl="0">
      <w:lvlJc w:val="left"/>
      <w:lvlText w:val="(%1)"/>
      <w:numFmt w:val="decimal"/>
      <w:start w:val="2"/>
    </w:lvl>
  </w:abstractNum>
  <w:abstractNum w:abstractNumId="55">
    <w:nsid w:val="1D91467C"/>
    <w:multiLevelType w:val="hybridMultilevel"/>
    <w:lvl w:ilvl="0">
      <w:lvlJc w:val="left"/>
      <w:lvlText w:val="(%1)"/>
      <w:numFmt w:val="decimal"/>
      <w:start w:val="12"/>
    </w:lvl>
  </w:abstractNum>
  <w:abstractNum w:abstractNumId="56">
    <w:nsid w:val="316032BB"/>
    <w:multiLevelType w:val="hybridMultilevel"/>
    <w:lvl w:ilvl="0">
      <w:lvlJc w:val="left"/>
      <w:lvlText w:val="•"/>
      <w:numFmt w:val="bullet"/>
      <w:start w:val="1"/>
    </w:lvl>
  </w:abstractNum>
  <w:abstractNum w:abstractNumId="57">
    <w:nsid w:val="44344C22"/>
    <w:multiLevelType w:val="hybridMultilevel"/>
    <w:lvl w:ilvl="0">
      <w:lvlJc w:val="left"/>
      <w:lvlText w:val="•"/>
      <w:numFmt w:val="bullet"/>
      <w:start w:val="1"/>
    </w:lvl>
  </w:abstractNum>
  <w:abstractNum w:abstractNumId="58">
    <w:nsid w:val="13CDFCFC"/>
    <w:multiLevelType w:val="hybridMultilevel"/>
    <w:lvl w:ilvl="0">
      <w:lvlJc w:val="left"/>
      <w:lvlText w:val="•"/>
      <w:numFmt w:val="bullet"/>
      <w:start w:val="1"/>
    </w:lvl>
  </w:abstractNum>
  <w:abstractNum w:abstractNumId="59">
    <w:nsid w:val="471745E4"/>
    <w:multiLevelType w:val="hybridMultilevel"/>
    <w:lvl w:ilvl="0">
      <w:lvlJc w:val="left"/>
      <w:lvlText w:val="•"/>
      <w:numFmt w:val="bullet"/>
      <w:start w:val="1"/>
    </w:lvl>
  </w:abstractNum>
  <w:abstractNum w:abstractNumId="60">
    <w:nsid w:val="1DDBC66"/>
    <w:multiLevelType w:val="hybridMultilevel"/>
    <w:lvl w:ilvl="0">
      <w:lvlJc w:val="left"/>
      <w:lvlText w:val="•"/>
      <w:numFmt w:val="bullet"/>
      <w:start w:val="1"/>
    </w:lvl>
  </w:abstractNum>
  <w:abstractNum w:abstractNumId="61">
    <w:nsid w:val="30AADFDA"/>
    <w:multiLevelType w:val="hybridMultilevel"/>
    <w:lvl w:ilvl="0">
      <w:lvlJc w:val="left"/>
      <w:lvlText w:val="•"/>
      <w:numFmt w:val="bullet"/>
      <w:start w:val="1"/>
    </w:lvl>
  </w:abstractNum>
  <w:abstractNum w:abstractNumId="62">
    <w:nsid w:val="30EADA61"/>
    <w:multiLevelType w:val="hybridMultilevel"/>
    <w:lvl w:ilvl="0">
      <w:lvlJc w:val="left"/>
      <w:lvlText w:val="•"/>
      <w:numFmt w:val="bullet"/>
      <w:start w:val="1"/>
    </w:lvl>
  </w:abstractNum>
  <w:abstractNum w:abstractNumId="63">
    <w:nsid w:val="27179C0B"/>
    <w:multiLevelType w:val="hybridMultilevel"/>
    <w:lvl w:ilvl="0">
      <w:lvlJc w:val="left"/>
      <w:lvlText w:val="•"/>
      <w:numFmt w:val="bullet"/>
      <w:start w:val="1"/>
    </w:lvl>
  </w:abstractNum>
  <w:abstractNum w:abstractNumId="64">
    <w:nsid w:val="5E636063"/>
    <w:multiLevelType w:val="hybridMultilevel"/>
    <w:lvl w:ilvl="0">
      <w:lvlJc w:val="left"/>
      <w:lvlText w:val="•"/>
      <w:numFmt w:val="bullet"/>
      <w:start w:val="1"/>
    </w:lvl>
  </w:abstractNum>
  <w:abstractNum w:abstractNumId="65">
    <w:nsid w:val="215641AF"/>
    <w:multiLevelType w:val="hybridMultilevel"/>
    <w:lvl w:ilvl="0">
      <w:lvlJc w:val="left"/>
      <w:lvlText w:val="•"/>
      <w:numFmt w:val="bullet"/>
      <w:start w:val="1"/>
    </w:lvl>
  </w:abstractNum>
  <w:abstractNum w:abstractNumId="66">
    <w:nsid w:val="53280662"/>
    <w:multiLevelType w:val="hybridMultilevel"/>
    <w:lvl w:ilvl="0">
      <w:lvlJc w:val="left"/>
      <w:lvlText w:val="•"/>
      <w:numFmt w:val="bullet"/>
      <w:start w:val="1"/>
    </w:lvl>
  </w:abstractNum>
  <w:abstractNum w:abstractNumId="67">
    <w:nsid w:val="46B24DBC"/>
    <w:multiLevelType w:val="hybridMultilevel"/>
    <w:lvl w:ilvl="0">
      <w:lvlJc w:val="left"/>
      <w:lvlText w:val="•"/>
      <w:numFmt w:val="bullet"/>
      <w:start w:val="1"/>
    </w:lvl>
  </w:abstractNum>
  <w:abstractNum w:abstractNumId="68">
    <w:nsid w:val="75B52783"/>
    <w:multiLevelType w:val="hybridMultilevel"/>
    <w:lvl w:ilvl="0">
      <w:lvlJc w:val="left"/>
      <w:lvlText w:val="•"/>
      <w:numFmt w:val="bullet"/>
      <w:start w:val="1"/>
    </w:lvl>
  </w:abstractNum>
  <w:abstractNum w:abstractNumId="69">
    <w:nsid w:val="57CE66B4"/>
    <w:multiLevelType w:val="hybridMultilevel"/>
    <w:lvl w:ilvl="0">
      <w:lvlJc w:val="left"/>
      <w:lvlText w:val="•"/>
      <w:numFmt w:val="bullet"/>
      <w:start w:val="1"/>
    </w:lvl>
  </w:abstractNum>
  <w:abstractNum w:abstractNumId="70">
    <w:nsid w:val="67A70B69"/>
    <w:multiLevelType w:val="hybridMultilevel"/>
    <w:lvl w:ilvl="0">
      <w:lvlJc w:val="left"/>
      <w:lvlText w:val="(%1)"/>
      <w:numFmt w:val="decimal"/>
      <w:start w:val="1"/>
    </w:lvl>
    <w:lvl w:ilvl="1">
      <w:lvlJc w:val="left"/>
      <w:lvlText w:val="(%2)"/>
      <w:numFmt w:val="lowerLetter"/>
      <w:start w:val="1"/>
    </w:lvl>
  </w:abstractNum>
  <w:abstractNum w:abstractNumId="71">
    <w:nsid w:val="5953172F"/>
    <w:multiLevelType w:val="hybridMultilevel"/>
    <w:lvl w:ilvl="0">
      <w:lvlJc w:val="left"/>
      <w:lvlText w:val="(%1)"/>
      <w:numFmt w:val="decimal"/>
      <w:start w:val="1"/>
    </w:lvl>
  </w:abstractNum>
  <w:abstractNum w:abstractNumId="72">
    <w:nsid w:val="27EDFE3A"/>
    <w:multiLevelType w:val="hybridMultilevel"/>
    <w:lvl w:ilvl="0">
      <w:lvlJc w:val="left"/>
      <w:lvlText w:val="(%1)"/>
      <w:numFmt w:val="decimal"/>
      <w:start w:val="1"/>
    </w:lvl>
  </w:abstractNum>
  <w:abstractNum w:abstractNumId="73">
    <w:nsid w:val="52AC7DFF"/>
    <w:multiLevelType w:val="hybridMultilevel"/>
    <w:lvl w:ilvl="0">
      <w:lvlJc w:val="left"/>
      <w:lvlText w:val="(%1)"/>
      <w:numFmt w:val="decimal"/>
      <w:start w:val="3"/>
    </w:lvl>
  </w:abstractNum>
  <w:abstractNum w:abstractNumId="74">
    <w:nsid w:val="C4C3AF"/>
    <w:multiLevelType w:val="hybridMultilevel"/>
    <w:lvl w:ilvl="0">
      <w:lvlJc w:val="left"/>
      <w:lvlText w:val="(%1)"/>
      <w:numFmt w:val="decimal"/>
      <w:start w:val="1"/>
    </w:lvl>
  </w:abstractNum>
  <w:abstractNum w:abstractNumId="75">
    <w:nsid w:val="44380727"/>
    <w:multiLevelType w:val="hybridMultilevel"/>
    <w:lvl w:ilvl="0">
      <w:lvlJc w:val="left"/>
      <w:lvlText w:val="(%1)"/>
      <w:numFmt w:val="decimal"/>
      <w:start w:val="1"/>
    </w:lvl>
  </w:abstractNum>
  <w:abstractNum w:abstractNumId="76">
    <w:nsid w:val="6C053B16"/>
    <w:multiLevelType w:val="hybridMultilevel"/>
    <w:lvl w:ilvl="0">
      <w:lvlJc w:val="left"/>
      <w:lvlText w:val="(%1)"/>
      <w:numFmt w:val="lowerLetter"/>
      <w:start w:val="1"/>
    </w:lvl>
  </w:abstractNum>
  <w:abstractNum w:abstractNumId="77">
    <w:nsid w:val="4F294393"/>
    <w:multiLevelType w:val="hybridMultilevel"/>
    <w:lvl w:ilvl="0">
      <w:lvlJc w:val="left"/>
      <w:lvlText w:val="%1"/>
      <w:numFmt w:val="lowerLetter"/>
      <w:start w:val="1"/>
    </w:lvl>
    <w:lvl w:ilvl="1">
      <w:lvlJc w:val="left"/>
      <w:lvlText w:val="(%2)"/>
      <w:numFmt w:val="lowerLetter"/>
      <w:start w:val="4"/>
    </w:lvl>
  </w:abstractNum>
  <w:abstractNum w:abstractNumId="78">
    <w:nsid w:val="5243BFAC"/>
    <w:multiLevelType w:val="hybridMultilevel"/>
    <w:lvl w:ilvl="0">
      <w:lvlJc w:val="left"/>
      <w:lvlText w:val="(%1)"/>
      <w:numFmt w:val="lowerLetter"/>
      <w:start w:val="5"/>
    </w:lvl>
    <w:lvl w:ilvl="1">
      <w:lvlJc w:val="left"/>
      <w:lvlText w:val="%2"/>
      <w:numFmt w:val="lowerLetter"/>
      <w:start w:val="1"/>
    </w:lvl>
  </w:abstractNum>
  <w:abstractNum w:abstractNumId="79">
    <w:nsid w:val="425EB20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0">
    <w:nsid w:val="334A6F1F"/>
    <w:multiLevelType w:val="hybridMultilevel"/>
    <w:lvl w:ilvl="0">
      <w:lvlJc w:val="left"/>
      <w:lvlText w:val="(%1)"/>
      <w:numFmt w:val="decimal"/>
      <w:start w:val="1"/>
    </w:lvl>
  </w:abstractNum>
  <w:abstractNum w:abstractNumId="81">
    <w:nsid w:val="2E5B12B8"/>
    <w:multiLevelType w:val="hybridMultilevel"/>
    <w:lvl w:ilvl="0">
      <w:lvlJc w:val="left"/>
      <w:lvlText w:val="(%1)"/>
      <w:numFmt w:val="decimal"/>
      <w:start w:val="1"/>
    </w:lvl>
  </w:abstractNum>
  <w:abstractNum w:abstractNumId="82">
    <w:nsid w:val="5C03D76D"/>
    <w:multiLevelType w:val="hybridMultilevel"/>
    <w:lvl w:ilvl="0">
      <w:lvlJc w:val="left"/>
      <w:lvlText w:val="(%1)"/>
      <w:numFmt w:val="decimal"/>
      <w:start w:val="3"/>
    </w:lvl>
  </w:abstractNum>
  <w:abstractNum w:abstractNumId="83">
    <w:nsid w:val="66A48D11"/>
    <w:multiLevelType w:val="hybridMultilevel"/>
    <w:lvl w:ilvl="0">
      <w:lvlJc w:val="left"/>
      <w:lvlText w:val="(%1)"/>
      <w:numFmt w:val="decimal"/>
      <w:start w:val="1"/>
    </w:lvl>
  </w:abstractNum>
  <w:abstractNum w:abstractNumId="84">
    <w:nsid w:val="56C28E34"/>
    <w:multiLevelType w:val="hybridMultilevel"/>
    <w:lvl w:ilvl="0">
      <w:lvlJc w:val="left"/>
      <w:lvlText w:val="(%1)"/>
      <w:numFmt w:val="decimal"/>
      <w:start w:val="3"/>
    </w:lvl>
    <w:lvl w:ilvl="1">
      <w:lvlJc w:val="left"/>
      <w:lvlText w:val="(%2)"/>
      <w:numFmt w:val="lowerLetter"/>
      <w:start w:val="1"/>
    </w:lvl>
  </w:abstractNum>
  <w:abstractNum w:abstractNumId="85">
    <w:nsid w:val="13916F2D"/>
    <w:multiLevelType w:val="hybridMultilevel"/>
    <w:lvl w:ilvl="0">
      <w:lvlJc w:val="left"/>
      <w:lvlText w:val="(%1)"/>
      <w:numFmt w:val="decimal"/>
      <w:start w:val="2"/>
    </w:lvl>
  </w:abstractNum>
  <w:abstractNum w:abstractNumId="86">
    <w:nsid w:val="435D38D"/>
    <w:multiLevelType w:val="hybridMultilevel"/>
    <w:lvl w:ilvl="0">
      <w:lvlJc w:val="left"/>
      <w:lvlText w:val="(%1)"/>
      <w:numFmt w:val="decimal"/>
      <w:start w:val="1"/>
    </w:lvl>
  </w:abstractNum>
  <w:abstractNum w:abstractNumId="87">
    <w:nsid w:val="822C0EF"/>
    <w:multiLevelType w:val="hybridMultilevel"/>
    <w:lvl w:ilvl="0">
      <w:lvlJc w:val="left"/>
      <w:lvlText w:val="(%1)"/>
      <w:numFmt w:val="decimal"/>
      <w:start w:val="1"/>
    </w:lvl>
  </w:abstractNum>
  <w:abstractNum w:abstractNumId="88">
    <w:nsid w:val="57C5BB4F"/>
    <w:multiLevelType w:val="hybridMultilevel"/>
    <w:lvl w:ilvl="0">
      <w:lvlJc w:val="left"/>
      <w:lvlText w:val="(%1)"/>
      <w:numFmt w:val="decimal"/>
      <w:start w:val="1"/>
    </w:lvl>
  </w:abstractNum>
  <w:abstractNum w:abstractNumId="89">
    <w:nsid w:val="1803D089"/>
    <w:multiLevelType w:val="hybridMultilevel"/>
    <w:lvl w:ilvl="0">
      <w:lvlJc w:val="left"/>
      <w:lvlText w:val="(%1)"/>
      <w:numFmt w:val="decimal"/>
      <w:start w:val="2"/>
    </w:lvl>
  </w:abstractNum>
  <w:abstractNum w:abstractNumId="90">
    <w:nsid w:val="4F3A06D4"/>
    <w:multiLevelType w:val="hybridMultilevel"/>
    <w:lvl w:ilvl="0">
      <w:lvlJc w:val="left"/>
      <w:lvlText w:val="(%1)"/>
      <w:numFmt w:val="decimal"/>
      <w:start w:val="1"/>
    </w:lvl>
  </w:abstractNum>
  <w:abstractNum w:abstractNumId="91">
    <w:nsid w:val="59A377B6"/>
    <w:multiLevelType w:val="hybridMultilevel"/>
    <w:lvl w:ilvl="0">
      <w:lvlJc w:val="left"/>
      <w:lvlText w:val="(%1)"/>
      <w:numFmt w:val="decimal"/>
      <w:start w:val="4"/>
    </w:lvl>
    <w:lvl w:ilvl="1">
      <w:lvlJc w:val="left"/>
      <w:lvlText w:val="(%2)"/>
      <w:numFmt w:val="lowerLetter"/>
      <w:start w:val="1"/>
    </w:lvl>
  </w:abstractNum>
  <w:abstractNum w:abstractNumId="92">
    <w:nsid w:val="48AEB063"/>
    <w:multiLevelType w:val="hybridMultilevel"/>
    <w:lvl w:ilvl="0">
      <w:lvlJc w:val="left"/>
      <w:lvlText w:val="(%1)"/>
      <w:numFmt w:val="lowerLetter"/>
      <w:start w:val="4"/>
    </w:lvl>
  </w:abstractNum>
  <w:abstractNum w:abstractNumId="93">
    <w:nsid w:val="24E135"/>
    <w:multiLevelType w:val="hybridMultilevel"/>
    <w:lvl w:ilvl="0">
      <w:lvlJc w:val="left"/>
      <w:lvlText w:val="(%1)"/>
      <w:numFmt w:val="decimal"/>
      <w:start w:val="1"/>
    </w:lvl>
  </w:abstractNum>
  <w:abstractNum w:abstractNumId="94">
    <w:nsid w:val="BB13C1"/>
    <w:multiLevelType w:val="hybridMultilevel"/>
    <w:lvl w:ilvl="0">
      <w:lvlJc w:val="left"/>
      <w:lvlText w:val="(%1)"/>
      <w:numFmt w:val="decimal"/>
      <w:start w:val="6"/>
    </w:lvl>
  </w:abstractNum>
  <w:abstractNum w:abstractNumId="95">
    <w:nsid w:val="271210C7"/>
    <w:multiLevelType w:val="hybridMultilevel"/>
    <w:lvl w:ilvl="0">
      <w:lvlJc w:val="left"/>
      <w:lvlText w:val="(%1)"/>
      <w:numFmt w:val="decimal"/>
      <w:start w:val="2"/>
    </w:lvl>
    <w:lvl w:ilvl="1">
      <w:lvlJc w:val="left"/>
      <w:lvlText w:val="(%2)"/>
      <w:numFmt w:val="decimal"/>
      <w:start w:val="1"/>
    </w:lvl>
  </w:abstractNum>
  <w:abstractNum w:abstractNumId="96">
    <w:nsid w:val="217B22E4"/>
    <w:multiLevelType w:val="hybridMultilevel"/>
    <w:lvl w:ilvl="0">
      <w:lvlJc w:val="left"/>
      <w:lvlText w:val="(%1)"/>
      <w:numFmt w:val="decimal"/>
      <w:start w:val="1"/>
    </w:lvl>
  </w:abstractNum>
  <w:abstractNum w:abstractNumId="97">
    <w:nsid w:val="53E31A24"/>
    <w:multiLevelType w:val="hybridMultilevel"/>
    <w:lvl w:ilvl="0">
      <w:lvlJc w:val="left"/>
      <w:lvlText w:val="(%1)"/>
      <w:numFmt w:val="decimal"/>
      <w:start w:val="2"/>
    </w:lvl>
    <w:lvl w:ilvl="1">
      <w:lvlJc w:val="left"/>
      <w:lvlText w:val="(%2)"/>
      <w:numFmt w:val="lowerLetter"/>
      <w:start w:val="1"/>
    </w:lvl>
  </w:abstractNum>
  <w:abstractNum w:abstractNumId="98">
    <w:nsid w:val="6DC45E83"/>
    <w:multiLevelType w:val="hybridMultilevel"/>
    <w:lvl w:ilvl="0">
      <w:lvlJc w:val="left"/>
      <w:lvlText w:val="%1"/>
      <w:numFmt w:val="decimal"/>
      <w:start w:val="1"/>
    </w:lvl>
    <w:lvl w:ilvl="1">
      <w:lvlJc w:val="left"/>
      <w:lvlText w:val="(%2)"/>
      <w:numFmt w:val="lowerLetter"/>
      <w:start w:val="1"/>
    </w:lvl>
  </w:abstractNum>
  <w:abstractNum w:abstractNumId="99">
    <w:nsid w:val="17304A67"/>
    <w:multiLevelType w:val="hybridMultilevel"/>
    <w:lvl w:ilvl="0">
      <w:lvlJc w:val="left"/>
      <w:lvlText w:val="(%1)"/>
      <w:numFmt w:val="decimal"/>
      <w:start w:val="9"/>
    </w:lvl>
    <w:lvl w:ilvl="1">
      <w:lvlJc w:val="left"/>
      <w:lvlText w:val="(%2)"/>
      <w:numFmt w:val="lowerLetter"/>
      <w:start w:val="1"/>
    </w:lvl>
  </w:abstractNum>
  <w:abstractNum w:abstractNumId="100">
    <w:nsid w:val="2BB180D8"/>
    <w:multiLevelType w:val="hybridMultilevel"/>
    <w:lvl w:ilvl="0">
      <w:lvlJc w:val="left"/>
      <w:lvlText w:val="(%1)"/>
      <w:numFmt w:val="decimal"/>
      <w:start w:val="1"/>
    </w:lvl>
    <w:lvl w:ilvl="1">
      <w:lvlJc w:val="left"/>
      <w:lvlText w:val="(%2)"/>
      <w:numFmt w:val="lowerLetter"/>
      <w:start w:val="1"/>
    </w:lvl>
  </w:abstractNum>
  <w:abstractNum w:abstractNumId="101">
    <w:nsid w:val="556B69ED"/>
    <w:multiLevelType w:val="hybridMultilevel"/>
    <w:lvl w:ilvl="0">
      <w:lvlJc w:val="left"/>
      <w:lvlText w:val="(%1)"/>
      <w:numFmt w:val="decimal"/>
      <w:start w:val="1"/>
    </w:lvl>
  </w:abstractNum>
  <w:abstractNum w:abstractNumId="102">
    <w:nsid w:val="70836196"/>
    <w:multiLevelType w:val="hybridMultilevel"/>
    <w:lvl w:ilvl="0">
      <w:lvlJc w:val="left"/>
      <w:lvlText w:val="(%1)"/>
      <w:numFmt w:val="decimal"/>
      <w:start w:val="1"/>
    </w:lvl>
  </w:abstractNum>
  <w:abstractNum w:abstractNumId="103">
    <w:nsid w:val="539F7F12"/>
    <w:multiLevelType w:val="hybridMultilevel"/>
    <w:lvl w:ilvl="0">
      <w:lvlJc w:val="left"/>
      <w:lvlText w:val="(%1)"/>
      <w:numFmt w:val="decimal"/>
      <w:start w:val="2"/>
    </w:lvl>
  </w:abstractNum>
  <w:abstractNum w:abstractNumId="104">
    <w:nsid w:val="2817E7EC"/>
    <w:multiLevelType w:val="hybridMultilevel"/>
    <w:lvl w:ilvl="0">
      <w:lvlJc w:val="left"/>
      <w:lvlText w:val="(%1)"/>
      <w:numFmt w:val="decimal"/>
      <w:start w:val="1"/>
    </w:lvl>
  </w:abstractNum>
  <w:abstractNum w:abstractNumId="105">
    <w:nsid w:val="71482545"/>
    <w:multiLevelType w:val="hybridMultilevel"/>
    <w:lvl w:ilvl="0">
      <w:lvlJc w:val="left"/>
      <w:lvlText w:val="(%1)"/>
      <w:numFmt w:val="decimal"/>
      <w:start w:val="5"/>
    </w:lvl>
    <w:lvl w:ilvl="1">
      <w:lvlJc w:val="left"/>
      <w:lvlText w:val="(%2)"/>
      <w:numFmt w:val="lowerLetter"/>
      <w:start w:val="1"/>
    </w:lvl>
  </w:abstractNum>
  <w:abstractNum w:abstractNumId="106">
    <w:nsid w:val="17D78639"/>
    <w:multiLevelType w:val="hybridMultilevel"/>
    <w:lvl w:ilvl="0">
      <w:lvlJc w:val="left"/>
      <w:lvlText w:val="(%1)"/>
      <w:numFmt w:val="decimal"/>
      <w:start w:val="1"/>
    </w:lvl>
    <w:lvl w:ilvl="1">
      <w:lvlJc w:val="left"/>
      <w:lvlText w:val="(%2)"/>
      <w:numFmt w:val="lowerLetter"/>
      <w:start w:val="1"/>
    </w:lvl>
  </w:abstractNum>
  <w:abstractNum w:abstractNumId="107">
    <w:nsid w:val="141D2302"/>
    <w:multiLevelType w:val="hybridMultilevel"/>
    <w:lvl w:ilvl="0">
      <w:lvlJc w:val="left"/>
      <w:lvlText w:val="(%1)"/>
      <w:numFmt w:val="decimal"/>
      <w:start w:val="1"/>
    </w:lvl>
  </w:abstractNum>
  <w:abstractNum w:abstractNumId="108">
    <w:nsid w:val="407168D8"/>
    <w:multiLevelType w:val="hybridMultilevel"/>
    <w:lvl w:ilvl="0">
      <w:lvlJc w:val="left"/>
      <w:lvlText w:val="(%1)"/>
      <w:numFmt w:val="decimal"/>
      <w:start w:val="6"/>
    </w:lvl>
  </w:abstractNum>
  <w:abstractNum w:abstractNumId="109">
    <w:nsid w:val="6A1B45E5"/>
    <w:multiLevelType w:val="hybridMultilevel"/>
    <w:lvl w:ilvl="0">
      <w:lvlJc w:val="left"/>
      <w:lvlText w:val="(%1)"/>
      <w:numFmt w:val="decimal"/>
      <w:start w:val="1"/>
    </w:lvl>
  </w:abstractNum>
  <w:abstractNum w:abstractNumId="110">
    <w:nsid w:val="567BD50A"/>
    <w:multiLevelType w:val="hybridMultilevel"/>
    <w:lvl w:ilvl="0">
      <w:lvlJc w:val="left"/>
      <w:lvlText w:val="(%1)"/>
      <w:numFmt w:val="decimal"/>
      <w:start w:val="1"/>
    </w:lvl>
  </w:abstractNum>
  <w:abstractNum w:abstractNumId="111">
    <w:nsid w:val="73BBD7F8"/>
    <w:multiLevelType w:val="hybridMultilevel"/>
    <w:lvl w:ilvl="0">
      <w:lvlJc w:val="left"/>
      <w:lvlText w:val="(%1)"/>
      <w:numFmt w:val="decimal"/>
      <w:start w:val="1"/>
    </w:lvl>
  </w:abstractNum>
  <w:abstractNum w:abstractNumId="112">
    <w:nsid w:val="1876589D"/>
    <w:multiLevelType w:val="hybridMultilevel"/>
    <w:lvl w:ilvl="0">
      <w:lvlJc w:val="left"/>
      <w:lvlText w:val="(%1)"/>
      <w:numFmt w:val="decimal"/>
      <w:start w:val="1"/>
    </w:lvl>
    <w:lvl w:ilvl="1">
      <w:lvlJc w:val="left"/>
      <w:lvlText w:val="(%2)"/>
      <w:numFmt w:val="lowerLetter"/>
      <w:start w:val="1"/>
    </w:lvl>
  </w:abstractNum>
  <w:abstractNum w:abstractNumId="113">
    <w:nsid w:val="327FAC77"/>
    <w:multiLevelType w:val="hybridMultilevel"/>
    <w:lvl w:ilvl="0">
      <w:lvlJc w:val="left"/>
      <w:lvlText w:val="(%1)"/>
      <w:numFmt w:val="decimal"/>
      <w:start w:val="1"/>
    </w:lvl>
  </w:abstractNum>
  <w:abstractNum w:abstractNumId="114">
    <w:nsid w:val="5A606509"/>
    <w:multiLevelType w:val="hybridMultilevel"/>
    <w:lvl w:ilvl="0">
      <w:lvlJc w:val="left"/>
      <w:lvlText w:val="(%1)"/>
      <w:numFmt w:val="decimal"/>
      <w:start w:val="1"/>
    </w:lvl>
  </w:abstractNum>
  <w:abstractNum w:abstractNumId="115">
    <w:nsid w:val="6F38E6D1"/>
    <w:multiLevelType w:val="hybridMultilevel"/>
    <w:lvl w:ilvl="0">
      <w:lvlJc w:val="left"/>
      <w:lvlText w:val="(%1)"/>
      <w:numFmt w:val="decimal"/>
      <w:start w:val="1"/>
    </w:lvl>
  </w:abstractNum>
  <w:abstractNum w:abstractNumId="116">
    <w:nsid w:val="46111BA5"/>
    <w:multiLevelType w:val="hybridMultilevel"/>
    <w:lvl w:ilvl="0">
      <w:lvlJc w:val="left"/>
      <w:lvlText w:val="(%1)"/>
      <w:numFmt w:val="decimal"/>
      <w:start w:val="1"/>
    </w:lvl>
  </w:abstractNum>
  <w:abstractNum w:abstractNumId="117">
    <w:nsid w:val="5E963896"/>
    <w:multiLevelType w:val="hybridMultilevel"/>
    <w:lvl w:ilvl="0">
      <w:lvlJc w:val="left"/>
      <w:lvlText w:val="(%1)"/>
      <w:numFmt w:val="lowerLetter"/>
      <w:start w:val="2"/>
    </w:lvl>
  </w:abstractNum>
  <w:abstractNum w:abstractNumId="118">
    <w:nsid w:val="775BA7C1"/>
    <w:multiLevelType w:val="hybridMultilevel"/>
    <w:lvl w:ilvl="0">
      <w:lvlJc w:val="left"/>
      <w:lvlText w:val="(%1)"/>
      <w:numFmt w:val="decimal"/>
      <w:start w:val="2"/>
    </w:lvl>
  </w:abstractNum>
  <w:abstractNum w:abstractNumId="119">
    <w:nsid w:val="1DD6D6F4"/>
    <w:multiLevelType w:val="hybridMultilevel"/>
    <w:lvl w:ilvl="0">
      <w:lvlJc w:val="left"/>
      <w:lvlText w:val="(%1)"/>
      <w:numFmt w:val="decimal"/>
      <w:start w:val="3"/>
    </w:lvl>
    <w:lvl w:ilvl="1">
      <w:lvlJc w:val="left"/>
      <w:lvlText w:val="(%2)"/>
      <w:numFmt w:val="lowerLetter"/>
      <w:start w:val="1"/>
    </w:lvl>
  </w:abstractNum>
  <w:abstractNum w:abstractNumId="120">
    <w:nsid w:val="769A091F"/>
    <w:multiLevelType w:val="hybridMultilevel"/>
    <w:lvl w:ilvl="0">
      <w:lvlJc w:val="left"/>
      <w:lvlText w:val="(%1)"/>
      <w:numFmt w:val="decimal"/>
      <w:start w:val="1"/>
    </w:lvl>
    <w:lvl w:ilvl="1">
      <w:lvlJc w:val="left"/>
      <w:lvlText w:val="(%2)"/>
      <w:numFmt w:val="lowerLetter"/>
      <w:start w:val="1"/>
    </w:lvl>
  </w:abstractNum>
  <w:abstractNum w:abstractNumId="121">
    <w:nsid w:val="4695AE95"/>
    <w:multiLevelType w:val="hybridMultilevel"/>
    <w:lvl w:ilvl="0">
      <w:lvlJc w:val="left"/>
      <w:lvlText w:val="(%1)"/>
      <w:numFmt w:val="decimal"/>
      <w:start w:val="3"/>
    </w:lvl>
  </w:abstractNum>
  <w:abstractNum w:abstractNumId="122">
    <w:nsid w:val="777A4EAA"/>
    <w:multiLevelType w:val="hybridMultilevel"/>
    <w:lvl w:ilvl="0">
      <w:lvlJc w:val="left"/>
      <w:lvlText w:val="(%1)"/>
      <w:numFmt w:val="decimal"/>
      <w:start w:val="1"/>
    </w:lvl>
  </w:abstractNum>
  <w:abstractNum w:abstractNumId="123">
    <w:nsid w:val="3F48B982"/>
    <w:multiLevelType w:val="hybridMultilevel"/>
    <w:lvl w:ilvl="0">
      <w:lvlJc w:val="left"/>
      <w:lvlText w:val="(%1)"/>
      <w:numFmt w:val="decimal"/>
      <w:start w:val="1"/>
    </w:lvl>
  </w:abstractNum>
  <w:abstractNum w:abstractNumId="124">
    <w:nsid w:val="46BA8FCA"/>
    <w:multiLevelType w:val="hybridMultilevel"/>
    <w:lvl w:ilvl="0">
      <w:lvlJc w:val="left"/>
      <w:lvlText w:val="(%1)"/>
      <w:numFmt w:val="decimal"/>
      <w:start w:val="1"/>
    </w:lvl>
    <w:lvl w:ilvl="1">
      <w:lvlJc w:val="left"/>
      <w:lvlText w:val="(%2)"/>
      <w:numFmt w:val="lowerLetter"/>
      <w:start w:val="1"/>
    </w:lvl>
  </w:abstractNum>
  <w:abstractNum w:abstractNumId="125">
    <w:nsid w:val="7835626C"/>
    <w:multiLevelType w:val="hybridMultilevel"/>
    <w:lvl w:ilvl="0">
      <w:lvlJc w:val="left"/>
      <w:lvlText w:val="(%1)"/>
      <w:numFmt w:val="decimal"/>
      <w:start w:val="4"/>
    </w:lvl>
    <w:lvl w:ilvl="1">
      <w:lvlJc w:val="left"/>
      <w:lvlText w:val="(%2)"/>
      <w:numFmt w:val="lowerLetter"/>
      <w:start w:val="1"/>
    </w:lvl>
  </w:abstractNum>
  <w:abstractNum w:abstractNumId="126">
    <w:nsid w:val="665ACA49"/>
    <w:multiLevelType w:val="hybridMultilevel"/>
    <w:lvl w:ilvl="0">
      <w:lvlJc w:val="left"/>
      <w:lvlText w:val="(%1)"/>
      <w:numFmt w:val="decimal"/>
      <w:start w:val="7"/>
    </w:lvl>
  </w:abstractNum>
  <w:abstractNum w:abstractNumId="127">
    <w:nsid w:val="6835B2AE"/>
    <w:multiLevelType w:val="hybridMultilevel"/>
    <w:lvl w:ilvl="0">
      <w:lvlJc w:val="left"/>
      <w:lvlText w:val="(%1)"/>
      <w:numFmt w:val="decimal"/>
      <w:start w:val="12"/>
    </w:lvl>
  </w:abstractNum>
  <w:abstractNum w:abstractNumId="128">
    <w:nsid w:val="4C187C90"/>
    <w:multiLevelType w:val="hybridMultilevel"/>
    <w:lvl w:ilvl="0">
      <w:lvlJc w:val="left"/>
      <w:lvlText w:val="(%1)"/>
      <w:numFmt w:val="decimal"/>
      <w:start w:val="1"/>
    </w:lvl>
  </w:abstractNum>
  <w:abstractNum w:abstractNumId="129">
    <w:nsid w:val="541F28CD"/>
    <w:multiLevelType w:val="hybridMultilevel"/>
    <w:lvl w:ilvl="0">
      <w:lvlJc w:val="left"/>
      <w:lvlText w:val="(%1)"/>
      <w:numFmt w:val="decimal"/>
      <w:start w:val="1"/>
    </w:lvl>
  </w:abstractNum>
  <w:abstractNum w:abstractNumId="130">
    <w:nsid w:val="7F65FD16"/>
    <w:multiLevelType w:val="hybridMultilevel"/>
    <w:lvl w:ilvl="0">
      <w:lvlJc w:val="left"/>
      <w:lvlText w:val="(%1)"/>
      <w:numFmt w:val="decimal"/>
      <w:start w:val="1"/>
    </w:lvl>
  </w:abstractNum>
  <w:abstractNum w:abstractNumId="131">
    <w:nsid w:val="77C9FD68"/>
    <w:multiLevelType w:val="hybridMultilevel"/>
    <w:lvl w:ilvl="0">
      <w:lvlJc w:val="left"/>
      <w:lvlText w:val="(%1)"/>
      <w:numFmt w:val="decimal"/>
      <w:start w:val="2"/>
    </w:lvl>
  </w:abstractNum>
  <w:abstractNum w:abstractNumId="132">
    <w:nsid w:val="298A92BA"/>
    <w:multiLevelType w:val="hybridMultilevel"/>
    <w:lvl w:ilvl="0">
      <w:lvlJc w:val="left"/>
      <w:lvlText w:val="%1"/>
      <w:numFmt w:val="lowerLetter"/>
      <w:start w:val="1"/>
    </w:lvl>
    <w:lvl w:ilvl="1">
      <w:lvlJc w:val="left"/>
      <w:lvlText w:val="(%2)"/>
      <w:numFmt w:val="decimal"/>
      <w:start w:val="1"/>
    </w:lvl>
  </w:abstractNum>
  <w:abstractNum w:abstractNumId="133">
    <w:nsid w:val="6FE95EAC"/>
    <w:multiLevelType w:val="hybridMultilevel"/>
    <w:lvl w:ilvl="0">
      <w:lvlJc w:val="left"/>
      <w:lvlText w:val="(%1)"/>
      <w:numFmt w:val="lowerLetter"/>
      <w:start w:val="1"/>
    </w:lvl>
    <w:lvl w:ilvl="1">
      <w:lvlJc w:val="left"/>
      <w:lvlText w:val="(%2)"/>
      <w:numFmt w:val="decimal"/>
      <w:start w:val="3"/>
    </w:lvl>
  </w:abstractNum>
  <w:abstractNum w:abstractNumId="134">
    <w:nsid w:val="4B697C7A"/>
    <w:multiLevelType w:val="hybridMultilevel"/>
    <w:lvl w:ilvl="0">
      <w:lvlJc w:val="left"/>
      <w:lvlText w:val="(%1)"/>
      <w:numFmt w:val="decimal"/>
      <w:start w:val="7"/>
    </w:lvl>
  </w:abstractNum>
  <w:abstractNum w:abstractNumId="135">
    <w:nsid w:val="51A27AA6"/>
    <w:multiLevelType w:val="hybridMultilevel"/>
    <w:lvl w:ilvl="0">
      <w:lvlJc w:val="left"/>
      <w:lvlText w:val="(%1)"/>
      <w:numFmt w:val="decimal"/>
      <w:start w:val="1"/>
    </w:lvl>
  </w:abstractNum>
  <w:abstractNum w:abstractNumId="136">
    <w:nsid w:val="613183F2"/>
    <w:multiLevelType w:val="hybridMultilevel"/>
    <w:lvl w:ilvl="0">
      <w:lvlJc w:val="left"/>
      <w:lvlText w:val="(%1)"/>
      <w:numFmt w:val="decimal"/>
      <w:start w:val="9"/>
    </w:lvl>
  </w:abstractNum>
  <w:abstractNum w:abstractNumId="137">
    <w:nsid w:val="634102B4"/>
    <w:multiLevelType w:val="hybridMultilevel"/>
    <w:lvl w:ilvl="0">
      <w:lvlJc w:val="left"/>
      <w:lvlText w:val="(%1)"/>
      <w:numFmt w:val="decimal"/>
      <w:start w:val="1"/>
    </w:lvl>
  </w:abstractNum>
  <w:abstractNum w:abstractNumId="138">
    <w:nsid w:val="65BF9DA8"/>
    <w:multiLevelType w:val="hybridMultilevel"/>
    <w:lvl w:ilvl="0">
      <w:lvlJc w:val="left"/>
      <w:lvlText w:val="(%1)"/>
      <w:numFmt w:val="decimal"/>
      <w:start w:val="7"/>
    </w:lvl>
  </w:abstractNum>
  <w:abstractNum w:abstractNumId="139">
    <w:nsid w:val="21A2ECCA"/>
    <w:multiLevelType w:val="hybridMultilevel"/>
    <w:lvl w:ilvl="0">
      <w:lvlJc w:val="left"/>
      <w:lvlText w:val="(%1)"/>
      <w:numFmt w:val="decimal"/>
      <w:start w:val="1"/>
    </w:lvl>
  </w:abstractNum>
  <w:abstractNum w:abstractNumId="140">
    <w:nsid w:val="4D5C4899"/>
    <w:multiLevelType w:val="hybridMultilevel"/>
    <w:lvl w:ilvl="0">
      <w:lvlJc w:val="left"/>
      <w:lvlText w:val="(%1)"/>
      <w:numFmt w:val="decimal"/>
      <w:start w:val="1"/>
    </w:lvl>
    <w:lvl w:ilvl="1">
      <w:lvlJc w:val="left"/>
      <w:lvlText w:val="(%2)"/>
      <w:numFmt w:val="lowerLetter"/>
      <w:start w:val="1"/>
    </w:lvl>
  </w:abstractNum>
  <w:abstractNum w:abstractNumId="141">
    <w:nsid w:val="3C3B72B2"/>
    <w:multiLevelType w:val="hybridMultilevel"/>
    <w:lvl w:ilvl="0">
      <w:lvlJc w:val="left"/>
      <w:lvlText w:val="(%1)"/>
      <w:numFmt w:val="decimal"/>
      <w:start w:val="2"/>
    </w:lvl>
  </w:abstractNum>
  <w:abstractNum w:abstractNumId="142">
    <w:nsid w:val="155EC4C2"/>
    <w:multiLevelType w:val="hybridMultilevel"/>
    <w:lvl w:ilvl="0">
      <w:lvlJc w:val="left"/>
      <w:lvlText w:val="(%1)"/>
      <w:numFmt w:val="decimal"/>
      <w:start w:val="1"/>
    </w:lvl>
  </w:abstractNum>
  <w:abstractNum w:abstractNumId="143">
    <w:nsid w:val="65D2A137"/>
    <w:multiLevelType w:val="hybridMultilevel"/>
    <w:lvl w:ilvl="0">
      <w:lvlJc w:val="left"/>
      <w:lvlText w:val="(%1)"/>
      <w:numFmt w:val="decimal"/>
      <w:start w:val="1"/>
    </w:lvl>
  </w:abstractNum>
  <w:abstractNum w:abstractNumId="144">
    <w:nsid w:val="6EBB1F2A"/>
    <w:multiLevelType w:val="hybridMultilevel"/>
    <w:lvl w:ilvl="0">
      <w:lvlJc w:val="left"/>
      <w:lvlText w:val="(%1)"/>
      <w:numFmt w:val="decimal"/>
      <w:start w:val="1"/>
    </w:lvl>
  </w:abstractNum>
  <w:abstractNum w:abstractNumId="145">
    <w:nsid w:val="6FBF29CB"/>
    <w:multiLevelType w:val="hybridMultilevel"/>
    <w:lvl w:ilvl="0">
      <w:lvlJc w:val="left"/>
      <w:lvlText w:val="(%1)"/>
      <w:numFmt w:val="decimal"/>
      <w:start w:val="1"/>
    </w:lvl>
  </w:abstractNum>
  <w:abstractNum w:abstractNumId="146">
    <w:nsid w:val="550B8808"/>
    <w:multiLevelType w:val="hybridMultilevel"/>
    <w:lvl w:ilvl="0">
      <w:lvlJc w:val="left"/>
      <w:lvlText w:val="(%1)"/>
      <w:numFmt w:val="decimal"/>
      <w:start w:val="1"/>
    </w:lvl>
  </w:abstractNum>
  <w:abstractNum w:abstractNumId="147">
    <w:nsid w:val="34CC3ACF"/>
    <w:multiLevelType w:val="hybridMultilevel"/>
    <w:lvl w:ilvl="0">
      <w:lvlJc w:val="left"/>
      <w:lvlText w:val="(%1)"/>
      <w:numFmt w:val="decimal"/>
      <w:start w:val="1"/>
    </w:lvl>
  </w:abstractNum>
  <w:abstractNum w:abstractNumId="148">
    <w:nsid w:val="4E556261"/>
    <w:multiLevelType w:val="hybridMultilevel"/>
    <w:lvl w:ilvl="0">
      <w:lvlJc w:val="left"/>
      <w:lvlText w:val="(%1)"/>
      <w:numFmt w:val="decimal"/>
      <w:start w:val="1"/>
    </w:lvl>
    <w:lvl w:ilvl="1">
      <w:lvlJc w:val="left"/>
      <w:lvlText w:val="(%2)"/>
      <w:numFmt w:val="lowerLetter"/>
      <w:start w:val="1"/>
    </w:lvl>
  </w:abstractNum>
  <w:abstractNum w:abstractNumId="149">
    <w:nsid w:val="4C672FC9"/>
    <w:multiLevelType w:val="hybridMultilevel"/>
    <w:lvl w:ilvl="0">
      <w:lvlJc w:val="left"/>
      <w:lvlText w:val="(%1)"/>
      <w:numFmt w:val="decimal"/>
      <w:start w:val="3"/>
    </w:lvl>
  </w:abstractNum>
  <w:abstractNum w:abstractNumId="150">
    <w:nsid w:val="52A311C3"/>
    <w:multiLevelType w:val="hybridMultilevel"/>
    <w:lvl w:ilvl="0">
      <w:lvlJc w:val="left"/>
      <w:lvlText w:val="(%1)"/>
      <w:numFmt w:val="decimal"/>
      <w:start w:val="1"/>
    </w:lvl>
  </w:abstractNum>
  <w:abstractNum w:abstractNumId="151">
    <w:nsid w:val="44EF6B80"/>
    <w:multiLevelType w:val="hybridMultilevel"/>
    <w:lvl w:ilvl="0">
      <w:lvlJc w:val="left"/>
      <w:lvlText w:val="(%1)"/>
      <w:numFmt w:val="decimal"/>
      <w:start w:val="1"/>
    </w:lvl>
  </w:abstractNum>
  <w:abstractNum w:abstractNumId="152">
    <w:nsid w:val="12FCDE5E"/>
    <w:multiLevelType w:val="hybridMultilevel"/>
    <w:lvl w:ilvl="0">
      <w:lvlJc w:val="left"/>
      <w:lvlText w:val="(%1)"/>
      <w:numFmt w:val="decimal"/>
      <w:start w:val="2"/>
    </w:lvl>
  </w:abstractNum>
  <w:abstractNum w:abstractNumId="153">
    <w:nsid w:val="4A1D606E"/>
    <w:multiLevelType w:val="hybridMultilevel"/>
    <w:lvl w:ilvl="0">
      <w:lvlJc w:val="left"/>
      <w:lvlText w:val="(%1)"/>
      <w:numFmt w:val="decimal"/>
      <w:start w:val="1"/>
    </w:lvl>
    <w:lvl w:ilvl="1">
      <w:lvlJc w:val="left"/>
      <w:lvlText w:val="(%2)"/>
      <w:numFmt w:val="lowerLetter"/>
      <w:start w:val="60"/>
    </w:lvl>
    <w:lvl w:ilvl="2">
      <w:lvlJc w:val="left"/>
      <w:lvlText w:val="(%3)"/>
      <w:numFmt w:val="lowerLetter"/>
      <w:start w:val="1"/>
    </w:lvl>
  </w:abstractNum>
  <w:abstractNum w:abstractNumId="154">
    <w:nsid w:val="438250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55">
    <w:nsid w:val="59B76E28"/>
    <w:multiLevelType w:val="hybridMultilevel"/>
    <w:lvl w:ilvl="0">
      <w:lvlJc w:val="left"/>
      <w:lvlText w:val="(%1)"/>
      <w:numFmt w:val="decimal"/>
      <w:start w:val="4"/>
    </w:lvl>
  </w:abstractNum>
  <w:abstractNum w:abstractNumId="156">
    <w:nsid w:val="4252C2DA"/>
    <w:multiLevelType w:val="hybridMultilevel"/>
    <w:lvl w:ilvl="0">
      <w:lvlJc w:val="left"/>
      <w:lvlText w:val="(%1)"/>
      <w:numFmt w:val="decimal"/>
      <w:start w:val="1"/>
    </w:lvl>
  </w:abstractNum>
  <w:abstractNum w:abstractNumId="157">
    <w:nsid w:val="6A92EF4C"/>
    <w:multiLevelType w:val="hybridMultilevel"/>
    <w:lvl w:ilvl="0">
      <w:lvlJc w:val="left"/>
      <w:lvlText w:val="(%1)"/>
      <w:numFmt w:val="decimal"/>
      <w:start w:val="1"/>
    </w:lvl>
  </w:abstractNum>
  <w:abstractNum w:abstractNumId="158">
    <w:nsid w:val="41ED20D7"/>
    <w:multiLevelType w:val="hybridMultilevel"/>
    <w:lvl w:ilvl="0">
      <w:lvlJc w:val="left"/>
      <w:lvlText w:val="(%1)"/>
      <w:numFmt w:val="decimal"/>
      <w:start w:val="1"/>
    </w:lvl>
  </w:abstractNum>
  <w:abstractNum w:abstractNumId="159">
    <w:nsid w:val="E6B3F6A"/>
    <w:multiLevelType w:val="hybridMultilevel"/>
    <w:lvl w:ilvl="0">
      <w:lvlJc w:val="left"/>
      <w:lvlText w:val="(%1)"/>
      <w:numFmt w:val="decimal"/>
      <w:start w:val="1"/>
    </w:lvl>
  </w:abstractNum>
  <w:abstractNum w:abstractNumId="160">
    <w:nsid w:val="3EB21819"/>
    <w:multiLevelType w:val="hybridMultilevel"/>
    <w:lvl w:ilvl="0">
      <w:lvlJc w:val="left"/>
      <w:lvlText w:val="(%1)"/>
      <w:numFmt w:val="decimal"/>
      <w:start w:val="1"/>
    </w:lvl>
  </w:abstractNum>
  <w:abstractNum w:abstractNumId="161">
    <w:nsid w:val="41531DED"/>
    <w:multiLevelType w:val="hybridMultilevel"/>
    <w:lvl w:ilvl="0">
      <w:lvlJc w:val="left"/>
      <w:lvlText w:val="(%1)"/>
      <w:numFmt w:val="decimal"/>
      <w:start w:val="1"/>
    </w:lvl>
  </w:abstractNum>
  <w:abstractNum w:abstractNumId="162">
    <w:nsid w:val="6353CD2"/>
    <w:multiLevelType w:val="hybridMultilevel"/>
    <w:lvl w:ilvl="0">
      <w:lvlJc w:val="left"/>
      <w:lvlText w:val="(%1)"/>
      <w:numFmt w:val="decimal"/>
      <w:start w:val="2"/>
    </w:lvl>
  </w:abstractNum>
  <w:abstractNum w:abstractNumId="163">
    <w:nsid w:val="683CAAD3"/>
    <w:multiLevelType w:val="hybridMultilevel"/>
    <w:lvl w:ilvl="0">
      <w:lvlJc w:val="left"/>
      <w:lvlText w:val="(%1)"/>
      <w:numFmt w:val="decimal"/>
      <w:start w:val="1"/>
    </w:lvl>
  </w:abstractNum>
  <w:abstractNum w:abstractNumId="164">
    <w:nsid w:val="313C7C99"/>
    <w:multiLevelType w:val="hybridMultilevel"/>
    <w:lvl w:ilvl="0">
      <w:lvlJc w:val="left"/>
      <w:lvlText w:val="(%1)"/>
      <w:numFmt w:val="decimal"/>
      <w:start w:val="2"/>
    </w:lvl>
  </w:abstractNum>
  <w:abstractNum w:abstractNumId="165">
    <w:nsid w:val="519EB94C"/>
    <w:multiLevelType w:val="hybridMultilevel"/>
    <w:lvl w:ilvl="0">
      <w:lvlJc w:val="left"/>
      <w:lvlText w:val="(%1)"/>
      <w:numFmt w:val="decimal"/>
      <w:start w:val="1"/>
    </w:lvl>
  </w:abstractNum>
  <w:abstractNum w:abstractNumId="166">
    <w:nsid w:val="39DF2579"/>
    <w:multiLevelType w:val="hybridMultilevel"/>
    <w:lvl w:ilvl="0">
      <w:lvlJc w:val="left"/>
      <w:lvlText w:val="(%1)"/>
      <w:numFmt w:val="decimal"/>
      <w:start w:val="1"/>
    </w:lvl>
  </w:abstractNum>
  <w:abstractNum w:abstractNumId="167">
    <w:nsid w:val="126E008B"/>
    <w:multiLevelType w:val="hybridMultilevel"/>
    <w:lvl w:ilvl="0">
      <w:lvlJc w:val="left"/>
      <w:lvlText w:val="(%1)"/>
      <w:numFmt w:val="decimal"/>
      <w:start w:val="1"/>
    </w:lvl>
  </w:abstractNum>
  <w:abstractNum w:abstractNumId="168">
    <w:nsid w:val="34DFBC00"/>
    <w:multiLevelType w:val="hybridMultilevel"/>
    <w:lvl w:ilvl="0">
      <w:lvlJc w:val="left"/>
      <w:lvlText w:val="(%1)"/>
      <w:numFmt w:val="decimal"/>
      <w:start w:val="1"/>
    </w:lvl>
  </w:abstractNum>
  <w:abstractNum w:abstractNumId="169">
    <w:nsid w:val="1F9EC322"/>
    <w:multiLevelType w:val="hybridMultilevel"/>
    <w:lvl w:ilvl="0">
      <w:lvlJc w:val="left"/>
      <w:lvlText w:val="(%1)"/>
      <w:numFmt w:val="decimal"/>
      <w:start w:val="1"/>
    </w:lvl>
  </w:abstractNum>
  <w:abstractNum w:abstractNumId="170">
    <w:nsid w:val="3410ED56"/>
    <w:multiLevelType w:val="hybridMultilevel"/>
    <w:lvl w:ilvl="0">
      <w:lvlJc w:val="left"/>
      <w:lvlText w:val="(%1)"/>
      <w:numFmt w:val="decimal"/>
      <w:start w:val="1"/>
    </w:lvl>
    <w:lvl w:ilvl="1">
      <w:lvlJc w:val="left"/>
      <w:lvlText w:val="(%2)"/>
      <w:numFmt w:val="lowerLetter"/>
      <w:start w:val="1"/>
    </w:lvl>
  </w:abstractNum>
  <w:abstractNum w:abstractNumId="171">
    <w:nsid w:val="23C049A"/>
    <w:multiLevelType w:val="hybridMultilevel"/>
    <w:lvl w:ilvl="0">
      <w:lvlJc w:val="left"/>
      <w:lvlText w:val="(%1)"/>
      <w:numFmt w:val="decimal"/>
      <w:start w:val="1"/>
    </w:lvl>
  </w:abstractNum>
  <w:abstractNum w:abstractNumId="172">
    <w:nsid w:val="5BDA35D4"/>
    <w:multiLevelType w:val="hybridMultilevel"/>
    <w:lvl w:ilvl="0">
      <w:lvlJc w:val="left"/>
      <w:lvlText w:val="(%1)"/>
      <w:numFmt w:val="decimal"/>
      <w:start w:val="1"/>
    </w:lvl>
  </w:abstractNum>
  <w:abstractNum w:abstractNumId="173">
    <w:nsid w:val="496FB218"/>
    <w:multiLevelType w:val="hybridMultilevel"/>
    <w:lvl w:ilvl="0">
      <w:lvlJc w:val="left"/>
      <w:lvlText w:val="(%1)"/>
      <w:numFmt w:val="decimal"/>
      <w:start w:val="1"/>
    </w:lvl>
  </w:abstractNum>
  <w:abstractNum w:abstractNumId="174">
    <w:nsid w:val="680EA5D1"/>
    <w:multiLevelType w:val="hybridMultilevel"/>
    <w:lvl w:ilvl="0">
      <w:lvlJc w:val="left"/>
      <w:lvlText w:val="(%1)"/>
      <w:numFmt w:val="decimal"/>
      <w:start w:val="1"/>
    </w:lvl>
  </w:abstractNum>
  <w:abstractNum w:abstractNumId="175">
    <w:nsid w:val="4A9554FE"/>
    <w:multiLevelType w:val="hybridMultilevel"/>
    <w:lvl w:ilvl="0">
      <w:lvlJc w:val="left"/>
      <w:lvlText w:val="(%1)"/>
      <w:numFmt w:val="decimal"/>
      <w:start w:val="1"/>
    </w:lvl>
  </w:abstractNum>
  <w:abstractNum w:abstractNumId="176">
    <w:nsid w:val="392EDBE4"/>
    <w:multiLevelType w:val="hybridMultilevel"/>
    <w:lvl w:ilvl="0">
      <w:lvlJc w:val="left"/>
      <w:lvlText w:val="(%1)"/>
      <w:numFmt w:val="decimal"/>
      <w:start w:val="1"/>
    </w:lvl>
  </w:abstractNum>
  <w:abstractNum w:abstractNumId="177">
    <w:nsid w:val="3D1A2DD9"/>
    <w:multiLevelType w:val="hybridMultilevel"/>
    <w:lvl w:ilvl="0">
      <w:lvlJc w:val="left"/>
      <w:lvlText w:val="(%1)"/>
      <w:numFmt w:val="decimal"/>
      <w:start w:val="1"/>
    </w:lvl>
  </w:abstractNum>
  <w:abstractNum w:abstractNumId="178">
    <w:nsid w:val="7F618FCD"/>
    <w:multiLevelType w:val="hybridMultilevel"/>
    <w:lvl w:ilvl="0">
      <w:lvlJc w:val="left"/>
      <w:lvlText w:val="(%1)"/>
      <w:numFmt w:val="decimal"/>
      <w:start w:val="1"/>
    </w:lvl>
  </w:abstractNum>
  <w:abstractNum w:abstractNumId="179">
    <w:nsid w:val="7843E45"/>
    <w:multiLevelType w:val="hybridMultilevel"/>
    <w:lvl w:ilvl="0">
      <w:lvlJc w:val="left"/>
      <w:lvlText w:val="(%1)"/>
      <w:numFmt w:val="decimal"/>
      <w:start w:val="1"/>
    </w:lvl>
  </w:abstractNum>
  <w:abstractNum w:abstractNumId="180">
    <w:nsid w:val="9815DA3"/>
    <w:multiLevelType w:val="hybridMultilevel"/>
    <w:lvl w:ilvl="0">
      <w:lvlJc w:val="left"/>
      <w:lvlText w:val="(%1)"/>
      <w:numFmt w:val="decimal"/>
      <w:start w:val="9"/>
    </w:lvl>
  </w:abstractNum>
  <w:abstractNum w:abstractNumId="181">
    <w:nsid w:val="5204A191"/>
    <w:multiLevelType w:val="hybridMultilevel"/>
    <w:lvl w:ilvl="0">
      <w:lvlJc w:val="left"/>
      <w:lvlText w:val="(%1)"/>
      <w:numFmt w:val="decimal"/>
      <w:start w:val="1"/>
    </w:lvl>
    <w:lvl w:ilvl="1">
      <w:lvlJc w:val="left"/>
      <w:lvlText w:val="(%2)"/>
      <w:numFmt w:val="lowerLetter"/>
      <w:start w:val="1"/>
    </w:lvl>
  </w:abstractNum>
  <w:abstractNum w:abstractNumId="182">
    <w:nsid w:val="4C73A9C6"/>
    <w:multiLevelType w:val="hybridMultilevel"/>
    <w:lvl w:ilvl="0">
      <w:lvlJc w:val="left"/>
      <w:lvlText w:val="(%1)"/>
      <w:numFmt w:val="decimal"/>
      <w:start w:val="13"/>
    </w:lvl>
  </w:abstractNum>
  <w:abstractNum w:abstractNumId="183">
    <w:nsid w:val="1C7E3C01"/>
    <w:multiLevelType w:val="hybridMultilevel"/>
    <w:lvl w:ilvl="0">
      <w:lvlJc w:val="left"/>
      <w:lvlText w:val="(%1)"/>
      <w:numFmt w:val="decimal"/>
      <w:start w:val="1"/>
    </w:lvl>
    <w:lvl w:ilvl="1">
      <w:lvlJc w:val="left"/>
      <w:lvlText w:val="(%2)"/>
      <w:numFmt w:val="lowerLetter"/>
      <w:start w:val="1"/>
    </w:lvl>
  </w:abstractNum>
  <w:abstractNum w:abstractNumId="184">
    <w:nsid w:val="1C2201FF"/>
    <w:multiLevelType w:val="hybridMultilevel"/>
    <w:lvl w:ilvl="0">
      <w:lvlJc w:val="left"/>
      <w:lvlText w:val="(%1)"/>
      <w:numFmt w:val="decimal"/>
      <w:start w:val="8"/>
    </w:lvl>
    <w:lvl w:ilvl="1">
      <w:lvlJc w:val="left"/>
      <w:lvlText w:val="(%2)"/>
      <w:numFmt w:val="lowerLetter"/>
      <w:start w:val="1"/>
    </w:lvl>
  </w:abstractNum>
  <w:abstractNum w:abstractNumId="185">
    <w:nsid w:val="50ABCEC9"/>
    <w:multiLevelType w:val="hybridMultilevel"/>
    <w:lvl w:ilvl="0">
      <w:lvlJc w:val="left"/>
      <w:lvlText w:val="(%1)"/>
      <w:numFmt w:val="decimal"/>
      <w:start w:val="16"/>
    </w:lvl>
    <w:lvl w:ilvl="1">
      <w:lvlJc w:val="left"/>
      <w:lvlText w:val="(%2)"/>
      <w:numFmt w:val="lowerLetter"/>
      <w:start w:val="1"/>
    </w:lvl>
  </w:abstractNum>
  <w:abstractNum w:abstractNumId="186">
    <w:nsid w:val="7635AA2A"/>
    <w:multiLevelType w:val="hybridMultilevel"/>
    <w:lvl w:ilvl="0">
      <w:lvlJc w:val="left"/>
      <w:lvlText w:val="(%1)"/>
      <w:numFmt w:val="decimal"/>
      <w:start w:val="25"/>
    </w:lvl>
  </w:abstractNum>
  <w:abstractNum w:abstractNumId="187">
    <w:nsid w:val="5E74C4D9"/>
    <w:multiLevelType w:val="hybridMultilevel"/>
    <w:lvl w:ilvl="0">
      <w:lvlJc w:val="left"/>
      <w:lvlText w:val="(%1)"/>
      <w:numFmt w:val="decimal"/>
      <w:start w:val="1"/>
    </w:lvl>
  </w:abstractNum>
  <w:abstractNum w:abstractNumId="188">
    <w:nsid w:val="3B3EBE15"/>
    <w:multiLevelType w:val="hybridMultilevel"/>
    <w:lvl w:ilvl="0">
      <w:lvlJc w:val="left"/>
      <w:lvlText w:val="(%1)"/>
      <w:numFmt w:val="decimal"/>
      <w:start w:val="1"/>
    </w:lvl>
  </w:abstractNum>
  <w:abstractNum w:abstractNumId="189">
    <w:nsid w:val="3822CB01"/>
    <w:multiLevelType w:val="hybridMultilevel"/>
    <w:lvl w:ilvl="0">
      <w:lvlJc w:val="left"/>
      <w:lvlText w:val="(%1)"/>
      <w:numFmt w:val="decimal"/>
      <w:start w:val="1"/>
    </w:lvl>
    <w:lvl w:ilvl="1">
      <w:lvlJc w:val="left"/>
      <w:lvlText w:val="(%2)"/>
      <w:numFmt w:val="lowerLetter"/>
      <w:start w:val="1"/>
    </w:lvl>
  </w:abstractNum>
  <w:abstractNum w:abstractNumId="190">
    <w:nsid w:val="6CE00443"/>
    <w:multiLevelType w:val="hybridMultilevel"/>
    <w:lvl w:ilvl="0">
      <w:lvlJc w:val="left"/>
      <w:lvlText w:val="(%1)"/>
      <w:numFmt w:val="decimal"/>
      <w:start w:val="1"/>
    </w:lvl>
  </w:abstractNum>
  <w:abstractNum w:abstractNumId="191">
    <w:nsid w:val="79F0D62F"/>
    <w:multiLevelType w:val="hybridMultilevel"/>
    <w:lvl w:ilvl="0">
      <w:lvlJc w:val="left"/>
      <w:lvlText w:val="(%1)"/>
      <w:numFmt w:val="decimal"/>
      <w:start w:val="1"/>
    </w:lvl>
  </w:abstractNum>
  <w:abstractNum w:abstractNumId="192">
    <w:nsid w:val="7975E8EE"/>
    <w:multiLevelType w:val="hybridMultilevel"/>
    <w:lvl w:ilvl="0">
      <w:lvlJc w:val="left"/>
      <w:lvlText w:val="(%1)"/>
      <w:numFmt w:val="decimal"/>
      <w:start w:val="1"/>
    </w:lvl>
  </w:abstractNum>
  <w:abstractNum w:abstractNumId="193">
    <w:nsid w:val="73154115"/>
    <w:multiLevelType w:val="hybridMultilevel"/>
    <w:lvl w:ilvl="0">
      <w:lvlJc w:val="left"/>
      <w:lvlText w:val="(%1)"/>
      <w:numFmt w:val="decimal"/>
      <w:start w:val="1"/>
    </w:lvl>
    <w:lvl w:ilvl="1">
      <w:lvlJc w:val="left"/>
      <w:lvlText w:val="(%2)"/>
      <w:numFmt w:val="lowerLetter"/>
      <w:start w:val="1"/>
    </w:lvl>
  </w:abstractNum>
  <w:abstractNum w:abstractNumId="194">
    <w:nsid w:val="622D8102"/>
    <w:multiLevelType w:val="hybridMultilevel"/>
    <w:lvl w:ilvl="0">
      <w:lvlJc w:val="left"/>
      <w:lvlText w:val="%1"/>
      <w:numFmt w:val="decimal"/>
      <w:start w:val="1"/>
    </w:lvl>
    <w:lvl w:ilvl="1">
      <w:lvlJc w:val="left"/>
      <w:lvlText w:val="(%2)"/>
      <w:numFmt w:val="lowerLetter"/>
      <w:start w:val="2"/>
    </w:lvl>
  </w:abstractNum>
  <w:abstractNum w:abstractNumId="195">
    <w:nsid w:val="2AB26587"/>
    <w:multiLevelType w:val="hybridMultilevel"/>
    <w:lvl w:ilvl="0">
      <w:lvlJc w:val="left"/>
      <w:lvlText w:val="(%1)"/>
      <w:numFmt w:val="decimal"/>
      <w:start w:val="4"/>
    </w:lvl>
    <w:lvl w:ilvl="1">
      <w:lvlJc w:val="left"/>
      <w:lvlText w:val="%2"/>
      <w:numFmt w:val="lowerLetter"/>
      <w:start w:val="1"/>
    </w:lvl>
  </w:abstractNum>
  <w:abstractNum w:abstractNumId="196">
    <w:nsid w:val="44B3FA61"/>
    <w:multiLevelType w:val="hybridMultilevel"/>
    <w:lvl w:ilvl="0">
      <w:lvlJc w:val="left"/>
      <w:lvlText w:val="(%1)"/>
      <w:numFmt w:val="decimal"/>
      <w:start w:val="1"/>
    </w:lvl>
  </w:abstractNum>
  <w:abstractNum w:abstractNumId="197">
    <w:nsid w:val="1C0CA67C"/>
    <w:multiLevelType w:val="hybridMultilevel"/>
    <w:lvl w:ilvl="0">
      <w:lvlJc w:val="left"/>
      <w:lvlText w:val="(%1)"/>
      <w:numFmt w:val="decimal"/>
      <w:start w:val="8"/>
    </w:lvl>
  </w:abstractNum>
  <w:abstractNum w:abstractNumId="198">
    <w:nsid w:val="3D206613"/>
    <w:multiLevelType w:val="hybridMultilevel"/>
    <w:lvl w:ilvl="0">
      <w:lvlJc w:val="left"/>
      <w:lvlText w:val="(%1)"/>
      <w:numFmt w:val="decimal"/>
      <w:start w:val="1"/>
    </w:lvl>
  </w:abstractNum>
  <w:abstractNum w:abstractNumId="199">
    <w:nsid w:val="7993B662"/>
    <w:multiLevelType w:val="hybridMultilevel"/>
    <w:lvl w:ilvl="0">
      <w:lvlJc w:val="left"/>
      <w:lvlText w:val="(%1)"/>
      <w:numFmt w:val="decimal"/>
      <w:start w:val="1"/>
    </w:lvl>
  </w:abstractNum>
  <w:abstractNum w:abstractNumId="200">
    <w:nsid w:val="3BAB699E"/>
    <w:multiLevelType w:val="hybridMultilevel"/>
    <w:lvl w:ilvl="0">
      <w:lvlJc w:val="left"/>
      <w:lvlText w:val="(%1)"/>
      <w:numFmt w:val="decimal"/>
      <w:start w:val="1"/>
    </w:lvl>
  </w:abstractNum>
  <w:abstractNum w:abstractNumId="201">
    <w:nsid w:val="71315369"/>
    <w:multiLevelType w:val="hybridMultilevel"/>
    <w:lvl w:ilvl="0">
      <w:lvlJc w:val="left"/>
      <w:lvlText w:val="(%1)"/>
      <w:numFmt w:val="decimal"/>
      <w:start w:val="1"/>
    </w:lvl>
  </w:abstractNum>
  <w:abstractNum w:abstractNumId="202">
    <w:nsid w:val="7BCFBAFC"/>
    <w:multiLevelType w:val="hybridMultilevel"/>
    <w:lvl w:ilvl="0">
      <w:lvlJc w:val="left"/>
      <w:lvlText w:val="(%1)"/>
      <w:numFmt w:val="decimal"/>
      <w:start w:val="1"/>
    </w:lvl>
  </w:abstractNum>
  <w:abstractNum w:abstractNumId="203">
    <w:nsid w:val="17859F72"/>
    <w:multiLevelType w:val="hybridMultilevel"/>
    <w:lvl w:ilvl="0">
      <w:lvlJc w:val="left"/>
      <w:lvlText w:val="(%1)"/>
      <w:numFmt w:val="decimal"/>
      <w:start w:val="1"/>
    </w:lvl>
  </w:abstractNum>
  <w:abstractNum w:abstractNumId="204">
    <w:nsid w:val="3AA10581"/>
    <w:multiLevelType w:val="hybridMultilevel"/>
    <w:lvl w:ilvl="0">
      <w:lvlJc w:val="left"/>
      <w:lvlText w:val="(%1)"/>
      <w:numFmt w:val="decimal"/>
      <w:start w:val="3"/>
    </w:lvl>
  </w:abstractNum>
  <w:abstractNum w:abstractNumId="205">
    <w:nsid w:val="63DE60CD"/>
    <w:multiLevelType w:val="hybridMultilevel"/>
    <w:lvl w:ilvl="0">
      <w:lvlJc w:val="left"/>
      <w:lvlText w:val="(%1)"/>
      <w:numFmt w:val="decimal"/>
      <w:start w:val="1"/>
    </w:lvl>
  </w:abstractNum>
  <w:abstractNum w:abstractNumId="206">
    <w:nsid w:val="621AF471"/>
    <w:multiLevelType w:val="hybridMultilevel"/>
    <w:lvl w:ilvl="0">
      <w:lvlJc w:val="left"/>
      <w:lvlText w:val="•"/>
      <w:numFmt w:val="bullet"/>
      <w:start w:val="1"/>
    </w:lvl>
  </w:abstractNum>
  <w:abstractNum w:abstractNumId="207">
    <w:nsid w:val="73CFE165"/>
    <w:multiLevelType w:val="hybridMultilevel"/>
    <w:lvl w:ilvl="0">
      <w:lvlJc w:val="left"/>
      <w:lvlText w:val="•"/>
      <w:numFmt w:val="bullet"/>
      <w:start w:val="1"/>
    </w:lvl>
  </w:abstractNum>
  <w:abstractNum w:abstractNumId="208">
    <w:nsid w:val="20F88EA6"/>
    <w:multiLevelType w:val="hybridMultilevel"/>
    <w:lvl w:ilvl="0">
      <w:lvlJc w:val="left"/>
      <w:lvlText w:val="•"/>
      <w:numFmt w:val="bullet"/>
      <w:start w:val="1"/>
    </w:lvl>
  </w:abstractNum>
  <w:abstractNum w:abstractNumId="209">
    <w:nsid w:val="617C843E"/>
    <w:multiLevelType w:val="hybridMultilevel"/>
    <w:lvl w:ilvl="0">
      <w:lvlJc w:val="left"/>
      <w:lvlText w:val="•"/>
      <w:numFmt w:val="bullet"/>
      <w:start w:val="1"/>
    </w:lvl>
  </w:abstractNum>
  <w:abstractNum w:abstractNumId="210">
    <w:nsid w:val="7B541FAB"/>
    <w:multiLevelType w:val="hybridMultilevel"/>
    <w:lvl w:ilvl="0">
      <w:lvlJc w:val="left"/>
      <w:lvlText w:val="•"/>
      <w:numFmt w:val="bullet"/>
      <w:start w:val="1"/>
    </w:lvl>
  </w:abstractNum>
  <w:abstractNum w:abstractNumId="211">
    <w:nsid w:val="2A79EC49"/>
    <w:multiLevelType w:val="hybridMultilevel"/>
    <w:lvl w:ilvl="0">
      <w:lvlJc w:val="left"/>
      <w:lvlText w:val="•"/>
      <w:numFmt w:val="bullet"/>
      <w:start w:val="1"/>
    </w:lvl>
  </w:abstractNum>
  <w:abstractNum w:abstractNumId="212">
    <w:nsid w:val="338125CF"/>
    <w:multiLevelType w:val="hybridMultilevel"/>
    <w:lvl w:ilvl="0">
      <w:lvlJc w:val="left"/>
      <w:lvlText w:val="•"/>
      <w:numFmt w:val="bullet"/>
      <w:start w:val="1"/>
    </w:lvl>
  </w:abstractNum>
  <w:abstractNum w:abstractNumId="213">
    <w:nsid w:val="47C7C971"/>
    <w:multiLevelType w:val="hybridMultilevel"/>
    <w:lvl w:ilvl="0">
      <w:lvlJc w:val="left"/>
      <w:lvlText w:val="•"/>
      <w:numFmt w:val="bullet"/>
      <w:start w:val="1"/>
    </w:lvl>
  </w:abstractNum>
  <w:abstractNum w:abstractNumId="214">
    <w:nsid w:val="46F8284B"/>
    <w:multiLevelType w:val="hybridMultilevel"/>
    <w:lvl w:ilvl="0">
      <w:lvlJc w:val="left"/>
      <w:lvlText w:val="•"/>
      <w:numFmt w:val="bullet"/>
      <w:start w:val="1"/>
    </w:lvl>
  </w:abstractNum>
  <w:abstractNum w:abstractNumId="215">
    <w:nsid w:val="4FA327CE"/>
    <w:multiLevelType w:val="hybridMultilevel"/>
    <w:lvl w:ilvl="0">
      <w:lvlJc w:val="left"/>
      <w:lvlText w:val="•"/>
      <w:numFmt w:val="bullet"/>
      <w:start w:val="1"/>
    </w:lvl>
    <w:lvl w:ilvl="1">
      <w:lvlJc w:val="left"/>
      <w:lvlText w:val="(%2)"/>
      <w:numFmt w:val="decimal"/>
      <w:start w:val="1"/>
    </w:lvl>
  </w:abstractNum>
  <w:abstractNum w:abstractNumId="216">
    <w:nsid w:val="1873983A"/>
    <w:multiLevelType w:val="hybridMultilevel"/>
    <w:lvl w:ilvl="0">
      <w:lvlJc w:val="left"/>
      <w:lvlText w:val="•"/>
      <w:numFmt w:val="bullet"/>
      <w:start w:val="1"/>
    </w:lvl>
    <w:lvl w:ilvl="1">
      <w:lvlJc w:val="left"/>
      <w:lvlText w:val="(%2)"/>
      <w:numFmt w:val="decimal"/>
      <w:start w:val="4"/>
    </w:lvl>
  </w:abstractNum>
  <w:abstractNum w:abstractNumId="217">
    <w:nsid w:val="3D2DD275"/>
    <w:multiLevelType w:val="hybridMultilevel"/>
    <w:lvl w:ilvl="0">
      <w:lvlJc w:val="left"/>
      <w:lvlText w:val="•"/>
      <w:numFmt w:val="bullet"/>
      <w:start w:val="1"/>
    </w:lvl>
  </w:abstractNum>
  <w:abstractNum w:abstractNumId="218">
    <w:nsid w:val="2E17ECA7"/>
    <w:multiLevelType w:val="hybridMultilevel"/>
    <w:lvl w:ilvl="0">
      <w:lvlJc w:val="left"/>
      <w:lvlText w:val="•"/>
      <w:numFmt w:val="bullet"/>
      <w:start w:val="1"/>
    </w:lvl>
  </w:abstractNum>
  <w:abstractNum w:abstractNumId="219">
    <w:nsid w:val="53B2564F"/>
    <w:multiLevelType w:val="hybridMultilevel"/>
    <w:lvl w:ilvl="0">
      <w:lvlJc w:val="left"/>
      <w:lvlText w:val="•"/>
      <w:numFmt w:val="bullet"/>
      <w:start w:val="1"/>
    </w:lvl>
  </w:abstractNum>
  <w:abstractNum w:abstractNumId="220">
    <w:nsid w:val="75509D76"/>
    <w:multiLevelType w:val="hybridMultilevel"/>
    <w:lvl w:ilvl="0">
      <w:lvlJc w:val="left"/>
      <w:lvlText w:val="•"/>
      <w:numFmt w:val="bullet"/>
      <w:start w:val="1"/>
    </w:lvl>
    <w:lvl w:ilvl="1">
      <w:lvlJc w:val="left"/>
      <w:lvlText w:val="(%2)"/>
      <w:numFmt w:val="decimal"/>
      <w:start w:val="1"/>
    </w:lvl>
  </w:abstractNum>
  <w:abstractNum w:abstractNumId="221">
    <w:nsid w:val="1AF7F0EA"/>
    <w:multiLevelType w:val="hybridMultilevel"/>
    <w:lvl w:ilvl="0">
      <w:lvlJc w:val="left"/>
      <w:lvlText w:val="•"/>
      <w:numFmt w:val="bullet"/>
      <w:start w:val="1"/>
    </w:lvl>
  </w:abstractNum>
  <w:abstractNum w:abstractNumId="222">
    <w:nsid w:val="4DA32C7E"/>
    <w:multiLevelType w:val="hybridMultilevel"/>
    <w:lvl w:ilvl="0">
      <w:lvlJc w:val="left"/>
      <w:lvlText w:val="•"/>
      <w:numFmt w:val="bullet"/>
      <w:start w:val="1"/>
    </w:lvl>
  </w:abstractNum>
  <w:abstractNum w:abstractNumId="223">
    <w:nsid w:val="6EC68664"/>
    <w:multiLevelType w:val="hybridMultilevel"/>
    <w:lvl w:ilvl="0">
      <w:lvlJc w:val="left"/>
      <w:lvlText w:val="•"/>
      <w:numFmt w:val="bullet"/>
      <w:start w:val="1"/>
    </w:lvl>
  </w:abstractNum>
  <w:abstractNum w:abstractNumId="224">
    <w:nsid w:val="E0D31FF"/>
    <w:multiLevelType w:val="hybridMultilevel"/>
    <w:lvl w:ilvl="0">
      <w:lvlJc w:val="left"/>
      <w:lvlText w:val="•"/>
      <w:numFmt w:val="bullet"/>
      <w:start w:val="1"/>
    </w:lvl>
    <w:lvl w:ilvl="1">
      <w:lvlJc w:val="left"/>
      <w:lvlText w:val="•"/>
      <w:numFmt w:val="bullet"/>
      <w:start w:val="1"/>
    </w:lvl>
  </w:abstractNum>
  <w:abstractNum w:abstractNumId="225">
    <w:nsid w:val="2FD0AD81"/>
    <w:multiLevelType w:val="hybridMultilevel"/>
    <w:lvl w:ilvl="0">
      <w:lvlJc w:val="left"/>
      <w:lvlText w:val="•"/>
      <w:numFmt w:val="bullet"/>
      <w:start w:val="1"/>
    </w:lvl>
  </w:abstractNum>
  <w:abstractNum w:abstractNumId="226">
    <w:nsid w:val="1978EBEB"/>
    <w:multiLevelType w:val="hybridMultilevel"/>
    <w:lvl w:ilvl="0">
      <w:lvlJc w:val="left"/>
      <w:lvlText w:val="•"/>
      <w:numFmt w:val="bullet"/>
      <w:start w:val="1"/>
    </w:lvl>
  </w:abstractNum>
  <w:abstractNum w:abstractNumId="227">
    <w:nsid w:val="52C12C61"/>
    <w:multiLevelType w:val="hybridMultilevel"/>
    <w:lvl w:ilvl="0">
      <w:lvlJc w:val="left"/>
      <w:lvlText w:val="•"/>
      <w:numFmt w:val="bullet"/>
      <w:start w:val="1"/>
    </w:lvl>
  </w:abstractNum>
  <w:abstractNum w:abstractNumId="228">
    <w:nsid w:val="4BDD53FD"/>
    <w:multiLevelType w:val="hybridMultilevel"/>
    <w:lvl w:ilvl="0">
      <w:lvlJc w:val="left"/>
      <w:lvlText w:val="•"/>
      <w:numFmt w:val="bullet"/>
      <w:start w:val="1"/>
    </w:lvl>
  </w:abstractNum>
  <w:abstractNum w:abstractNumId="229">
    <w:nsid w:val="569951FE"/>
    <w:multiLevelType w:val="hybridMultilevel"/>
    <w:lvl w:ilvl="0">
      <w:lvlJc w:val="left"/>
      <w:lvlText w:val="•"/>
      <w:numFmt w:val="bullet"/>
      <w:start w:val="1"/>
    </w:lvl>
    <w:lvl w:ilvl="1">
      <w:lvlJc w:val="left"/>
      <w:lvlText w:val="•"/>
      <w:numFmt w:val="bullet"/>
      <w:start w:val="1"/>
    </w:lvl>
  </w:abstractNum>
  <w:abstractNum w:abstractNumId="230">
    <w:nsid w:val="4C54E2C3"/>
    <w:multiLevelType w:val="hybridMultilevel"/>
    <w:lvl w:ilvl="0">
      <w:lvlJc w:val="left"/>
      <w:lvlText w:val="•"/>
      <w:numFmt w:val="bullet"/>
      <w:start w:val="1"/>
    </w:lvl>
    <w:lvl w:ilvl="1">
      <w:lvlJc w:val="left"/>
      <w:lvlText w:val="•"/>
      <w:numFmt w:val="bullet"/>
      <w:start w:val="1"/>
    </w:lvl>
  </w:abstractNum>
  <w:abstractNum w:abstractNumId="231">
    <w:nsid w:val="788BD9B"/>
    <w:multiLevelType w:val="hybridMultilevel"/>
    <w:lvl w:ilvl="0">
      <w:lvlJc w:val="left"/>
      <w:lvlText w:val="•"/>
      <w:numFmt w:val="bullet"/>
      <w:start w:val="1"/>
    </w:lvl>
    <w:lvl w:ilvl="1">
      <w:lvlJc w:val="left"/>
      <w:lvlText w:val="•"/>
      <w:numFmt w:val="bullet"/>
      <w:start w:val="1"/>
    </w:lvl>
  </w:abstractNum>
  <w:abstractNum w:abstractNumId="232">
    <w:nsid w:val="47CAA567"/>
    <w:multiLevelType w:val="hybridMultilevel"/>
    <w:lvl w:ilvl="0">
      <w:lvlJc w:val="left"/>
      <w:lvlText w:val="•"/>
      <w:numFmt w:val="bullet"/>
      <w:start w:val="1"/>
    </w:lvl>
  </w:abstractNum>
  <w:abstractNum w:abstractNumId="233">
    <w:nsid w:val="48249DBF"/>
    <w:multiLevelType w:val="hybridMultilevel"/>
    <w:lvl w:ilvl="0">
      <w:lvlJc w:val="left"/>
      <w:lvlText w:val="•"/>
      <w:numFmt w:val="bullet"/>
      <w:start w:val="1"/>
    </w:lvl>
  </w:abstractNum>
  <w:abstractNum w:abstractNumId="234">
    <w:nsid w:val="1F0E5D0D"/>
    <w:multiLevelType w:val="hybridMultilevel"/>
    <w:lvl w:ilvl="0">
      <w:lvlJc w:val="left"/>
      <w:lvlText w:val="%1."/>
      <w:numFmt w:val="decimal"/>
      <w:start w:val="2"/>
    </w:lvl>
  </w:abstractNum>
  <w:abstractNum w:abstractNumId="235">
    <w:nsid w:val="26BAAE9"/>
    <w:multiLevelType w:val="hybridMultilevel"/>
    <w:lvl w:ilvl="0">
      <w:lvlJc w:val="left"/>
      <w:lvlText w:val="%1."/>
      <w:numFmt w:val="decimal"/>
      <w:start w:val="7"/>
    </w:lvl>
  </w:abstractNum>
  <w:abstractNum w:abstractNumId="236">
    <w:nsid w:val="2C02FE8C"/>
    <w:multiLevelType w:val="hybridMultilevel"/>
    <w:lvl w:ilvl="0">
      <w:lvlJc w:val="left"/>
      <w:lvlText w:val="%1."/>
      <w:numFmt w:val="decimal"/>
      <w:start w:val="8"/>
    </w:lvl>
  </w:abstractNum>
  <w:abstractNum w:abstractNumId="237">
    <w:nsid w:val="129517E"/>
    <w:multiLevelType w:val="hybridMultilevel"/>
    <w:lvl w:ilvl="0">
      <w:lvlJc w:val="left"/>
      <w:lvlText w:val="(%1)"/>
      <w:numFmt w:val="decimal"/>
      <w:start w:val="1"/>
    </w:lvl>
  </w:abstractNum>
  <w:abstractNum w:abstractNumId="238">
    <w:nsid w:val="763B8C4E"/>
    <w:multiLevelType w:val="hybridMultilevel"/>
    <w:lvl w:ilvl="0">
      <w:lvlJc w:val="left"/>
      <w:lvlText w:val="(%1)"/>
      <w:numFmt w:val="decimal"/>
      <w:start w:val="1"/>
    </w:lvl>
  </w:abstractNum>
  <w:abstractNum w:abstractNumId="239">
    <w:nsid w:val="4CFB8D32"/>
    <w:multiLevelType w:val="hybridMultilevel"/>
    <w:lvl w:ilvl="0">
      <w:lvlJc w:val="left"/>
      <w:lvlText w:val="%1."/>
      <w:numFmt w:val="decimal"/>
      <w:start w:val="1"/>
    </w:lvl>
  </w:abstractNum>
  <w:abstractNum w:abstractNumId="240">
    <w:nsid w:val="62A5D5BD"/>
    <w:multiLevelType w:val="hybridMultilevel"/>
    <w:lvl w:ilvl="0">
      <w:lvlJc w:val="left"/>
      <w:lvlText w:val="(%1)"/>
      <w:numFmt w:val="lowerLetter"/>
      <w:start w:val="2"/>
    </w:lvl>
    <w:lvl w:ilvl="1">
      <w:lvlJc w:val="left"/>
      <w:lvlText w:val="-"/>
      <w:numFmt w:val="bullet"/>
      <w:start w:val="1"/>
    </w:lvl>
  </w:abstractNum>
  <w:abstractNum w:abstractNumId="241">
    <w:nsid w:val="718FABF9"/>
    <w:multiLevelType w:val="hybridMultilevel"/>
    <w:lvl w:ilvl="0">
      <w:lvlJc w:val="left"/>
      <w:lvlText w:val="(%1)"/>
      <w:numFmt w:val="lowerLetter"/>
      <w:start w:val="8"/>
    </w:lvl>
  </w:abstractNum>
  <w:abstractNum w:abstractNumId="242">
    <w:nsid w:val="7775797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43">
    <w:nsid w:val="1626FB8C"/>
    <w:multiLevelType w:val="hybridMultilevel"/>
    <w:lvl w:ilvl="0">
      <w:lvlJc w:val="left"/>
      <w:lvlText w:val="(%1)"/>
      <w:numFmt w:val="lowerRoman"/>
      <w:start w:val="2"/>
    </w:lvl>
  </w:abstractNum>
  <w:abstractNum w:abstractNumId="244">
    <w:nsid w:val="3957756A"/>
    <w:multiLevelType w:val="hybridMultilevel"/>
    <w:lvl w:ilvl="0">
      <w:lvlJc w:val="left"/>
      <w:lvlText w:val="(%1)"/>
      <w:numFmt w:val="lowerLetter"/>
      <w:start w:val="1"/>
    </w:lvl>
  </w:abstractNum>
  <w:abstractNum w:abstractNumId="245">
    <w:nsid w:val="3E6DA1C7"/>
    <w:multiLevelType w:val="hybridMultilevel"/>
    <w:lvl w:ilvl="0">
      <w:lvlJc w:val="left"/>
      <w:lvlText w:val="%1."/>
      <w:numFmt w:val="decimal"/>
      <w:start w:val="1"/>
    </w:lvl>
  </w:abstractNum>
  <w:abstractNum w:abstractNumId="246">
    <w:nsid w:val="65CA235B"/>
    <w:multiLevelType w:val="hybridMultilevel"/>
    <w:lvl w:ilvl="0">
      <w:lvlJc w:val="left"/>
      <w:lvlText w:val="(%1)"/>
      <w:numFmt w:val="decimal"/>
      <w:start w:val="10"/>
    </w:lvl>
  </w:abstractNum>
  <w:abstractNum w:abstractNumId="247">
    <w:nsid w:val="51CB0DA4"/>
    <w:multiLevelType w:val="hybridMultilevel"/>
    <w:lvl w:ilvl="0">
      <w:lvlJc w:val="left"/>
      <w:lvlText w:val="(%1)"/>
      <w:numFmt w:val="lowerRoman"/>
      <w:start w:val="2"/>
    </w:lvl>
  </w:abstractNum>
  <w:abstractNum w:abstractNumId="248">
    <w:nsid w:val="7B9B743C"/>
    <w:multiLevelType w:val="hybridMultilevel"/>
    <w:lvl w:ilvl="0">
      <w:lvlJc w:val="left"/>
      <w:lvlText w:val="(%1)"/>
      <w:numFmt w:val="lowerLetter"/>
      <w:start w:val="1"/>
    </w:lvl>
  </w:abstractNum>
  <w:abstractNum w:abstractNumId="249">
    <w:nsid w:val="13E21002"/>
    <w:multiLevelType w:val="hybridMultilevel"/>
    <w:lvl w:ilvl="0">
      <w:lvlJc w:val="left"/>
      <w:lvlText w:val="(%1)"/>
      <w:numFmt w:val="lowerLetter"/>
      <w:start w:val="1"/>
    </w:lvl>
  </w:abstractNum>
  <w:abstractNum w:abstractNumId="250">
    <w:nsid w:val="257D63F4"/>
    <w:multiLevelType w:val="hybridMultilevel"/>
    <w:lvl w:ilvl="0">
      <w:lvlJc w:val="left"/>
      <w:lvlText w:val="(%1)"/>
      <w:numFmt w:val="lowerLetter"/>
      <w:start w:val="3"/>
    </w:lvl>
  </w:abstractNum>
  <w:abstractNum w:abstractNumId="251">
    <w:nsid w:val="70EC11B2"/>
    <w:multiLevelType w:val="hybridMultilevel"/>
    <w:lvl w:ilvl="0">
      <w:lvlJc w:val="left"/>
      <w:lvlText w:val="%1."/>
      <w:numFmt w:val="decimal"/>
      <w:start w:val="1"/>
    </w:lvl>
  </w:abstractNum>
  <w:abstractNum w:abstractNumId="252">
    <w:nsid w:val="2EDA00ED"/>
    <w:multiLevelType w:val="hybridMultilevel"/>
    <w:lvl w:ilvl="0">
      <w:lvlJc w:val="left"/>
      <w:lvlText w:val="(%1)"/>
      <w:numFmt w:val="lowerLetter"/>
      <w:start w:val="1"/>
    </w:lvl>
    <w:lvl w:ilvl="1">
      <w:lvlJc w:val="left"/>
      <w:lvlText w:val="-"/>
      <w:numFmt w:val="bullet"/>
      <w:start w:val="1"/>
    </w:lvl>
  </w:abstractNum>
  <w:abstractNum w:abstractNumId="253">
    <w:nsid w:val="73209072"/>
    <w:multiLevelType w:val="hybridMultilevel"/>
    <w:lvl w:ilvl="0">
      <w:lvlJc w:val="left"/>
      <w:lvlText w:val="(%1)"/>
      <w:numFmt w:val="lowerLetter"/>
      <w:start w:val="1"/>
    </w:lvl>
  </w:abstractNum>
  <w:abstractNum w:abstractNumId="254">
    <w:nsid w:val="5FB29816"/>
    <w:multiLevelType w:val="hybridMultilevel"/>
    <w:lvl w:ilvl="0">
      <w:lvlJc w:val="left"/>
      <w:lvlText w:val="(%1)"/>
      <w:numFmt w:val="lowerLetter"/>
      <w:start w:val="1"/>
    </w:lvl>
  </w:abstractNum>
  <w:abstractNum w:abstractNumId="255">
    <w:nsid w:val="3CE732EC"/>
    <w:multiLevelType w:val="hybridMultilevel"/>
    <w:lvl w:ilvl="0">
      <w:lvlJc w:val="left"/>
      <w:lvlText w:val="(%1)"/>
      <w:numFmt w:val="lowerLetter"/>
      <w:start w:val="1"/>
    </w:lvl>
  </w:abstractNum>
  <w:abstractNum w:abstractNumId="256">
    <w:nsid w:val="22F13DF3"/>
    <w:multiLevelType w:val="hybridMultilevel"/>
    <w:lvl w:ilvl="0">
      <w:lvlJc w:val="left"/>
      <w:lvlText w:val="(%1)"/>
      <w:numFmt w:val="lowerLetter"/>
      <w:start w:val="2"/>
    </w:lvl>
    <w:lvl w:ilvl="1">
      <w:lvlJc w:val="left"/>
      <w:lvlText w:val="(%2)"/>
      <w:numFmt w:val="lowerRoman"/>
      <w:start w:val="1"/>
    </w:lvl>
  </w:abstractNum>
  <w:abstractNum w:abstractNumId="257">
    <w:nsid w:val="792B8401"/>
    <w:multiLevelType w:val="hybridMultilevel"/>
    <w:lvl w:ilvl="0">
      <w:lvlJc w:val="left"/>
      <w:lvlText w:val="(%1)"/>
      <w:numFmt w:val="lowerLetter"/>
      <w:start w:val="1"/>
    </w:lvl>
  </w:abstractNum>
  <w:abstractNum w:abstractNumId="258">
    <w:nsid w:val="FA85F4D"/>
    <w:multiLevelType w:val="hybridMultilevel"/>
    <w:lvl w:ilvl="0">
      <w:lvlJc w:val="left"/>
      <w:lvlText w:val="(%1)"/>
      <w:numFmt w:val="lowerLetter"/>
      <w:start w:val="3"/>
    </w:lvl>
  </w:abstractNum>
  <w:abstractNum w:abstractNumId="259">
    <w:nsid w:val="6ECE91F0"/>
    <w:multiLevelType w:val="hybridMultilevel"/>
    <w:lvl w:ilvl="0">
      <w:lvlJc w:val="left"/>
      <w:lvlText w:val="(%1)"/>
      <w:numFmt w:val="lowerLetter"/>
      <w:start w:val="1"/>
    </w:lvl>
  </w:abstractNum>
  <w:abstractNum w:abstractNumId="260">
    <w:nsid w:val="4FC4D600"/>
    <w:multiLevelType w:val="hybridMultilevel"/>
    <w:lvl w:ilvl="0">
      <w:lvlJc w:val="left"/>
      <w:lvlText w:val="(%1)"/>
      <w:numFmt w:val="lowerLetter"/>
      <w:start w:val="1"/>
    </w:lvl>
  </w:abstractNum>
  <w:abstractNum w:abstractNumId="261">
    <w:nsid w:val="5BFD4210"/>
    <w:multiLevelType w:val="hybridMultilevel"/>
    <w:lvl w:ilvl="0">
      <w:lvlJc w:val="left"/>
      <w:lvlText w:val="(%1)"/>
      <w:numFmt w:val="lowerLetter"/>
      <w:start w:val="1"/>
    </w:lvl>
  </w:abstractNum>
  <w:abstractNum w:abstractNumId="262">
    <w:nsid w:val="76574F8B"/>
    <w:multiLevelType w:val="hybridMultilevel"/>
    <w:lvl w:ilvl="0">
      <w:lvlJc w:val="left"/>
      <w:lvlText w:val="(%1)"/>
      <w:numFmt w:val="lowerLetter"/>
      <w:start w:val="6"/>
    </w:lvl>
    <w:lvl w:ilvl="1">
      <w:lvlJc w:val="left"/>
      <w:lvlText w:val="(%2)"/>
      <w:numFmt w:val="lowerRoman"/>
      <w:start w:val="1"/>
    </w:lvl>
  </w:abstractNum>
  <w:abstractNum w:abstractNumId="263">
    <w:nsid w:val="178F7B67"/>
    <w:multiLevelType w:val="hybridMultilevel"/>
    <w:lvl w:ilvl="0">
      <w:lvlJc w:val="left"/>
      <w:lvlText w:val="(%1)"/>
      <w:numFmt w:val="lowerLetter"/>
      <w:start w:val="1"/>
    </w:lvl>
  </w:abstractNum>
  <w:abstractNum w:abstractNumId="264">
    <w:nsid w:val="2421DFCF"/>
    <w:multiLevelType w:val="hybridMultilevel"/>
    <w:lvl w:ilvl="0">
      <w:lvlJc w:val="left"/>
      <w:lvlText w:val="(%1)"/>
      <w:numFmt w:val="lowerLetter"/>
      <w:start w:val="1"/>
    </w:lvl>
  </w:abstractNum>
  <w:abstractNum w:abstractNumId="265">
    <w:nsid w:val="1565AC99"/>
    <w:multiLevelType w:val="hybridMultilevel"/>
    <w:lvl w:ilvl="0">
      <w:lvlJc w:val="left"/>
      <w:lvlText w:val="(%1)"/>
      <w:numFmt w:val="lowerLetter"/>
      <w:start w:val="1"/>
    </w:lvl>
  </w:abstractNum>
  <w:abstractNum w:abstractNumId="266">
    <w:nsid w:val="19FB2650"/>
    <w:multiLevelType w:val="hybridMultilevel"/>
    <w:lvl w:ilvl="0">
      <w:lvlJc w:val="left"/>
      <w:lvlText w:val="(%1)"/>
      <w:numFmt w:val="lowerLetter"/>
      <w:start w:val="1"/>
    </w:lvl>
  </w:abstractNum>
  <w:abstractNum w:abstractNumId="267">
    <w:nsid w:val="5024DE5B"/>
    <w:multiLevelType w:val="hybridMultilevel"/>
    <w:lvl w:ilvl="0">
      <w:lvlJc w:val="left"/>
      <w:lvlText w:val="(%1)"/>
      <w:numFmt w:val="lowerLetter"/>
      <w:start w:val="1"/>
    </w:lvl>
    <w:lvl w:ilvl="1">
      <w:lvlJc w:val="left"/>
      <w:lvlText w:val="(%2)"/>
      <w:numFmt w:val="lowerRoman"/>
      <w:start w:val="1"/>
    </w:lvl>
  </w:abstractNum>
  <w:abstractNum w:abstractNumId="268">
    <w:nsid w:val="168EFE17"/>
    <w:multiLevelType w:val="hybridMultilevel"/>
    <w:lvl w:ilvl="0">
      <w:lvlJc w:val="left"/>
      <w:lvlText w:val="%1"/>
      <w:numFmt w:val="lowerLetter"/>
      <w:start w:val="1"/>
    </w:lvl>
    <w:lvl w:ilvl="1">
      <w:lvlJc w:val="left"/>
      <w:lvlText w:val="(%2)"/>
      <w:numFmt w:val="lowerRoman"/>
      <w:start w:val="4"/>
    </w:lvl>
  </w:abstractNum>
  <w:abstractNum w:abstractNumId="269">
    <w:nsid w:val="1036B29F"/>
    <w:multiLevelType w:val="hybridMultilevel"/>
    <w:lvl w:ilvl="0">
      <w:lvlJc w:val="left"/>
      <w:lvlText w:val="(%1)"/>
      <w:numFmt w:val="lowerLetter"/>
      <w:start w:val="2"/>
    </w:lvl>
    <w:lvl w:ilvl="1">
      <w:lvlJc w:val="left"/>
      <w:lvlText w:val="%2"/>
      <w:numFmt w:val="lowerRoman"/>
      <w:start w:val="1"/>
    </w:lvl>
  </w:abstractNum>
  <w:abstractNum w:abstractNumId="270">
    <w:nsid w:val="1D206B8E"/>
    <w:multiLevelType w:val="hybridMultilevel"/>
    <w:lvl w:ilvl="0">
      <w:lvlJc w:val="left"/>
      <w:lvlText w:val="(%1)"/>
      <w:numFmt w:val="lowerRoman"/>
      <w:start w:val="2"/>
    </w:lvl>
  </w:abstractNum>
  <w:abstractNum w:abstractNumId="271">
    <w:nsid w:val="7934D3D4"/>
    <w:multiLevelType w:val="hybridMultilevel"/>
    <w:lvl w:ilvl="0">
      <w:lvlJc w:val="left"/>
      <w:lvlText w:val="(%1)"/>
      <w:numFmt w:val="lowerLetter"/>
      <w:start w:val="1"/>
    </w:lvl>
  </w:abstractNum>
  <w:abstractNum w:abstractNumId="272">
    <w:nsid w:val="1C65E98"/>
    <w:multiLevelType w:val="hybridMultilevel"/>
    <w:lvl w:ilvl="0">
      <w:lvlJc w:val="left"/>
      <w:lvlText w:val="(%1)"/>
      <w:numFmt w:val="lowerRoman"/>
      <w:start w:val="2"/>
    </w:lvl>
  </w:abstractNum>
  <w:abstractNum w:abstractNumId="273">
    <w:nsid w:val="1495E50A"/>
    <w:multiLevelType w:val="hybridMultilevel"/>
    <w:lvl w:ilvl="0">
      <w:lvlJc w:val="left"/>
      <w:lvlText w:val="(%1)"/>
      <w:numFmt w:val="lowerLetter"/>
      <w:start w:val="1"/>
    </w:lvl>
  </w:abstractNum>
  <w:abstractNum w:abstractNumId="274">
    <w:nsid w:val="F5BCF61"/>
    <w:multiLevelType w:val="hybridMultilevel"/>
    <w:lvl w:ilvl="0">
      <w:lvlJc w:val="left"/>
      <w:lvlText w:val="(%1)"/>
      <w:numFmt w:val="lowerLetter"/>
      <w:start w:val="1"/>
    </w:lvl>
  </w:abstractNum>
  <w:abstractNum w:abstractNumId="275">
    <w:nsid w:val="3B1DD403"/>
    <w:multiLevelType w:val="hybridMultilevel"/>
    <w:lvl w:ilvl="0">
      <w:lvlJc w:val="left"/>
      <w:lvlText w:val="(%1)"/>
      <w:numFmt w:val="lowerLetter"/>
      <w:start w:val="1"/>
    </w:lvl>
    <w:lvl w:ilvl="1">
      <w:lvlJc w:val="left"/>
      <w:lvlText w:val="(%2)"/>
      <w:numFmt w:val="lowerLetter"/>
      <w:start w:val="9"/>
    </w:lvl>
  </w:abstractNum>
  <w:abstractNum w:abstractNumId="276">
    <w:nsid w:val="530386D1"/>
    <w:multiLevelType w:val="hybridMultilevel"/>
    <w:lvl w:ilvl="0">
      <w:lvlJc w:val="left"/>
      <w:lvlText w:val="%1"/>
      <w:numFmt w:val="lowerLetter"/>
      <w:start w:val="1"/>
    </w:lvl>
    <w:lvl w:ilvl="1">
      <w:lvlJc w:val="left"/>
      <w:lvlText w:val="(%2)"/>
      <w:numFmt w:val="lowerRoman"/>
      <w:start w:val="2"/>
    </w:lvl>
  </w:abstractNum>
  <w:abstractNum w:abstractNumId="277">
    <w:nsid w:val="7525F2BC"/>
    <w:multiLevelType w:val="hybridMultilevel"/>
    <w:lvl w:ilvl="0">
      <w:lvlJc w:val="left"/>
      <w:lvlText w:val="(%1)"/>
      <w:numFmt w:val="lowerLetter"/>
      <w:start w:val="2"/>
    </w:lvl>
    <w:lvl w:ilvl="1">
      <w:lvlJc w:val="left"/>
      <w:lvlText w:val="%2"/>
      <w:numFmt w:val="lowerRoman"/>
      <w:start w:val="1"/>
    </w:lvl>
  </w:abstractNum>
  <w:abstractNum w:abstractNumId="278">
    <w:nsid w:val="CE8E1A7"/>
    <w:multiLevelType w:val="hybridMultilevel"/>
    <w:lvl w:ilvl="0">
      <w:lvlJc w:val="left"/>
      <w:lvlText w:val="(%1)"/>
      <w:numFmt w:val="decimal"/>
      <w:start w:val="13"/>
    </w:lvl>
  </w:abstractNum>
  <w:abstractNum w:abstractNumId="279">
    <w:nsid w:val="4E9EFB0D"/>
    <w:multiLevelType w:val="hybridMultilevel"/>
    <w:lvl w:ilvl="0">
      <w:lvlJc w:val="left"/>
      <w:lvlText w:val="%1."/>
      <w:numFmt w:val="decimal"/>
      <w:start w:val="1"/>
    </w:lvl>
  </w:abstractNum>
  <w:abstractNum w:abstractNumId="280">
    <w:nsid w:val="90802BE"/>
    <w:multiLevelType w:val="hybridMultilevel"/>
    <w:lvl w:ilvl="0">
      <w:lvlJc w:val="left"/>
      <w:lvlText w:val="(%1)"/>
      <w:numFmt w:val="lowerLetter"/>
      <w:start w:val="2"/>
    </w:lvl>
    <w:lvl w:ilvl="1">
      <w:lvlJc w:val="left"/>
      <w:lvlText w:val="-"/>
      <w:numFmt w:val="bullet"/>
      <w:start w:val="1"/>
    </w:lvl>
  </w:abstractNum>
  <w:abstractNum w:abstractNumId="281">
    <w:nsid w:val="3266459B"/>
    <w:multiLevelType w:val="hybridMultilevel"/>
    <w:lvl w:ilvl="0">
      <w:lvlJc w:val="left"/>
      <w:lvlText w:val="(%1)"/>
      <w:numFmt w:val="lowerLetter"/>
      <w:start w:val="4"/>
    </w:lvl>
  </w:abstractNum>
  <w:abstractNum w:abstractNumId="282">
    <w:nsid w:val="3F8B0CBF"/>
    <w:multiLevelType w:val="hybridMultilevel"/>
    <w:lvl w:ilvl="0">
      <w:lvlJc w:val="left"/>
      <w:lvlText w:val="(%1)"/>
      <w:numFmt w:val="lowerLetter"/>
      <w:start w:val="1"/>
    </w:lvl>
    <w:lvl w:ilvl="1">
      <w:lvlJc w:val="left"/>
      <w:lvlText w:val="-"/>
      <w:numFmt w:val="bullet"/>
      <w:start w:val="1"/>
    </w:lvl>
  </w:abstractNum>
  <w:abstractNum w:abstractNumId="283">
    <w:nsid w:val="37E203AB"/>
    <w:multiLevelType w:val="hybridMultilevel"/>
    <w:lvl w:ilvl="0">
      <w:lvlJc w:val="left"/>
      <w:lvlText w:val="(%1)"/>
      <w:numFmt w:val="lowerLetter"/>
      <w:start w:val="3"/>
    </w:lvl>
    <w:lvl w:ilvl="1">
      <w:lvlJc w:val="left"/>
      <w:lvlText w:val="(%2)"/>
      <w:numFmt w:val="lowerRoman"/>
      <w:start w:val="1"/>
    </w:lvl>
  </w:abstractNum>
  <w:abstractNum w:abstractNumId="284">
    <w:nsid w:val="2586D60E"/>
    <w:multiLevelType w:val="hybridMultilevel"/>
    <w:lvl w:ilvl="0">
      <w:lvlJc w:val="left"/>
      <w:lvlText w:val="(%1)"/>
      <w:numFmt w:val="lowerLetter"/>
      <w:start w:val="1"/>
    </w:lvl>
  </w:abstractNum>
  <w:abstractNum w:abstractNumId="285">
    <w:nsid w:val="1F3DA4D5"/>
    <w:multiLevelType w:val="hybridMultilevel"/>
    <w:lvl w:ilvl="0">
      <w:lvlJc w:val="left"/>
      <w:lvlText w:val="%1."/>
      <w:numFmt w:val="decimal"/>
      <w:start w:val="1"/>
    </w:lvl>
  </w:abstractNum>
  <w:abstractNum w:abstractNumId="286">
    <w:nsid w:val="74C93698"/>
    <w:multiLevelType w:val="hybridMultilevel"/>
    <w:lvl w:ilvl="0">
      <w:lvlJc w:val="left"/>
      <w:lvlText w:val="(%1)"/>
      <w:numFmt w:val="lowerLetter"/>
      <w:start w:val="2"/>
    </w:lvl>
  </w:abstractNum>
  <w:abstractNum w:abstractNumId="287">
    <w:nsid w:val="48781401"/>
    <w:multiLevelType w:val="hybridMultilevel"/>
    <w:lvl w:ilvl="0">
      <w:lvlJc w:val="left"/>
      <w:lvlText w:val="(%1)"/>
      <w:numFmt w:val="lowerLetter"/>
      <w:start w:val="1"/>
    </w:lvl>
    <w:lvl w:ilvl="1">
      <w:lvlJc w:val="left"/>
      <w:lvlText w:val="(%2)"/>
      <w:numFmt w:val="lowerRoman"/>
      <w:start w:val="1"/>
    </w:lvl>
  </w:abstractNum>
  <w:abstractNum w:abstractNumId="288">
    <w:nsid w:val="186928D6"/>
    <w:multiLevelType w:val="hybridMultilevel"/>
    <w:lvl w:ilvl="0">
      <w:lvlJc w:val="left"/>
      <w:lvlText w:val="(%1)"/>
      <w:numFmt w:val="lowerLetter"/>
      <w:start w:val="1"/>
    </w:lvl>
  </w:abstractNum>
  <w:abstractNum w:abstractNumId="289">
    <w:nsid w:val="47195E5"/>
    <w:multiLevelType w:val="hybridMultilevel"/>
    <w:lvl w:ilvl="0">
      <w:lvlJc w:val="left"/>
      <w:lvlText w:val="(%1)"/>
      <w:numFmt w:val="lowerLetter"/>
      <w:start w:val="2"/>
    </w:lvl>
    <w:lvl w:ilvl="1">
      <w:lvlJc w:val="left"/>
      <w:lvlText w:val="-"/>
      <w:numFmt w:val="bullet"/>
      <w:start w:val="1"/>
    </w:lvl>
  </w:abstractNum>
  <w:abstractNum w:abstractNumId="290">
    <w:nsid w:val="3746A5F2"/>
    <w:multiLevelType w:val="hybridMultilevel"/>
    <w:lvl w:ilvl="0">
      <w:lvlJc w:val="left"/>
      <w:lvlText w:val="(%1)"/>
      <w:numFmt w:val="lowerLetter"/>
      <w:start w:val="5"/>
    </w:lvl>
  </w:abstractNum>
  <w:abstractNum w:abstractNumId="291">
    <w:nsid w:val="682DFED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92">
    <w:nsid w:val="606ED7F6"/>
    <w:multiLevelType w:val="hybridMultilevel"/>
    <w:lvl w:ilvl="0">
      <w:lvlJc w:val="left"/>
      <w:lvlText w:val="(%1)"/>
      <w:numFmt w:val="lowerRoman"/>
      <w:start w:val="2"/>
    </w:lvl>
  </w:abstractNum>
  <w:abstractNum w:abstractNumId="293">
    <w:nsid w:val="2D9DF57D"/>
    <w:multiLevelType w:val="hybridMultilevel"/>
    <w:lvl w:ilvl="0">
      <w:lvlJc w:val="left"/>
      <w:lvlText w:val="(%1)"/>
      <w:numFmt w:val="lowerLetter"/>
      <w:start w:val="1"/>
    </w:lvl>
  </w:abstractNum>
  <w:abstractNum w:abstractNumId="294">
    <w:nsid w:val="7FBD7A3E"/>
    <w:multiLevelType w:val="hybridMultilevel"/>
    <w:lvl w:ilvl="0">
      <w:lvlJc w:val="left"/>
      <w:lvlText w:val="%1."/>
      <w:numFmt w:val="decimal"/>
      <w:start w:val="1"/>
    </w:lvl>
  </w:abstractNum>
  <w:abstractNum w:abstractNumId="295">
    <w:nsid w:val="490B7C5"/>
    <w:multiLevelType w:val="hybridMultilevel"/>
    <w:lvl w:ilvl="0">
      <w:lvlJc w:val="left"/>
      <w:lvlText w:val="(%1)"/>
      <w:numFmt w:val="lowerLetter"/>
      <w:start w:val="2"/>
    </w:lvl>
  </w:abstractNum>
  <w:abstractNum w:abstractNumId="296">
    <w:nsid w:val="4303A216"/>
    <w:multiLevelType w:val="hybridMultilevel"/>
    <w:lvl w:ilvl="0">
      <w:lvlJc w:val="left"/>
      <w:lvlText w:val="(%1)"/>
      <w:numFmt w:val="lowerLetter"/>
      <w:start w:val="1"/>
    </w:lvl>
    <w:lvl w:ilvl="1">
      <w:lvlJc w:val="left"/>
      <w:lvlText w:val="(%2)"/>
      <w:numFmt w:val="lowerRoman"/>
      <w:start w:val="1"/>
    </w:lvl>
  </w:abstractNum>
  <w:abstractNum w:abstractNumId="297">
    <w:nsid w:val="19B8A08E"/>
    <w:multiLevelType w:val="hybridMultilevel"/>
    <w:lvl w:ilvl="0">
      <w:lvlJc w:val="left"/>
      <w:lvlText w:val="(%1)"/>
      <w:numFmt w:val="lowerLetter"/>
      <w:start w:val="1"/>
    </w:lvl>
  </w:abstractNum>
  <w:abstractNum w:abstractNumId="298">
    <w:nsid w:val="54B59621"/>
    <w:multiLevelType w:val="hybridMultilevel"/>
    <w:lvl w:ilvl="0">
      <w:lvlJc w:val="left"/>
      <w:lvlText w:val="%1."/>
      <w:numFmt w:val="decimal"/>
      <w:start w:val="1"/>
    </w:lvl>
  </w:abstractNum>
  <w:abstractNum w:abstractNumId="299">
    <w:nsid w:val="5992A02E"/>
    <w:multiLevelType w:val="hybridMultilevel"/>
    <w:lvl w:ilvl="0">
      <w:lvlJc w:val="left"/>
      <w:lvlText w:val="(%1)"/>
      <w:numFmt w:val="lowerLetter"/>
      <w:start w:val="2"/>
    </w:lvl>
    <w:lvl w:ilvl="1">
      <w:lvlJc w:val="left"/>
      <w:lvlText w:val="-"/>
      <w:numFmt w:val="bullet"/>
      <w:start w:val="1"/>
    </w:lvl>
  </w:abstractNum>
  <w:abstractNum w:abstractNumId="300">
    <w:nsid w:val="29EF532D"/>
    <w:multiLevelType w:val="hybridMultilevel"/>
    <w:lvl w:ilvl="0">
      <w:lvlJc w:val="left"/>
      <w:lvlText w:val="(%1)"/>
      <w:numFmt w:val="lowerLetter"/>
      <w:start w:val="5"/>
    </w:lvl>
  </w:abstractNum>
  <w:abstractNum w:abstractNumId="301">
    <w:nsid w:val="71D601A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02">
    <w:nsid w:val="52C77402"/>
    <w:multiLevelType w:val="hybridMultilevel"/>
    <w:lvl w:ilvl="0">
      <w:lvlJc w:val="left"/>
      <w:lvlText w:val="(%1)"/>
      <w:numFmt w:val="lowerRoman"/>
      <w:start w:val="2"/>
    </w:lvl>
  </w:abstractNum>
  <w:abstractNum w:abstractNumId="303">
    <w:nsid w:val="2BB5B1C6"/>
    <w:multiLevelType w:val="hybridMultilevel"/>
    <w:lvl w:ilvl="0">
      <w:lvlJc w:val="left"/>
      <w:lvlText w:val="(%1)"/>
      <w:numFmt w:val="lowerLetter"/>
      <w:start w:val="1"/>
    </w:lvl>
  </w:abstractNum>
  <w:abstractNum w:abstractNumId="304">
    <w:nsid w:val="66BE6B9"/>
    <w:multiLevelType w:val="hybridMultilevel"/>
    <w:lvl w:ilvl="0">
      <w:lvlJc w:val="left"/>
      <w:lvlText w:val="%1."/>
      <w:numFmt w:val="decimal"/>
      <w:start w:val="1"/>
    </w:lvl>
    <w:lvl w:ilvl="1">
      <w:lvlJc w:val="left"/>
      <w:lvlText w:val="(%2)"/>
      <w:numFmt w:val="lowerLetter"/>
      <w:start w:val="1"/>
    </w:lvl>
  </w:abstractNum>
  <w:abstractNum w:abstractNumId="305">
    <w:nsid w:val="62234363"/>
    <w:multiLevelType w:val="hybridMultilevel"/>
    <w:lvl w:ilvl="0">
      <w:lvlJc w:val="left"/>
      <w:lvlText w:val="(%1)"/>
      <w:numFmt w:val="lowerLetter"/>
      <w:start w:val="2"/>
    </w:lvl>
    <w:lvl w:ilvl="1">
      <w:lvlJc w:val="left"/>
      <w:lvlText w:val="(%2)"/>
      <w:numFmt w:val="decimal"/>
      <w:start w:val="14"/>
    </w:lvl>
    <w:lvl w:ilvl="2">
      <w:lvlJc w:val="left"/>
      <w:lvlText w:val="(%3)"/>
      <w:numFmt w:val="lowerRoman"/>
      <w:start w:val="1"/>
    </w:lvl>
  </w:abstractNum>
  <w:abstractNum w:abstractNumId="306">
    <w:nsid w:val="66D385C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5"/>
    </w:lvl>
  </w:abstractNum>
  <w:abstractNum w:abstractNumId="307">
    <w:nsid w:val="596F6D8A"/>
    <w:multiLevelType w:val="hybridMultilevel"/>
    <w:lvl w:ilvl="0">
      <w:lvlJc w:val="left"/>
      <w:lvlText w:val="(%1)"/>
      <w:numFmt w:val="lowerLetter"/>
      <w:start w:val="4"/>
    </w:lvl>
    <w:lvl w:ilvl="1">
      <w:lvlJc w:val="left"/>
      <w:lvlText w:val="(%2)"/>
      <w:numFmt w:val="lowerRoman"/>
      <w:start w:val="1"/>
    </w:lvl>
  </w:abstractNum>
  <w:abstractNum w:abstractNumId="308">
    <w:nsid w:val="5749361F"/>
    <w:multiLevelType w:val="hybridMultilevel"/>
    <w:lvl w:ilvl="0">
      <w:lvlJc w:val="left"/>
      <w:lvlText w:val="(%1)"/>
      <w:numFmt w:val="lowerLetter"/>
      <w:start w:val="5"/>
    </w:lvl>
    <w:lvl w:ilvl="1">
      <w:lvlJc w:val="left"/>
      <w:lvlText w:val="(%2)"/>
      <w:numFmt w:val="lowerRoman"/>
      <w:start w:val="1"/>
    </w:lvl>
  </w:abstractNum>
  <w:abstractNum w:abstractNumId="309">
    <w:nsid w:val="73BC6770"/>
    <w:multiLevelType w:val="hybridMultilevel"/>
    <w:lvl w:ilvl="0">
      <w:lvlJc w:val="left"/>
      <w:lvlText w:val="(%1)"/>
      <w:numFmt w:val="lowerRoman"/>
      <w:start w:val="3"/>
    </w:lvl>
  </w:abstractNum>
  <w:abstractNum w:abstractNumId="310">
    <w:nsid w:val="280E6897"/>
    <w:multiLevelType w:val="hybridMultilevel"/>
    <w:lvl w:ilvl="0">
      <w:lvlJc w:val="left"/>
      <w:lvlText w:val="%1"/>
      <w:numFmt w:val="decimal"/>
      <w:start w:val="1"/>
    </w:lvl>
    <w:lvl w:ilvl="1">
      <w:lvlJc w:val="left"/>
      <w:lvlText w:val="(%2)"/>
      <w:numFmt w:val="lowerLetter"/>
      <w:start w:val="8"/>
    </w:lvl>
  </w:abstractNum>
  <w:abstractNum w:abstractNumId="311">
    <w:nsid w:val="605138DE"/>
    <w:multiLevelType w:val="hybridMultilevel"/>
    <w:lvl w:ilvl="0">
      <w:lvlJc w:val="left"/>
      <w:lvlText w:val="(%1)"/>
      <w:numFmt w:val="decimal"/>
      <w:start w:val="12"/>
    </w:lvl>
    <w:lvl w:ilvl="1">
      <w:lvlJc w:val="left"/>
      <w:lvlText w:val="%2"/>
      <w:numFmt w:val="lowerLetter"/>
      <w:start w:val="1"/>
    </w:lvl>
  </w:abstractNum>
  <w:abstractNum w:abstractNumId="312">
    <w:nsid w:val="2622AD0C"/>
    <w:multiLevelType w:val="hybridMultilevel"/>
    <w:lvl w:ilvl="0">
      <w:lvlJc w:val="left"/>
      <w:lvlText w:val="%1."/>
      <w:numFmt w:val="decimal"/>
      <w:start w:val="2"/>
    </w:lvl>
  </w:abstractNum>
  <w:abstractNum w:abstractNumId="313">
    <w:nsid w:val="67997556"/>
    <w:multiLevelType w:val="hybridMultilevel"/>
    <w:lvl w:ilvl="0">
      <w:lvlJc w:val="left"/>
      <w:lvlText w:val="%1."/>
      <w:numFmt w:val="decimal"/>
      <w:start w:val="3"/>
    </w:lvl>
    <w:lvl w:ilvl="1">
      <w:lvlJc w:val="left"/>
      <w:lvlText w:val="(%2)"/>
      <w:numFmt w:val="lowerLetter"/>
      <w:start w:val="1"/>
    </w:lvl>
  </w:abstractNum>
  <w:abstractNum w:abstractNumId="314">
    <w:nsid w:val="18333C89"/>
    <w:multiLevelType w:val="hybridMultilevel"/>
    <w:lvl w:ilvl="0">
      <w:lvlJc w:val="left"/>
      <w:lvlText w:val="(%1)"/>
      <w:numFmt w:val="lowerLetter"/>
      <w:start w:val="5"/>
    </w:lvl>
  </w:abstractNum>
  <w:abstractNum w:abstractNumId="315">
    <w:nsid w:val="4BA9831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16">
    <w:nsid w:val="6D71A2B"/>
    <w:multiLevelType w:val="hybridMultilevel"/>
    <w:lvl w:ilvl="0">
      <w:lvlJc w:val="left"/>
      <w:lvlText w:val="(%1)"/>
      <w:numFmt w:val="lowerLetter"/>
      <w:start w:val="3"/>
    </w:lvl>
  </w:abstractNum>
  <w:abstractNum w:abstractNumId="317">
    <w:nsid w:val="CFC7321"/>
    <w:multiLevelType w:val="hybridMultilevel"/>
    <w:lvl w:ilvl="0">
      <w:lvlJc w:val="left"/>
      <w:lvlText w:val="%1"/>
      <w:numFmt w:val="decimal"/>
      <w:start w:val="1"/>
    </w:lvl>
    <w:lvl w:ilvl="1">
      <w:lvlJc w:val="left"/>
      <w:lvlText w:val="(%2)"/>
      <w:numFmt w:val="lowerLetter"/>
      <w:start w:val="4"/>
    </w:lvl>
  </w:abstractNum>
  <w:abstractNum w:abstractNumId="318">
    <w:nsid w:val="1421971B"/>
    <w:multiLevelType w:val="hybridMultilevel"/>
    <w:lvl w:ilvl="0">
      <w:lvlJc w:val="left"/>
      <w:lvlText w:val="%1."/>
      <w:numFmt w:val="decimal"/>
      <w:start w:val="8"/>
    </w:lvl>
    <w:lvl w:ilvl="1">
      <w:lvlJc w:val="left"/>
      <w:lvlText w:val="(%2)"/>
      <w:numFmt w:val="lowerLetter"/>
      <w:start w:val="1"/>
    </w:lvl>
  </w:abstractNum>
  <w:abstractNum w:abstractNumId="319">
    <w:nsid w:val="1F404301"/>
    <w:multiLevelType w:val="hybridMultilevel"/>
    <w:lvl w:ilvl="0">
      <w:lvlJc w:val="left"/>
      <w:lvlText w:val="%1"/>
      <w:numFmt w:val="decimal"/>
      <w:start w:val="1"/>
    </w:lvl>
    <w:lvl w:ilvl="1">
      <w:lvlJc w:val="left"/>
      <w:lvlText w:val="(%2)"/>
      <w:numFmt w:val="lowerLetter"/>
      <w:start w:val="2"/>
    </w:lvl>
  </w:abstractNum>
  <w:abstractNum w:abstractNumId="320">
    <w:nsid w:val="116E0907"/>
    <w:multiLevelType w:val="hybridMultilevel"/>
    <w:lvl w:ilvl="0">
      <w:lvlJc w:val="left"/>
      <w:lvlText w:val="%1."/>
      <w:numFmt w:val="decimal"/>
      <w:start w:val="9"/>
    </w:lvl>
    <w:lvl w:ilvl="1">
      <w:lvlJc w:val="left"/>
      <w:lvlText w:val="%2"/>
      <w:numFmt w:val="lowerLetter"/>
      <w:start w:val="1"/>
    </w:lvl>
  </w:abstractNum>
  <w:abstractNum w:abstractNumId="321">
    <w:nsid w:val="4B683D0D"/>
    <w:multiLevelType w:val="hybridMultilevel"/>
    <w:lvl w:ilvl="0">
      <w:lvlJc w:val="left"/>
      <w:lvlText w:val="%1."/>
      <w:numFmt w:val="decimal"/>
      <w:start w:val="10"/>
    </w:lvl>
    <w:lvl w:ilvl="1">
      <w:lvlJc w:val="left"/>
      <w:lvlText w:val="(%2)"/>
      <w:numFmt w:val="lowerLetter"/>
      <w:start w:val="1"/>
    </w:lvl>
  </w:abstractNum>
  <w:abstractNum w:abstractNumId="322">
    <w:nsid w:val="76E41D8"/>
    <w:multiLevelType w:val="hybridMultilevel"/>
    <w:lvl w:ilvl="0">
      <w:lvlJc w:val="left"/>
      <w:lvlText w:val="%1."/>
      <w:numFmt w:val="decimal"/>
      <w:start w:val="15"/>
    </w:lvl>
  </w:abstractNum>
  <w:abstractNum w:abstractNumId="323">
    <w:nsid w:val="71DCE0FD"/>
    <w:multiLevelType w:val="hybridMultilevel"/>
    <w:lvl w:ilvl="0">
      <w:lvlJc w:val="left"/>
      <w:lvlText w:val="%1."/>
      <w:numFmt w:val="decimal"/>
      <w:start w:val="17"/>
    </w:lvl>
  </w:abstractNum>
  <w:abstractNum w:abstractNumId="324">
    <w:nsid w:val="7906328B"/>
    <w:multiLevelType w:val="hybridMultilevel"/>
    <w:lvl w:ilvl="0">
      <w:lvlJc w:val="left"/>
      <w:lvlText w:val="%1."/>
      <w:numFmt w:val="decimal"/>
      <w:start w:val="20"/>
    </w:lvl>
  </w:abstractNum>
  <w:abstractNum w:abstractNumId="325">
    <w:nsid w:val="72BBC16"/>
    <w:multiLevelType w:val="hybridMultilevel"/>
    <w:lvl w:ilvl="0">
      <w:lvlJc w:val="left"/>
      <w:lvlText w:val="%1."/>
      <w:numFmt w:val="decimal"/>
      <w:start w:val="1"/>
    </w:lvl>
  </w:abstractNum>
  <w:abstractNum w:abstractNumId="326">
    <w:nsid w:val="766D98C2"/>
    <w:multiLevelType w:val="hybridMultilevel"/>
    <w:lvl w:ilvl="0">
      <w:lvlJc w:val="left"/>
      <w:lvlText w:val="%1."/>
      <w:numFmt w:val="decimal"/>
      <w:start w:val="1"/>
    </w:lvl>
    <w:lvl w:ilvl="1">
      <w:lvlJc w:val="left"/>
      <w:lvlText w:val="(%2)"/>
      <w:numFmt w:val="lowerLetter"/>
      <w:start w:val="1"/>
    </w:lvl>
  </w:abstractNum>
  <w:abstractNum w:abstractNumId="327">
    <w:nsid w:val="3C09D4A1"/>
    <w:multiLevelType w:val="hybridMultilevel"/>
    <w:lvl w:ilvl="0">
      <w:lvlJc w:val="left"/>
      <w:lvlText w:val="(%1)"/>
      <w:numFmt w:val="lowerLetter"/>
      <w:start w:val="2"/>
    </w:lvl>
    <w:lvl w:ilvl="1">
      <w:lvlJc w:val="left"/>
      <w:lvlText w:val="(%2)"/>
      <w:numFmt w:val="lowerRoman"/>
      <w:start w:val="1"/>
    </w:lvl>
  </w:abstractNum>
  <w:abstractNum w:abstractNumId="328">
    <w:nsid w:val="20E45CA4"/>
    <w:multiLevelType w:val="hybridMultilevel"/>
    <w:lvl w:ilvl="0">
      <w:lvlJc w:val="left"/>
      <w:lvlText w:val="(%1)"/>
      <w:numFmt w:val="lowerLetter"/>
      <w:start w:val="3"/>
    </w:lvl>
    <w:lvl w:ilvl="1">
      <w:lvlJc w:val="left"/>
      <w:lvlText w:val="(%2)"/>
      <w:numFmt w:val="lowerRoman"/>
      <w:start w:val="1"/>
    </w:lvl>
  </w:abstractNum>
  <w:abstractNum w:abstractNumId="329">
    <w:nsid w:val="4B232EE3"/>
    <w:multiLevelType w:val="hybridMultilevel"/>
    <w:lvl w:ilvl="0">
      <w:lvlJc w:val="left"/>
      <w:lvlText w:val="(%1)"/>
      <w:numFmt w:val="lowerRoman"/>
      <w:start w:val="3"/>
    </w:lvl>
  </w:abstractNum>
  <w:abstractNum w:abstractNumId="330">
    <w:nsid w:val="159C74CF"/>
    <w:multiLevelType w:val="hybridMultilevel"/>
    <w:lvl w:ilvl="0">
      <w:lvlJc w:val="left"/>
      <w:lvlText w:val="(%1)"/>
      <w:numFmt w:val="lowerLetter"/>
      <w:start w:val="4"/>
    </w:lvl>
  </w:abstractNum>
  <w:abstractNum w:abstractNumId="331">
    <w:nsid w:val="4AD3AFD2"/>
    <w:multiLevelType w:val="hybridMultilevel"/>
    <w:lvl w:ilvl="0">
      <w:lvlJc w:val="left"/>
      <w:lvlText w:val="(%1)"/>
      <w:numFmt w:val="lowerLetter"/>
      <w:start w:val="7"/>
    </w:lvl>
    <w:lvl w:ilvl="1">
      <w:lvlJc w:val="left"/>
      <w:lvlText w:val="(%2)"/>
      <w:numFmt w:val="lowerRoman"/>
      <w:start w:val="1"/>
    </w:lvl>
  </w:abstractNum>
  <w:abstractNum w:abstractNumId="332">
    <w:nsid w:val="3CF93092"/>
    <w:multiLevelType w:val="hybridMultilevel"/>
    <w:lvl w:ilvl="0">
      <w:lvlJc w:val="left"/>
      <w:lvlText w:val="(%1)"/>
      <w:numFmt w:val="lowerRoman"/>
      <w:start w:val="3"/>
    </w:lvl>
  </w:abstractNum>
  <w:abstractNum w:abstractNumId="333">
    <w:nsid w:val="6863E8D2"/>
    <w:multiLevelType w:val="hybridMultilevel"/>
    <w:lvl w:ilvl="0">
      <w:lvlJc w:val="left"/>
      <w:lvlText w:val="%1"/>
      <w:numFmt w:val="decimal"/>
      <w:start w:val="1"/>
    </w:lvl>
    <w:lvl w:ilvl="1">
      <w:lvlJc w:val="left"/>
      <w:lvlText w:val="(%2)"/>
      <w:numFmt w:val="lowerLetter"/>
      <w:start w:val="8"/>
    </w:lvl>
  </w:abstractNum>
  <w:abstractNum w:abstractNumId="334">
    <w:nsid w:val="76896198"/>
    <w:multiLevelType w:val="hybridMultilevel"/>
    <w:lvl w:ilvl="0">
      <w:lvlJc w:val="left"/>
      <w:lvlText w:val="%1."/>
      <w:numFmt w:val="decimal"/>
      <w:start w:val="2"/>
    </w:lvl>
    <w:lvl w:ilvl="1">
      <w:lvlJc w:val="left"/>
      <w:lvlText w:val="%2"/>
      <w:numFmt w:val="lowerLetter"/>
      <w:start w:val="1"/>
    </w:lvl>
  </w:abstractNum>
  <w:abstractNum w:abstractNumId="335">
    <w:nsid w:val="4365174B"/>
    <w:multiLevelType w:val="hybridMultilevel"/>
    <w:lvl w:ilvl="0">
      <w:lvlJc w:val="left"/>
      <w:lvlText w:val="%1."/>
      <w:numFmt w:val="decimal"/>
      <w:start w:val="4"/>
    </w:lvl>
    <w:lvl w:ilvl="1">
      <w:lvlJc w:val="left"/>
      <w:lvlText w:val="(%2)"/>
      <w:numFmt w:val="lowerLetter"/>
      <w:start w:val="1"/>
    </w:lvl>
  </w:abstractNum>
  <w:abstractNum w:abstractNumId="336">
    <w:nsid w:val="4A872C35"/>
    <w:multiLevelType w:val="hybridMultilevel"/>
    <w:lvl w:ilvl="0">
      <w:lvlJc w:val="left"/>
      <w:lvlText w:val="%1"/>
      <w:numFmt w:val="decimal"/>
      <w:start w:val="1"/>
    </w:lvl>
    <w:lvl w:ilvl="1">
      <w:lvlJc w:val="left"/>
      <w:lvlText w:val="(%2)"/>
      <w:numFmt w:val="lowerLetter"/>
      <w:start w:val="4"/>
    </w:lvl>
  </w:abstractNum>
  <w:abstractNum w:abstractNumId="337">
    <w:nsid w:val="5D5CE761"/>
    <w:multiLevelType w:val="hybridMultilevel"/>
    <w:lvl w:ilvl="0">
      <w:lvlJc w:val="left"/>
      <w:lvlText w:val="(%1)"/>
      <w:numFmt w:val="decimal"/>
      <w:start w:val="10"/>
    </w:lvl>
    <w:lvl w:ilvl="1">
      <w:lvlJc w:val="left"/>
      <w:lvlText w:val="(%2)"/>
      <w:numFmt w:val="lowerLetter"/>
      <w:start w:val="6"/>
    </w:lvl>
  </w:abstractNum>
  <w:abstractNum w:abstractNumId="338">
    <w:nsid w:val="1CD484D5"/>
    <w:multiLevelType w:val="hybridMultilevel"/>
    <w:lvl w:ilvl="0">
      <w:lvlJc w:val="left"/>
      <w:lvlText w:val="%1."/>
      <w:numFmt w:val="decimal"/>
      <w:start w:val="8"/>
    </w:lvl>
    <w:lvl w:ilvl="1">
      <w:lvlJc w:val="left"/>
      <w:lvlText w:val="(%2)"/>
      <w:numFmt w:val="lowerLetter"/>
      <w:start w:val="1"/>
    </w:lvl>
  </w:abstractNum>
  <w:abstractNum w:abstractNumId="339">
    <w:nsid w:val="21D0625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40">
    <w:nsid w:val="51194ED1"/>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341">
    <w:nsid w:val="44E2ED6C"/>
    <w:multiLevelType w:val="hybridMultilevel"/>
    <w:lvl w:ilvl="0">
      <w:lvlJc w:val="left"/>
      <w:lvlText w:val="%1"/>
      <w:numFmt w:val="decimal"/>
      <w:start w:val="1"/>
    </w:lvl>
    <w:lvl w:ilvl="1">
      <w:lvlJc w:val="left"/>
      <w:lvlText w:val="(%2)"/>
      <w:numFmt w:val="lowerLetter"/>
      <w:start w:val="3"/>
    </w:lvl>
  </w:abstractNum>
  <w:abstractNum w:abstractNumId="342">
    <w:nsid w:val="2219B33"/>
    <w:multiLevelType w:val="hybridMultilevel"/>
    <w:lvl w:ilvl="0">
      <w:lvlJc w:val="left"/>
      <w:lvlText w:val="%1."/>
      <w:numFmt w:val="decimal"/>
      <w:start w:val="10"/>
    </w:lvl>
    <w:lvl w:ilvl="1">
      <w:lvlJc w:val="left"/>
      <w:lvlText w:val="(%2)"/>
      <w:numFmt w:val="lowerLetter"/>
      <w:start w:val="1"/>
    </w:lvl>
  </w:abstractNum>
  <w:abstractNum w:abstractNumId="343">
    <w:nsid w:val="773BFBDD"/>
    <w:multiLevelType w:val="hybridMultilevel"/>
    <w:lvl w:ilvl="0">
      <w:lvlJc w:val="left"/>
      <w:lvlText w:val="%1"/>
      <w:numFmt w:val="decimal"/>
      <w:start w:val="1"/>
    </w:lvl>
    <w:lvl w:ilvl="1">
      <w:lvlJc w:val="left"/>
      <w:lvlText w:val="(%2)"/>
      <w:numFmt w:val="lowerLetter"/>
      <w:start w:val="2"/>
    </w:lvl>
  </w:abstractNum>
  <w:abstractNum w:abstractNumId="344">
    <w:nsid w:val="2C7C62C2"/>
    <w:multiLevelType w:val="hybridMultilevel"/>
    <w:lvl w:ilvl="0">
      <w:lvlJc w:val="left"/>
      <w:lvlText w:val="%1."/>
      <w:numFmt w:val="decimal"/>
      <w:start w:val="12"/>
    </w:lvl>
    <w:lvl w:ilvl="1">
      <w:lvlJc w:val="left"/>
      <w:lvlText w:val="%2"/>
      <w:numFmt w:val="lowerLetter"/>
      <w:start w:val="1"/>
    </w:lvl>
  </w:abstractNum>
  <w:abstractNum w:abstractNumId="345">
    <w:nsid w:val="1A54D7BC"/>
    <w:multiLevelType w:val="hybridMultilevel"/>
    <w:lvl w:ilvl="0">
      <w:lvlJc w:val="left"/>
      <w:lvlText w:val="%1."/>
      <w:numFmt w:val="decimal"/>
      <w:start w:val="18"/>
    </w:lvl>
  </w:abstractNum>
  <w:abstractNum w:abstractNumId="346">
    <w:nsid w:val="42E57EF7"/>
    <w:multiLevelType w:val="hybridMultilevel"/>
    <w:lvl w:ilvl="0">
      <w:lvlJc w:val="left"/>
      <w:lvlText w:val="(%1)"/>
      <w:numFmt w:val="lowerLetter"/>
      <w:start w:val="1"/>
    </w:lvl>
  </w:abstractNum>
  <w:abstractNum w:abstractNumId="347">
    <w:nsid w:val="33537CED"/>
    <w:multiLevelType w:val="hybridMultilevel"/>
    <w:lvl w:ilvl="0">
      <w:lvlJc w:val="left"/>
      <w:lvlText w:val="(%1)"/>
      <w:numFmt w:val="lowerLetter"/>
      <w:start w:val="3"/>
    </w:lvl>
  </w:abstractNum>
  <w:abstractNum w:abstractNumId="348">
    <w:nsid w:val="27514ADE"/>
    <w:multiLevelType w:val="hybridMultilevel"/>
    <w:lvl w:ilvl="0">
      <w:lvlJc w:val="left"/>
      <w:lvlText w:val="%1."/>
      <w:numFmt w:val="decimal"/>
      <w:start w:val="1"/>
    </w:lvl>
    <w:lvl w:ilvl="1">
      <w:lvlJc w:val="left"/>
      <w:lvlText w:val="(%2)"/>
      <w:numFmt w:val="lowerLetter"/>
      <w:start w:val="1"/>
    </w:lvl>
  </w:abstractNum>
  <w:abstractNum w:abstractNumId="349">
    <w:nsid w:val="57071613"/>
    <w:multiLevelType w:val="hybridMultilevel"/>
    <w:lvl w:ilvl="0">
      <w:lvlJc w:val="left"/>
      <w:lvlText w:val="%1"/>
      <w:numFmt w:val="decimal"/>
      <w:start w:val="1"/>
    </w:lvl>
    <w:lvl w:ilvl="1">
      <w:lvlJc w:val="left"/>
      <w:lvlText w:val="(%2)"/>
      <w:numFmt w:val="lowerLetter"/>
      <w:start w:val="2"/>
    </w:lvl>
  </w:abstractNum>
  <w:abstractNum w:abstractNumId="350">
    <w:nsid w:val="5293BFEF"/>
    <w:multiLevelType w:val="hybridMultilevel"/>
    <w:lvl w:ilvl="0">
      <w:lvlJc w:val="left"/>
      <w:lvlText w:val="%1."/>
      <w:numFmt w:val="decimal"/>
      <w:start w:val="2"/>
    </w:lvl>
    <w:lvl w:ilvl="1">
      <w:lvlJc w:val="left"/>
      <w:lvlText w:val="%2"/>
      <w:numFmt w:val="lowerLetter"/>
      <w:start w:val="1"/>
    </w:lvl>
  </w:abstractNum>
  <w:abstractNum w:abstractNumId="351">
    <w:nsid w:val="38BF53E5"/>
    <w:multiLevelType w:val="hybridMultilevel"/>
    <w:lvl w:ilvl="0">
      <w:lvlJc w:val="left"/>
      <w:lvlText w:val="%1."/>
      <w:numFmt w:val="decimal"/>
      <w:start w:val="1"/>
    </w:lvl>
    <w:lvl w:ilvl="1">
      <w:lvlJc w:val="left"/>
      <w:lvlText w:val="(%2)"/>
      <w:numFmt w:val="lowerLetter"/>
      <w:start w:val="1"/>
    </w:lvl>
  </w:abstractNum>
  <w:abstractNum w:abstractNumId="352">
    <w:nsid w:val="226F5320"/>
    <w:multiLevelType w:val="hybridMultilevel"/>
    <w:lvl w:ilvl="0">
      <w:lvlJc w:val="left"/>
      <w:lvlText w:val="(%1)"/>
      <w:numFmt w:val="lowerLetter"/>
      <w:start w:val="2"/>
    </w:lvl>
    <w:lvl w:ilvl="1">
      <w:lvlJc w:val="left"/>
      <w:lvlText w:val="(%2)"/>
      <w:numFmt w:val="decimal"/>
      <w:start w:val="14"/>
    </w:lvl>
    <w:lvl w:ilvl="2">
      <w:lvlJc w:val="left"/>
      <w:lvlText w:val="(%3)"/>
      <w:numFmt w:val="lowerRoman"/>
      <w:start w:val="1"/>
    </w:lvl>
  </w:abstractNum>
  <w:abstractNum w:abstractNumId="353">
    <w:nsid w:val="5A0201C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5"/>
    </w:lvl>
  </w:abstractNum>
  <w:abstractNum w:abstractNumId="354">
    <w:nsid w:val="2A9C34E2"/>
    <w:multiLevelType w:val="hybridMultilevel"/>
    <w:lvl w:ilvl="0">
      <w:lvlJc w:val="left"/>
      <w:lvlText w:val="(%1)"/>
      <w:numFmt w:val="lowerLetter"/>
      <w:start w:val="4"/>
    </w:lvl>
    <w:lvl w:ilvl="1">
      <w:lvlJc w:val="left"/>
      <w:lvlText w:val="(%2)"/>
      <w:numFmt w:val="lowerRoman"/>
      <w:start w:val="1"/>
    </w:lvl>
  </w:abstractNum>
  <w:abstractNum w:abstractNumId="355">
    <w:nsid w:val="1B7585AB"/>
    <w:multiLevelType w:val="hybridMultilevel"/>
    <w:lvl w:ilvl="0">
      <w:lvlJc w:val="left"/>
      <w:lvlText w:val="(%1)"/>
      <w:numFmt w:val="lowerLetter"/>
      <w:start w:val="5"/>
    </w:lvl>
    <w:lvl w:ilvl="1">
      <w:lvlJc w:val="left"/>
      <w:lvlText w:val="(%2)"/>
      <w:numFmt w:val="lowerRoman"/>
      <w:start w:val="1"/>
    </w:lvl>
  </w:abstractNum>
  <w:abstractNum w:abstractNumId="356">
    <w:nsid w:val="612DBDDD"/>
    <w:multiLevelType w:val="hybridMultilevel"/>
    <w:lvl w:ilvl="0">
      <w:lvlJc w:val="left"/>
      <w:lvlText w:val="(%1)"/>
      <w:numFmt w:val="lowerRoman"/>
      <w:start w:val="3"/>
    </w:lvl>
  </w:abstractNum>
  <w:abstractNum w:abstractNumId="357">
    <w:nsid w:val="2109CDA4"/>
    <w:multiLevelType w:val="hybridMultilevel"/>
    <w:lvl w:ilvl="0">
      <w:lvlJc w:val="left"/>
      <w:lvlText w:val="%1"/>
      <w:numFmt w:val="decimal"/>
      <w:start w:val="1"/>
    </w:lvl>
    <w:lvl w:ilvl="1">
      <w:lvlJc w:val="left"/>
      <w:lvlText w:val="(%2)"/>
      <w:numFmt w:val="lowerLetter"/>
      <w:start w:val="8"/>
    </w:lvl>
  </w:abstractNum>
  <w:abstractNum w:abstractNumId="358">
    <w:nsid w:val="577F5A4D"/>
    <w:multiLevelType w:val="hybridMultilevel"/>
    <w:lvl w:ilvl="0">
      <w:lvlJc w:val="left"/>
      <w:lvlText w:val="%1."/>
      <w:numFmt w:val="decimal"/>
      <w:start w:val="2"/>
    </w:lvl>
    <w:lvl w:ilvl="1">
      <w:lvlJc w:val="left"/>
      <w:lvlText w:val="%2"/>
      <w:numFmt w:val="lowerLetter"/>
      <w:start w:val="1"/>
    </w:lvl>
  </w:abstractNum>
  <w:abstractNum w:abstractNumId="359">
    <w:nsid w:val="2121A81"/>
    <w:multiLevelType w:val="hybridMultilevel"/>
    <w:lvl w:ilvl="0">
      <w:lvlJc w:val="left"/>
      <w:lvlText w:val="%1."/>
      <w:numFmt w:val="decimal"/>
      <w:start w:val="3"/>
    </w:lvl>
    <w:lvl w:ilvl="1">
      <w:lvlJc w:val="left"/>
      <w:lvlText w:val="(%2)"/>
      <w:numFmt w:val="lowerLetter"/>
      <w:start w:val="1"/>
    </w:lvl>
  </w:abstractNum>
  <w:abstractNum w:abstractNumId="360">
    <w:nsid w:val="6C2CFC88"/>
    <w:multiLevelType w:val="hybridMultilevel"/>
    <w:lvl w:ilvl="0">
      <w:lvlJc w:val="left"/>
      <w:lvlText w:val="%1"/>
      <w:numFmt w:val="decimal"/>
      <w:start w:val="1"/>
    </w:lvl>
    <w:lvl w:ilvl="1">
      <w:lvlJc w:val="left"/>
      <w:lvlText w:val="(%2)"/>
      <w:numFmt w:val="lowerLetter"/>
      <w:start w:val="2"/>
    </w:lvl>
  </w:abstractNum>
  <w:abstractNum w:abstractNumId="361">
    <w:nsid w:val="6D1BCF1C"/>
    <w:multiLevelType w:val="hybridMultilevel"/>
    <w:lvl w:ilvl="0">
      <w:lvlJc w:val="left"/>
      <w:lvlText w:val="(%1)"/>
      <w:numFmt w:val="decimal"/>
      <w:start w:val="10"/>
    </w:lvl>
    <w:lvl w:ilvl="1">
      <w:lvlJc w:val="left"/>
      <w:lvlText w:val="(%2)"/>
      <w:numFmt w:val="lowerLetter"/>
      <w:start w:val="6"/>
    </w:lvl>
  </w:abstractNum>
  <w:abstractNum w:abstractNumId="362">
    <w:nsid w:val="4CE5CA53"/>
    <w:multiLevelType w:val="hybridMultilevel"/>
    <w:lvl w:ilvl="0">
      <w:lvlJc w:val="left"/>
      <w:lvlText w:val="%1."/>
      <w:numFmt w:val="decimal"/>
      <w:start w:val="8"/>
    </w:lvl>
    <w:lvl w:ilvl="1">
      <w:lvlJc w:val="left"/>
      <w:lvlText w:val="(%2)"/>
      <w:numFmt w:val="lowerLetter"/>
      <w:start w:val="1"/>
    </w:lvl>
  </w:abstractNum>
  <w:abstractNum w:abstractNumId="363">
    <w:nsid w:val="29262D1A"/>
    <w:multiLevelType w:val="hybridMultilevel"/>
    <w:lvl w:ilvl="0">
      <w:lvlJc w:val="left"/>
      <w:lvlText w:val="%1"/>
      <w:numFmt w:val="decimal"/>
      <w:start w:val="1"/>
    </w:lvl>
    <w:lvl w:ilvl="1">
      <w:lvlJc w:val="left"/>
      <w:lvlText w:val="(%2)"/>
      <w:numFmt w:val="lowerLetter"/>
      <w:start w:val="4"/>
    </w:lvl>
  </w:abstractNum>
  <w:abstractNum w:abstractNumId="364">
    <w:nsid w:val="557FB7EE"/>
    <w:multiLevelType w:val="hybridMultilevel"/>
    <w:lvl w:ilvl="0">
      <w:lvlJc w:val="left"/>
      <w:lvlText w:val="%1."/>
      <w:numFmt w:val="decimal"/>
      <w:start w:val="9"/>
    </w:lvl>
    <w:lvl w:ilvl="1">
      <w:lvlJc w:val="left"/>
      <w:lvlText w:val="(%2)"/>
      <w:numFmt w:val="lowerLetter"/>
      <w:start w:val="1"/>
    </w:lvl>
  </w:abstractNum>
  <w:abstractNum w:abstractNumId="365">
    <w:nsid w:val="436F2BE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66">
    <w:nsid w:val="6C8B4466"/>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367">
    <w:nsid w:val="2006E424"/>
    <w:multiLevelType w:val="hybridMultilevel"/>
    <w:lvl w:ilvl="0">
      <w:lvlJc w:val="left"/>
      <w:lvlText w:val="%1"/>
      <w:numFmt w:val="decimal"/>
      <w:start w:val="1"/>
    </w:lvl>
    <w:lvl w:ilvl="1">
      <w:lvlJc w:val="left"/>
      <w:lvlText w:val="(%2)"/>
      <w:numFmt w:val="lowerLetter"/>
      <w:start w:val="2"/>
    </w:lvl>
  </w:abstractNum>
  <w:abstractNum w:abstractNumId="368">
    <w:nsid w:val="20CC134C"/>
    <w:multiLevelType w:val="hybridMultilevel"/>
    <w:lvl w:ilvl="0">
      <w:lvlJc w:val="left"/>
      <w:lvlText w:val="%1."/>
      <w:numFmt w:val="decimal"/>
      <w:start w:val="12"/>
    </w:lvl>
    <w:lvl w:ilvl="1">
      <w:lvlJc w:val="left"/>
      <w:lvlText w:val="%2"/>
      <w:numFmt w:val="lowerLetter"/>
      <w:start w:val="1"/>
    </w:lvl>
  </w:abstractNum>
  <w:abstractNum w:abstractNumId="369">
    <w:nsid w:val="95FC93B"/>
    <w:multiLevelType w:val="hybridMultilevel"/>
    <w:lvl w:ilvl="0">
      <w:lvlJc w:val="left"/>
      <w:lvlText w:val="%1."/>
      <w:numFmt w:val="decimal"/>
      <w:start w:val="18"/>
    </w:lvl>
  </w:abstractNum>
  <w:abstractNum w:abstractNumId="370">
    <w:nsid w:val="41D74679"/>
    <w:multiLevelType w:val="hybridMultilevel"/>
    <w:lvl w:ilvl="0">
      <w:lvlJc w:val="left"/>
      <w:lvlText w:val="(%1)"/>
      <w:numFmt w:val="lowerLetter"/>
      <w:start w:val="1"/>
    </w:lvl>
  </w:abstractNum>
  <w:abstractNum w:abstractNumId="371">
    <w:nsid w:val="71E5621E"/>
    <w:multiLevelType w:val="hybridMultilevel"/>
    <w:lvl w:ilvl="0">
      <w:lvlJc w:val="left"/>
      <w:lvlText w:val="(%1)"/>
      <w:numFmt w:val="lowerLetter"/>
      <w:start w:val="3"/>
    </w:lvl>
  </w:abstractNum>
  <w:abstractNum w:abstractNumId="372">
    <w:nsid w:val="4E42B6A8"/>
    <w:multiLevelType w:val="hybridMultilevel"/>
    <w:lvl w:ilvl="0">
      <w:lvlJc w:val="left"/>
      <w:lvlText w:val="%1."/>
      <w:numFmt w:val="decimal"/>
      <w:start w:val="2"/>
    </w:lvl>
  </w:abstractNum>
  <w:abstractNum w:abstractNumId="373">
    <w:nsid w:val="43F8E1AC"/>
    <w:multiLevelType w:val="hybridMultilevel"/>
    <w:lvl w:ilvl="0">
      <w:lvlJc w:val="left"/>
      <w:lvlText w:val="%1)"/>
      <w:numFmt w:val="lowerLetter"/>
      <w:start w:val="1"/>
    </w:lvl>
  </w:abstractNum>
  <w:abstractNum w:abstractNumId="374">
    <w:nsid w:val="69215DFB"/>
    <w:multiLevelType w:val="hybridMultilevel"/>
    <w:lvl w:ilvl="0">
      <w:lvlJc w:val="left"/>
      <w:lvlText w:val="*"/>
      <w:numFmt w:val="bullet"/>
      <w:start w:val="1"/>
    </w:lvl>
    <w:lvl w:ilvl="1">
      <w:lvlJc w:val="left"/>
      <w:lvlText w:val="%2."/>
      <w:numFmt w:val="decimal"/>
      <w:start w:val="1"/>
    </w:lvl>
  </w:abstractNum>
  <w:abstractNum w:abstractNumId="375">
    <w:nsid w:val="7ABF196A"/>
    <w:multiLevelType w:val="hybridMultilevel"/>
    <w:lvl w:ilvl="0">
      <w:lvlJc w:val="left"/>
      <w:lvlText w:val="%1"/>
      <w:numFmt w:val="decimal"/>
      <w:start w:val="60"/>
    </w:lvl>
  </w:abstractNum>
  <w:abstractNum w:abstractNumId="376">
    <w:nsid w:val="5E4DB968"/>
    <w:multiLevelType w:val="hybridMultilevel"/>
    <w:lvl w:ilvl="0">
      <w:lvlJc w:val="left"/>
      <w:lvlText w:val="*"/>
      <w:numFmt w:val="bullet"/>
      <w:start w:val="1"/>
    </w:lvl>
  </w:abstractNum>
  <w:abstractNum w:abstractNumId="377">
    <w:nsid w:val="2C06DCF3"/>
    <w:multiLevelType w:val="hybridMultilevel"/>
    <w:lvl w:ilvl="0">
      <w:lvlJc w:val="left"/>
      <w:lvlText w:val="**"/>
      <w:numFmt w:val="bullet"/>
      <w:start w:val="1"/>
    </w:lvl>
  </w:abstractNum>
  <w:abstractNum w:abstractNumId="378">
    <w:nsid w:val="2E129658"/>
    <w:multiLevelType w:val="hybridMultilevel"/>
    <w:lvl w:ilvl="0">
      <w:lvlJc w:val="left"/>
      <w:lvlText w:val="☐"/>
      <w:numFmt w:val="bullet"/>
      <w:start w:val="1"/>
    </w:lvl>
  </w:abstractNum>
  <w:abstractNum w:abstractNumId="379">
    <w:nsid w:val="59F0446"/>
    <w:multiLevelType w:val="hybridMultilevel"/>
    <w:lvl w:ilvl="0">
      <w:lvlJc w:val="left"/>
      <w:lvlText w:val="☐"/>
      <w:numFmt w:val="bullet"/>
      <w:start w:val="1"/>
    </w:lvl>
  </w:abstractNum>
  <w:abstractNum w:abstractNumId="380">
    <w:nsid w:val="30DF306"/>
    <w:multiLevelType w:val="hybridMultilevel"/>
    <w:lvl w:ilvl="0">
      <w:lvlJc w:val="left"/>
      <w:lvlText w:val="☐"/>
      <w:numFmt w:val="bullet"/>
      <w:start w:val="1"/>
    </w:lvl>
  </w:abstractNum>
  <w:abstractNum w:abstractNumId="381">
    <w:nsid w:val="A65647"/>
    <w:multiLevelType w:val="hybridMultilevel"/>
    <w:lvl w:ilvl="0">
      <w:lvlJc w:val="left"/>
      <w:lvlText w:val="☐"/>
      <w:numFmt w:val="bullet"/>
      <w:start w:val="1"/>
    </w:lvl>
  </w:abstractNum>
  <w:abstractNum w:abstractNumId="382">
    <w:nsid w:val="3E5E582B"/>
    <w:multiLevelType w:val="hybridMultilevel"/>
    <w:lvl w:ilvl="0">
      <w:lvlJc w:val="left"/>
      <w:lvlText w:val="%1."/>
      <w:numFmt w:val="decimal"/>
      <w:start w:val="1"/>
    </w:lvl>
    <w:lvl w:ilvl="1">
      <w:lvlJc w:val="left"/>
      <w:lvlText w:val="%2."/>
      <w:numFmt w:val="lowerLetter"/>
      <w:start w:val="2"/>
    </w:lvl>
  </w:abstractNum>
  <w:abstractNum w:abstractNumId="383">
    <w:nsid w:val="257D4626"/>
    <w:multiLevelType w:val="hybridMultilevel"/>
    <w:lvl w:ilvl="0">
      <w:lvlJc w:val="left"/>
      <w:lvlText w:val="*"/>
      <w:numFmt w:val="bullet"/>
      <w:start w:val="1"/>
    </w:lvl>
  </w:abstractNum>
  <w:abstractNum w:abstractNumId="384">
    <w:nsid w:val="5AA8580E"/>
    <w:multiLevelType w:val="hybridMultilevel"/>
    <w:lvl w:ilvl="0">
      <w:lvlJc w:val="left"/>
      <w:lvlText w:val="(%1)"/>
      <w:numFmt w:val="decimal"/>
      <w:start w:val="1"/>
    </w:lvl>
  </w:abstractNum>
  <w:abstractNum w:abstractNumId="385">
    <w:nsid w:val="68FA8D0D"/>
    <w:multiLevelType w:val="hybridMultilevel"/>
    <w:lvl w:ilvl="0">
      <w:lvlJc w:val="left"/>
      <w:lvlText w:val="•"/>
      <w:numFmt w:val="bullet"/>
      <w:start w:val="1"/>
    </w:lvl>
  </w:abstractNum>
  <w:abstractNum w:abstractNumId="386">
    <w:nsid w:val="40F2CBD2"/>
    <w:multiLevelType w:val="hybridMultilevel"/>
    <w:lvl w:ilvl="0">
      <w:lvlJc w:val="left"/>
      <w:lvlText w:val="(%1)"/>
      <w:numFmt w:val="decimal"/>
      <w:start w:val="1"/>
    </w:lvl>
  </w:abstractNum>
  <w:abstractNum w:abstractNumId="387">
    <w:nsid w:val="3BD615EB"/>
    <w:multiLevelType w:val="hybridMultilevel"/>
    <w:lvl w:ilvl="0">
      <w:lvlJc w:val="left"/>
      <w:lvlText w:val="%1."/>
      <w:numFmt w:val="decimal"/>
      <w:start w:val="1"/>
    </w:lvl>
  </w:abstractNum>
  <w:abstractNum w:abstractNumId="388">
    <w:nsid w:val="A045AB2"/>
    <w:multiLevelType w:val="hybridMultilevel"/>
    <w:lvl w:ilvl="0">
      <w:lvlJc w:val="left"/>
      <w:lvlText w:val="*"/>
      <w:numFmt w:val="bullet"/>
      <w:start w:val="1"/>
    </w:lvl>
    <w:lvl w:ilvl="1">
      <w:lvlJc w:val="left"/>
      <w:lvlText w:val="☐"/>
      <w:numFmt w:val="bullet"/>
      <w:start w:val="1"/>
    </w:lvl>
  </w:abstractNum>
  <w:abstractNum w:abstractNumId="389">
    <w:nsid w:val="1872261F"/>
    <w:multiLevelType w:val="hybridMultilevel"/>
    <w:lvl w:ilvl="0">
      <w:lvlJc w:val="left"/>
      <w:lvlText w:val="%1."/>
      <w:numFmt w:val="decimal"/>
      <w:start w:val="2"/>
    </w:lvl>
  </w:abstractNum>
  <w:abstractNum w:abstractNumId="390">
    <w:nsid w:val="3DE830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2019-12-15T07:57:52Z</dcterms:created>
  <dcterms:modified xsi:type="dcterms:W3CDTF">2019-12-15T07:57:52Z</dcterms:modified>
</cp:coreProperties>
</file>