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S-8</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REGISTRATION STATEMENT</w:t>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UNDER</w:t>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THE SECURITIES ACT OF 1933</w:t>
      </w:r>
    </w:p>
    <w:p>
      <w:pPr>
        <w:pStyle w:val="TextBody"/>
        <w:bidi w:val="0"/>
        <w:spacing w:lineRule="auto" w:line="288" w:before="0" w:after="0"/>
        <w:jc w:val="center"/>
        <w:rPr>
          <w:color w:val="000000"/>
        </w:rPr>
      </w:pP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WYNN RESORTS, LIMITED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color w:val="000000"/>
        </w:rPr>
      </w:pPr>
      <w:r>
        <w:rPr>
          <w:color w:val="000000"/>
        </w:rPr>
        <w:t> </w:t>
      </w:r>
    </w:p>
    <w:tbl>
      <w:tblPr>
        <w:tblW w:w="4001" w:type="dxa"/>
        <w:jc w:val="left"/>
        <w:tblInd w:w="0" w:type="dxa"/>
        <w:tblLayout w:type="fixed"/>
        <w:tblCellMar>
          <w:top w:w="28" w:type="dxa"/>
          <w:left w:w="28" w:type="dxa"/>
          <w:bottom w:w="28" w:type="dxa"/>
          <w:right w:w="28" w:type="dxa"/>
        </w:tblCellMar>
      </w:tblPr>
      <w:tblGrid>
        <w:gridCol w:w="807"/>
        <w:gridCol w:w="711"/>
        <w:gridCol w:w="717"/>
        <w:gridCol w:w="109"/>
        <w:gridCol w:w="109"/>
        <w:gridCol w:w="109"/>
        <w:gridCol w:w="420"/>
        <w:gridCol w:w="420"/>
        <w:gridCol w:w="599"/>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46-0484987</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No.)</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3131 Las Vegas Boulevard South</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Las Vegas, Nevada 89109</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Wynn Resorts, Limited Third Amended and Restated 2014 Omnibus Incentive Plan</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(Full title of the plan)</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Jacqui Krum</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Executive Vice President, General Counsel and Secretary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Wynn Resorts, Limited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3131 Las Vegas Boulevard South</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Las Vegas, Nevada 89109</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(Name and address of agent for service)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(702) 770-7555</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(Telephone number, including area code, of agent for service)</w:t>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i/>
          <w:color w:val="000000"/>
          <w:sz w:val="20"/>
        </w:rPr>
        <w:t>Copies to</w:t>
      </w:r>
      <w:r>
        <w:rPr>
          <w:rFonts w:ascii="Times New Roman;serif" w:hAnsi="Times New Roman;serif"/>
          <w:b w:val="false"/>
          <w:color w:val="000000"/>
          <w:sz w:val="2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Robert M. Hayward, P.C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Katie J. Holahan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Kirkland &amp; Ellis LLP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333 West Wolf Point Plaza</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Chicago, IL 60654</w:t>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566" w:type="dxa"/>
        <w:jc w:val="left"/>
        <w:tblInd w:w="0" w:type="dxa"/>
        <w:tblLayout w:type="fixed"/>
        <w:tblCellMar>
          <w:top w:w="28" w:type="dxa"/>
          <w:left w:w="28" w:type="dxa"/>
          <w:bottom w:w="28" w:type="dxa"/>
          <w:right w:w="28" w:type="dxa"/>
        </w:tblCellMar>
      </w:tblPr>
      <w:tblGrid>
        <w:gridCol w:w="696"/>
        <w:gridCol w:w="612"/>
        <w:gridCol w:w="613"/>
        <w:gridCol w:w="109"/>
        <w:gridCol w:w="109"/>
        <w:gridCol w:w="109"/>
        <w:gridCol w:w="109"/>
        <w:gridCol w:w="109"/>
        <w:gridCol w:w="109"/>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p>
      <w:pPr>
        <w:pStyle w:val="TextBody"/>
        <w:bidi w:val="0"/>
        <w:spacing w:before="0" w:after="0"/>
        <w:jc w:val="left"/>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registration statement on Form S-8 (this "Registration Statement") is being filed to register an additional 3,600,000 shares of common stock, $0.01 par value per share (the "Common Stock"), of Wynn Resorts, Limited (the “Registrant”) reserved for issuance under the Wynn Resorts, Limited Third Amended and Restated 2014 Omnibus Incentive Plan (the "Plan"), but not previously registered, including 600,000 shares that may again become available for delivery with respect to awards under the Plan pursuant to certain share recycling and other terms and conditions of the Plan. The additional 3,000,000 shares of Common Stock issuable under the Plan were approved by our stockholders at our 2026 annual meeting held on May 6, 2026. </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The Registrant previously filed the following registration statements with the Securities and Exchange Commission (the “Commission”) relating to shares of Common Stock issuable under the Plan: Registration Statement on Form S-8 (File No. 333-196113) filed on May 20, 2014, Registration Statement on Form S-8 (File No. 333-239579) filed on June 30, 2020, Registration Statement on Form S-8 (File No. 333-281485) filed on August 12, 2024, and Registration Statement on Form S-8 (File No. 333-294741) filed on March 30, 2026 (collectively, the “Prior Registration Statements”). The Prior Registration Statements are currently effective. This Registration Statement relates to securities of the same class as those to which the Prior Registration Statements relate and is submitted in accordance with </w:t>
      </w:r>
    </w:p>
    <w:p>
      <w:pPr>
        <w:pStyle w:val="TextBody"/>
        <w:bidi w:val="0"/>
        <w:spacing w:before="0" w:after="0"/>
        <w:jc w:val="center"/>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General Instruction E of Form S-8 regarding registration of additional securities. Pursuant to General Instruction E of Form S-8, the contents of the Prior Registration Statements, including all attachments and exhibits thereto and the periodic and current reports that we filed with the Commission under the Securities Exchange Act of 1934, as amended, after the effectiveness of the Prior Registration Statements, are incorporated herein by reference except to the extent supplemented, amended or superseded by the information set forth herein. Any items in the Prior Registration Statements not expressly changed hereby shall be as set forth in the Prior Registration Statements.</w: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INFORMATION REQUIRED IN THE REGISTRATION STATEMENT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filed as part of this Registration Statement: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694"/>
        <w:gridCol w:w="2694"/>
        <w:gridCol w:w="3844"/>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4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Third Amended and Restated Articles of Incorporation of the Registrant. (Incorporated by reference from the Quarterly Report on Form 10-Q, filed by the Registrant on May 8, 2015.)</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Ninth Amended and Restated Bylaws of the Registrant. (Incorporated by reference from the Annual Report on Form 10-K</w:t>
              </w:r>
            </w:hyperlink>
            <w:r>
              <w:rPr>
                <w:rFonts w:ascii="Times New Roman;serif" w:hAnsi="Times New Roman;serif"/>
                <w:b w:val="false"/>
                <w:color w:val="000000"/>
                <w:sz w:val="20"/>
              </w:rPr>
              <w:t xml:space="preserve">, </w:t>
            </w:r>
            <w:hyperlink r:id="rId4">
              <w:r>
                <w:rPr>
                  <w:rStyle w:val="InternetLink"/>
                  <w:rFonts w:ascii="Times New Roman;serif" w:hAnsi="Times New Roman;serif"/>
                  <w:b w:val="false"/>
                  <w:color w:val="0000FF"/>
                  <w:sz w:val="20"/>
                  <w:u w:val="single"/>
                </w:rPr>
                <w:t>filed by the Registrant on February 28, 2020.)</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51opinionofbrownsteinhya.htm">
              <w:r>
                <w:rPr>
                  <w:rStyle w:val="InternetLink"/>
                  <w:rFonts w:ascii="Times New Roman;serif" w:hAnsi="Times New Roman;serif"/>
                  <w:b w:val="false"/>
                  <w:color w:val="0000FF"/>
                  <w:sz w:val="20"/>
                  <w:u w:val="single"/>
                </w:rPr>
                <w:t>Opinion of Brownstein Hyatt Farber Schreck, LLP</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1-thirdamendedandrestaa.htm">
              <w:r>
                <w:rPr>
                  <w:rStyle w:val="InternetLink"/>
                  <w:rFonts w:ascii="Times New Roman;serif" w:hAnsi="Times New Roman;serif"/>
                  <w:b w:val="false"/>
                  <w:color w:val="0000FF"/>
                  <w:sz w:val="20"/>
                  <w:u w:val="single"/>
                </w:rPr>
                <w:t>Third Amended and Restated 2014 Omnibus Incentive Plan</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31-consentofindependent.htm">
              <w:r>
                <w:rPr>
                  <w:rStyle w:val="InternetLink"/>
                  <w:rFonts w:ascii="Times New Roman;serif" w:hAnsi="Times New Roman;serif"/>
                  <w:b w:val="false"/>
                  <w:color w:val="0000FF"/>
                  <w:sz w:val="20"/>
                  <w:u w:val="single"/>
                </w:rPr>
                <w:t>Consent of Independent Registered Public Accounting Firm</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51opinionofbrownsteinhya.htm">
              <w:r>
                <w:rPr>
                  <w:rStyle w:val="InternetLink"/>
                  <w:rFonts w:ascii="Times New Roman;serif" w:hAnsi="Times New Roman;serif"/>
                  <w:b w:val="false"/>
                  <w:color w:val="0000FF"/>
                  <w:sz w:val="20"/>
                  <w:u w:val="single"/>
                </w:rPr>
                <w:t>Consent of Brownstein Hyatt Farber Schreck, LLP (included in Exhibit 5.1)</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ab60d21ff54bd49c9e6996294f99a4_4">
              <w:r>
                <w:rPr>
                  <w:rStyle w:val="InternetLink"/>
                  <w:rFonts w:ascii="Times New Roman;serif" w:hAnsi="Times New Roman;serif"/>
                  <w:b w:val="false"/>
                  <w:color w:val="0000FF"/>
                  <w:sz w:val="20"/>
                  <w:u w:val="single"/>
                </w:rPr>
                <w:t>Power of Attorney of officers and directors of the Registrant (included on signature page of this registration statement)</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7filingfees.htm">
              <w:r>
                <w:rPr>
                  <w:rStyle w:val="InternetLink"/>
                  <w:rFonts w:ascii="Times New Roman;serif" w:hAnsi="Times New Roman;serif"/>
                  <w:b w:val="false"/>
                  <w:color w:val="0000FF"/>
                  <w:sz w:val="20"/>
                  <w:u w:val="single"/>
                </w:rPr>
                <w:t>Calculation of Filing Fee Table</w:t>
              </w:r>
            </w:hyperlink>
          </w:p>
        </w:tc>
      </w:tr>
    </w:tbl>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9. Undertakings.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undersigned Registrant hereby undertakes: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(1)To file, during any period in which offers or sales are being made, a post-effective amendment to this Registration Statement:</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(i)to include any prospectus required by Section 10(a)(3) of the Securities Act;</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(iii)to include any material information with respect to the plan of distribution not previously disclosed in this Registration Statement or any material change to such information in this Registration Statement;</w:t>
      </w:r>
    </w:p>
    <w:p>
      <w:pPr>
        <w:pStyle w:val="TextBody"/>
        <w:bidi w:val="0"/>
        <w:spacing w:lineRule="auto" w:line="288" w:before="120" w:after="283"/>
        <w:jc w:val="left"/>
        <w:rPr/>
      </w:pP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paragraphs (a)(1)(i) and (a)(1)(ii)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this Registration Statement.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 xml:space="preserve">(2)That,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offering thereof.</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(3)To remove from registration by means of a post-effective amendment any of the securities being registered which remain unsold at the termination of the offering.</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 xml:space="preserve">(b)The undersigned Registrant hereby undertakes that, for the purposes of determining any liability under the Securities Act, each filing of the Registrant’s annual report pursuant to Section 13(a) or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offering thereof.</w:t>
      </w:r>
    </w:p>
    <w:p>
      <w:pPr>
        <w:pStyle w:val="TextBody"/>
        <w:bidi w:val="0"/>
        <w:spacing w:before="0" w:after="0"/>
        <w:jc w:val="left"/>
        <w:rPr/>
      </w:pPr>
      <w:r>
        <w:rPr/>
      </w:r>
    </w:p>
    <w:p>
      <w:pPr>
        <w:pStyle w:val="TextBody"/>
        <w:bidi w:val="0"/>
        <w:spacing w:lineRule="auto" w:line="288"/>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w:t>
      </w:r>
    </w:p>
    <w:p>
      <w:pPr>
        <w:pStyle w:val="TextBody"/>
        <w:bidi w:val="0"/>
        <w:spacing w:before="0" w:after="0"/>
        <w:jc w:val="center"/>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appropriate jurisdiction the question whether such indemnification by it is against public policy as expressed in the Securities Act and will be governed by the final adjudication of such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Las Vegas, State of Nevada, on this 11th day of May, 2026.</w:t>
      </w:r>
    </w:p>
    <w:p>
      <w:pPr>
        <w:pStyle w:val="TextBody"/>
        <w:bidi w:val="0"/>
        <w:spacing w:lineRule="auto" w:line="288" w:before="0" w:after="0"/>
        <w:jc w:val="right"/>
        <w:rPr>
          <w:color w:val="000000"/>
        </w:rPr>
      </w:pPr>
      <w:r>
        <w:rPr>
          <w:color w:val="000000"/>
        </w:rPr>
        <w:t> </w:t>
      </w:r>
    </w:p>
    <w:tbl>
      <w:tblPr>
        <w:tblW w:w="5839" w:type="dxa"/>
        <w:jc w:val="right"/>
        <w:tblInd w:w="0" w:type="dxa"/>
        <w:tblLayout w:type="fixed"/>
        <w:tblCellMar>
          <w:top w:w="28" w:type="dxa"/>
          <w:left w:w="28" w:type="dxa"/>
          <w:bottom w:w="28" w:type="dxa"/>
          <w:right w:w="28" w:type="dxa"/>
        </w:tblCellMar>
      </w:tblPr>
      <w:tblGrid>
        <w:gridCol w:w="667"/>
        <w:gridCol w:w="586"/>
        <w:gridCol w:w="592"/>
        <w:gridCol w:w="109"/>
        <w:gridCol w:w="109"/>
        <w:gridCol w:w="109"/>
        <w:gridCol w:w="228"/>
        <w:gridCol w:w="228"/>
        <w:gridCol w:w="230"/>
        <w:gridCol w:w="109"/>
        <w:gridCol w:w="109"/>
        <w:gridCol w:w="109"/>
        <w:gridCol w:w="777"/>
        <w:gridCol w:w="777"/>
        <w:gridCol w:w="1100"/>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WYNN RESORTS, LIMITED</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May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J. Fullalove</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J. Fullalove</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283"/>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Each person whose signature appears below constitutes and appoints Craig S. Billings, Craig J. Fullalove and Jacqui Krum and each of them, his or her true and lawful attorneys-in-fact and agents, each with full power of substitution and resubstitution, severally,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or her substitute or substitutes, may lawfully do or cause to be done by virtue hereof.</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has been signed below by the following persons in the capacities and on the date indicated.</w:t>
      </w:r>
    </w:p>
    <w:p>
      <w:pPr>
        <w:pStyle w:val="TextBody"/>
        <w:bidi w:val="0"/>
        <w:spacing w:lineRule="auto" w:line="288" w:before="0" w:after="0"/>
        <w:jc w:val="left"/>
        <w:rPr>
          <w:color w:val="000000"/>
        </w:rPr>
      </w:pPr>
      <w:r>
        <w:rPr>
          <w:color w:val="000000"/>
        </w:rPr>
        <w:t> </w:t>
      </w:r>
    </w:p>
    <w:tbl>
      <w:tblPr>
        <w:tblW w:w="8467" w:type="dxa"/>
        <w:jc w:val="left"/>
        <w:tblInd w:w="0" w:type="dxa"/>
        <w:tblLayout w:type="fixed"/>
        <w:tblCellMar>
          <w:top w:w="28" w:type="dxa"/>
          <w:left w:w="28" w:type="dxa"/>
          <w:bottom w:w="28" w:type="dxa"/>
          <w:right w:w="28" w:type="dxa"/>
        </w:tblCellMar>
      </w:tblPr>
      <w:tblGrid>
        <w:gridCol w:w="815"/>
        <w:gridCol w:w="716"/>
        <w:gridCol w:w="719"/>
        <w:gridCol w:w="109"/>
        <w:gridCol w:w="109"/>
        <w:gridCol w:w="109"/>
        <w:gridCol w:w="1418"/>
        <w:gridCol w:w="1418"/>
        <w:gridCol w:w="1438"/>
        <w:gridCol w:w="109"/>
        <w:gridCol w:w="109"/>
        <w:gridCol w:w="109"/>
        <w:gridCol w:w="375"/>
        <w:gridCol w:w="375"/>
        <w:gridCol w:w="539"/>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S. Billings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Chief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11, 2026</w:t>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S. Billings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J. Fullalove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11, 2026</w:t>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J. Fullalove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Philip G. Satre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Non-Executive Chairman of the Board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11, 2026</w:t>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G. Satre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Betsy S. Atkins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11, 2026</w:t>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Betsy S. Atkins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J. Byrne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11, 2026</w:t>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J. Byrne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Liu</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11, 2026</w:t>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Liu</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Patricia Mulroy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11, 2026</w:t>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Patricia Mulroy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Anthony M. Sanfilippo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11, 2026</w:t>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Anthony M. Sanfilippo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Darnell Strom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11, 2026</w:t>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Darnell Strom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Winifred Webb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11, 2026</w:t>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Winifred Webb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bookmarkStart w:id="0" w:name="ex107filingfees.htm"/>
      <w:bookmarkStart w:id="1" w:name="ksex107filingfees"/>
      <w:bookmarkStart w:id="2" w:name="ex107filingfees.htm"/>
      <w:bookmarkStart w:id="3" w:name="ksex107filingfees"/>
      <w:bookmarkEnd w:id="2"/>
      <w:bookmarkEnd w:id="3"/>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576" w:type="dxa"/>
        <w:jc w:val="left"/>
        <w:tblInd w:w="0" w:type="dxa"/>
        <w:tblLayout w:type="fixed"/>
        <w:tblCellMar>
          <w:top w:w="28" w:type="dxa"/>
          <w:left w:w="28" w:type="dxa"/>
          <w:bottom w:w="28" w:type="dxa"/>
          <w:right w:w="28" w:type="dxa"/>
        </w:tblCellMar>
      </w:tblPr>
      <w:tblGrid>
        <w:gridCol w:w="3422"/>
        <w:gridCol w:w="154"/>
      </w:tblGrid>
      <w:tr>
        <w:trPr/>
        <w:tc>
          <w:tcPr>
            <w:tcW w:w="3576"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2"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2" w:type="dxa"/>
            <w:tcBorders/>
            <w:vAlign w:val="center"/>
          </w:tcPr>
          <w:p>
            <w:pPr>
              <w:pStyle w:val="TableContents"/>
              <w:bidi w:val="0"/>
              <w:spacing w:before="0" w:after="283"/>
              <w:jc w:val="left"/>
              <w:rPr>
                <w:b/>
              </w:rPr>
            </w:pPr>
            <w:r>
              <w:rPr>
                <w:b/>
              </w:rPr>
              <w:t xml:space="preserve">WYNN RESORTS LTD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0"/>
        <w:gridCol w:w="1015"/>
        <w:gridCol w:w="1283"/>
        <w:gridCol w:w="1193"/>
        <w:gridCol w:w="1183"/>
        <w:gridCol w:w="1801"/>
        <w:gridCol w:w="1126"/>
        <w:gridCol w:w="1413"/>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0"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15"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3"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3"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83"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801"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13"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0" w:type="dxa"/>
            <w:tcBorders/>
            <w:shd w:fill="E7E7E2" w:val="clear"/>
            <w:vAlign w:val="center"/>
          </w:tcPr>
          <w:p>
            <w:pPr>
              <w:pStyle w:val="TableContents"/>
              <w:bidi w:val="0"/>
              <w:spacing w:before="0" w:after="283"/>
              <w:jc w:val="left"/>
              <w:rPr/>
            </w:pPr>
            <w:r>
              <w:rPr/>
              <w:t xml:space="preserve">Equity </w:t>
            </w:r>
          </w:p>
        </w:tc>
        <w:tc>
          <w:tcPr>
            <w:tcW w:w="1015" w:type="dxa"/>
            <w:tcBorders/>
            <w:shd w:fill="E7E7E2" w:val="clear"/>
            <w:vAlign w:val="center"/>
          </w:tcPr>
          <w:p>
            <w:pPr>
              <w:pStyle w:val="TableContents"/>
              <w:bidi w:val="0"/>
              <w:spacing w:before="0" w:after="283"/>
              <w:jc w:val="left"/>
              <w:rPr/>
            </w:pPr>
            <w:r>
              <w:rPr/>
              <w:t xml:space="preserve">Common Stock, $0.01 par value per share </w:t>
            </w:r>
          </w:p>
        </w:tc>
        <w:tc>
          <w:tcPr>
            <w:tcW w:w="1283" w:type="dxa"/>
            <w:tcBorders/>
            <w:shd w:fill="E7E7E2" w:val="clear"/>
            <w:vAlign w:val="center"/>
          </w:tcPr>
          <w:p>
            <w:pPr>
              <w:pStyle w:val="TableContents"/>
              <w:bidi w:val="0"/>
              <w:spacing w:before="0" w:after="283"/>
              <w:jc w:val="center"/>
              <w:rPr/>
            </w:pPr>
            <w:r>
              <w:rPr/>
              <w:t xml:space="preserve">457(a) </w:t>
            </w:r>
          </w:p>
        </w:tc>
        <w:tc>
          <w:tcPr>
            <w:tcW w:w="1193" w:type="dxa"/>
            <w:tcBorders/>
            <w:shd w:fill="E7E7E2" w:val="clear"/>
            <w:vAlign w:val="center"/>
          </w:tcPr>
          <w:p>
            <w:pPr>
              <w:pStyle w:val="TableContents"/>
              <w:bidi w:val="0"/>
              <w:spacing w:before="0" w:after="283"/>
              <w:jc w:val="right"/>
              <w:rPr/>
            </w:pPr>
            <w:r>
              <w:rPr/>
              <w:t xml:space="preserve">3,600,000 </w:t>
            </w:r>
          </w:p>
        </w:tc>
        <w:tc>
          <w:tcPr>
            <w:tcW w:w="1183" w:type="dxa"/>
            <w:tcBorders/>
            <w:shd w:fill="E7E7E2" w:val="clear"/>
            <w:vAlign w:val="center"/>
          </w:tcPr>
          <w:p>
            <w:pPr>
              <w:pStyle w:val="TableContents"/>
              <w:bidi w:val="0"/>
              <w:spacing w:before="0" w:after="283"/>
              <w:jc w:val="right"/>
              <w:rPr/>
            </w:pPr>
            <w:r>
              <w:rPr/>
              <w:t xml:space="preserve">$ 102.90 </w:t>
            </w:r>
          </w:p>
        </w:tc>
        <w:tc>
          <w:tcPr>
            <w:tcW w:w="1801" w:type="dxa"/>
            <w:tcBorders/>
            <w:shd w:fill="E7E7E2" w:val="clear"/>
            <w:vAlign w:val="center"/>
          </w:tcPr>
          <w:p>
            <w:pPr>
              <w:pStyle w:val="TableContents"/>
              <w:bidi w:val="0"/>
              <w:spacing w:before="0" w:after="283"/>
              <w:jc w:val="right"/>
              <w:rPr/>
            </w:pPr>
            <w:r>
              <w:rPr/>
              <w:t xml:space="preserve">$ 370,440,000.00 </w:t>
            </w:r>
          </w:p>
        </w:tc>
        <w:tc>
          <w:tcPr>
            <w:tcW w:w="1126" w:type="dxa"/>
            <w:tcBorders/>
            <w:shd w:fill="E7E7E2" w:val="clear"/>
            <w:vAlign w:val="center"/>
          </w:tcPr>
          <w:p>
            <w:pPr>
              <w:pStyle w:val="TableContents"/>
              <w:bidi w:val="0"/>
              <w:spacing w:before="0" w:after="283"/>
              <w:jc w:val="right"/>
              <w:rPr/>
            </w:pPr>
            <w:r>
              <w:rPr/>
              <w:t xml:space="preserve">0.0001381 </w:t>
            </w:r>
          </w:p>
        </w:tc>
        <w:tc>
          <w:tcPr>
            <w:tcW w:w="1413" w:type="dxa"/>
            <w:tcBorders/>
            <w:shd w:fill="E7E7E2" w:val="clear"/>
            <w:vAlign w:val="center"/>
          </w:tcPr>
          <w:p>
            <w:pPr>
              <w:pStyle w:val="TableContents"/>
              <w:bidi w:val="0"/>
              <w:spacing w:before="0" w:after="283"/>
              <w:jc w:val="right"/>
              <w:rPr/>
            </w:pPr>
            <w:r>
              <w:rPr/>
              <w:t xml:space="preserve">$ 51,157.76 </w:t>
            </w:r>
          </w:p>
        </w:tc>
      </w:tr>
      <w:tr>
        <w:trPr/>
        <w:tc>
          <w:tcPr>
            <w:tcW w:w="4682" w:type="dxa"/>
            <w:gridSpan w:val="5"/>
            <w:tcBorders/>
            <w:vAlign w:val="center"/>
          </w:tcPr>
          <w:p>
            <w:pPr>
              <w:pStyle w:val="TableContents"/>
              <w:bidi w:val="0"/>
              <w:spacing w:before="0" w:after="0"/>
              <w:ind w:left="0" w:right="0" w:hanging="0"/>
              <w:jc w:val="right"/>
              <w:rPr/>
            </w:pPr>
            <w:r>
              <w:rPr/>
              <w:t>Total Offering Amounts:</w:t>
            </w:r>
          </w:p>
        </w:tc>
        <w:tc>
          <w:tcPr>
            <w:tcW w:w="1183"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0"/>
              <w:ind w:left="0" w:right="0" w:hanging="0"/>
              <w:jc w:val="right"/>
              <w:rPr/>
            </w:pPr>
            <w:bookmarkStart w:id="4" w:name="MaxAggtOfferingPrice"/>
            <w:bookmarkEnd w:id="4"/>
            <w:r>
              <w:rPr/>
              <w:t xml:space="preserve">$ 370,440,000.00 </w:t>
            </w:r>
          </w:p>
        </w:tc>
        <w:tc>
          <w:tcPr>
            <w:tcW w:w="1126" w:type="dxa"/>
            <w:tcBorders/>
            <w:vAlign w:val="center"/>
          </w:tcPr>
          <w:p>
            <w:pPr>
              <w:pStyle w:val="TableContents"/>
              <w:bidi w:val="0"/>
              <w:spacing w:before="0" w:after="283"/>
              <w:jc w:val="left"/>
              <w:rPr>
                <w:sz w:val="4"/>
                <w:szCs w:val="4"/>
              </w:rPr>
            </w:pPr>
            <w:r>
              <w:rPr>
                <w:sz w:val="4"/>
                <w:szCs w:val="4"/>
              </w:rPr>
            </w:r>
          </w:p>
        </w:tc>
        <w:tc>
          <w:tcPr>
            <w:tcW w:w="1413"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$ 51,157.76 </w:t>
            </w:r>
          </w:p>
        </w:tc>
      </w:tr>
      <w:tr>
        <w:trPr/>
        <w:tc>
          <w:tcPr>
            <w:tcW w:w="4682" w:type="dxa"/>
            <w:gridSpan w:val="5"/>
            <w:tcBorders/>
            <w:vAlign w:val="center"/>
          </w:tcPr>
          <w:p>
            <w:pPr>
              <w:pStyle w:val="TableContents"/>
              <w:bidi w:val="0"/>
              <w:spacing w:before="0" w:after="0"/>
              <w:ind w:left="0" w:right="0" w:hanging="0"/>
              <w:jc w:val="right"/>
              <w:rPr/>
            </w:pPr>
            <w:r>
              <w:rPr/>
              <w:t xml:space="preserve">Total Fee Offsets: </w:t>
            </w:r>
          </w:p>
        </w:tc>
        <w:tc>
          <w:tcPr>
            <w:tcW w:w="1183"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0"/>
              <w:ind w:left="0" w:right="0" w:hanging="0"/>
              <w:jc w:val="right"/>
              <w:rPr/>
            </w:pPr>
            <w:bookmarkStart w:id="6" w:name="TotalOffsetAmt"/>
            <w:bookmarkEnd w:id="6"/>
            <w:r>
              <w:rPr/>
              <w:t xml:space="preserve">$ 0.00 </w:t>
            </w:r>
          </w:p>
        </w:tc>
      </w:tr>
      <w:tr>
        <w:trPr/>
        <w:tc>
          <w:tcPr>
            <w:tcW w:w="4682" w:type="dxa"/>
            <w:gridSpan w:val="5"/>
            <w:tcBorders/>
            <w:vAlign w:val="center"/>
          </w:tcPr>
          <w:p>
            <w:pPr>
              <w:pStyle w:val="TableContents"/>
              <w:bidi w:val="0"/>
              <w:spacing w:before="0" w:after="0"/>
              <w:ind w:left="0" w:right="0" w:hanging="0"/>
              <w:jc w:val="right"/>
              <w:rPr/>
            </w:pPr>
            <w:r>
              <w:rPr/>
              <w:t xml:space="preserve">Net Fee Due: </w:t>
            </w:r>
          </w:p>
        </w:tc>
        <w:tc>
          <w:tcPr>
            <w:tcW w:w="1183"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0"/>
              <w:ind w:left="0" w:right="0" w:hanging="0"/>
              <w:jc w:val="right"/>
              <w:rPr/>
            </w:pPr>
            <w:bookmarkStart w:id="7" w:name="NetFeeAmt"/>
            <w:bookmarkEnd w:id="7"/>
            <w:r>
              <w:rPr/>
              <w:t xml:space="preserve">$ 51,157.76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3"/>
        <w:gridCol w:w="8710"/>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Pursuant to Rule 416 under the Securities Act of 1933, as amended (the "Securities Act"), this Registration Statement shall be deemed to cover additional shares of Common Stock that may become issuable with respect to the shares of Common Stock registered hereunder as a result of any stock dividend, stock split, recapitalization or other similar transaction. The proposed maximum aggregate offering price per unit and the maximum aggregate offering price is estimated solely for the purpose of calculating the registration fee. Pursuant to Rule 457(c) and Rule 457(h)(1) under the Securities Act, the proposed maximum offering price per share, the proposed maximum aggregate offering price and the amount of registration fee have been computed on the basis of the average of the high and low prices of the Common Stock reported on the NASDAQ Global Select Market on May 8, 2026.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5.1</w:t>
      </w:r>
    </w:p>
    <w:p>
      <w:pPr>
        <w:pStyle w:val="TextBody"/>
        <w:bidi w:val="0"/>
        <w:spacing w:before="0" w:after="0"/>
        <w:jc w:val="both"/>
        <w:rPr/>
      </w:pPr>
      <w:r>
        <w:rPr/>
      </w:r>
    </w:p>
    <w:tbl>
      <w:tblPr>
        <w:tblW w:w="9881" w:type="dxa"/>
        <w:jc w:val="left"/>
        <w:tblInd w:w="0" w:type="dxa"/>
        <w:tblLayout w:type="fixed"/>
        <w:tblCellMar>
          <w:top w:w="28" w:type="dxa"/>
          <w:left w:w="28" w:type="dxa"/>
          <w:bottom w:w="28" w:type="dxa"/>
          <w:right w:w="28" w:type="dxa"/>
        </w:tblCellMar>
      </w:tblPr>
      <w:tblGrid>
        <w:gridCol w:w="1080"/>
        <w:gridCol w:w="950"/>
        <w:gridCol w:w="951"/>
        <w:gridCol w:w="2021"/>
        <w:gridCol w:w="2021"/>
        <w:gridCol w:w="2858"/>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r>
      <w:tr>
        <w:trPr/>
        <w:tc>
          <w:tcPr>
            <w:tcW w:w="298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828800" cy="2762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5"/>
                          <a:stretch>
                            <a:fillRect/>
                          </a:stretch>
                        </pic:blipFill>
                        <pic:spPr bwMode="auto">
                          <a:xfrm>
                            <a:off x="0" y="0"/>
                            <a:ext cx="1828800" cy="276225"/>
                          </a:xfrm>
                          <a:prstGeom prst="rect">
                            <a:avLst/>
                          </a:prstGeom>
                        </pic:spPr>
                      </pic:pic>
                    </a:graphicData>
                  </a:graphic>
                </wp:inline>
              </w:drawing>
            </w:r>
          </w:p>
        </w:tc>
        <w:tc>
          <w:tcPr>
            <w:tcW w:w="6900" w:type="dxa"/>
            <w:gridSpan w:val="3"/>
            <w:tcBorders/>
            <w:tcMar>
              <w:top w:w="0" w:type="dxa"/>
              <w:left w:w="0" w:type="dxa"/>
              <w:bottom w:w="0" w:type="dxa"/>
              <w:right w:w="0" w:type="dxa"/>
            </w:tcMar>
            <w:vAlign w:val="center"/>
          </w:tcPr>
          <w:p>
            <w:pPr>
              <w:pStyle w:val="TableContents"/>
              <w:bidi w:val="0"/>
              <w:spacing w:lineRule="auto" w:line="331" w:before="0" w:after="0"/>
              <w:jc w:val="left"/>
              <w:rPr/>
            </w:pPr>
            <w:r>
              <w:rPr>
                <w:rFonts w:ascii="Verdana;sans-serif" w:hAnsi="Verdana;sans-serif"/>
                <w:b/>
                <w:color w:val="051C2C"/>
                <w:sz w:val="16"/>
              </w:rPr>
              <w:t xml:space="preserve">Brownstein Hyatt Farber Schreck, LLP </w:t>
            </w:r>
            <w:r>
              <w:rPr>
                <w:color w:val="000000"/>
              </w:rPr>
              <w:t xml:space="preserve">                         </w:t>
            </w:r>
            <w:r>
              <w:rPr>
                <w:rFonts w:ascii="Verdana;sans-serif" w:hAnsi="Verdana;sans-serif"/>
                <w:b w:val="false"/>
                <w:color w:val="000000"/>
                <w:sz w:val="16"/>
              </w:rPr>
              <w:t xml:space="preserve">702.382.2101 main </w:t>
            </w:r>
          </w:p>
          <w:p>
            <w:pPr>
              <w:pStyle w:val="TableContents"/>
              <w:bidi w:val="0"/>
              <w:spacing w:lineRule="auto" w:line="331" w:before="0" w:after="0"/>
              <w:jc w:val="left"/>
              <w:rPr>
                <w:rFonts w:ascii="Verdana;sans-serif" w:hAnsi="Verdana;sans-serif"/>
                <w:b w:val="false"/>
                <w:color w:val="000000"/>
                <w:sz w:val="16"/>
              </w:rPr>
            </w:pPr>
            <w:r>
              <w:rPr>
                <w:rFonts w:ascii="Verdana;sans-serif" w:hAnsi="Verdana;sans-serif"/>
                <w:b w:val="false"/>
                <w:color w:val="000000"/>
                <w:sz w:val="16"/>
              </w:rPr>
              <w:t>100 North City Parkway, Suite 1600</w:t>
            </w:r>
          </w:p>
          <w:p>
            <w:pPr>
              <w:pStyle w:val="TableContents"/>
              <w:bidi w:val="0"/>
              <w:spacing w:lineRule="auto" w:line="331" w:before="0" w:after="0"/>
              <w:jc w:val="left"/>
              <w:rPr>
                <w:rFonts w:ascii="Verdana;sans-serif" w:hAnsi="Verdana;sans-serif"/>
                <w:b w:val="false"/>
                <w:color w:val="000000"/>
                <w:sz w:val="16"/>
              </w:rPr>
            </w:pPr>
            <w:r>
              <w:rPr>
                <w:rFonts w:ascii="Verdana;sans-serif" w:hAnsi="Verdana;sans-serif"/>
                <w:b w:val="false"/>
                <w:color w:val="000000"/>
                <w:sz w:val="16"/>
              </w:rPr>
              <w:t>Las Vegas, NV 89106</w:t>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May 11,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Wynn Resorts, Limited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3131 Las Vegas Boulevard South</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Las Vegas, Nevada 89109</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To the addressee set forth above:</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We have acted as local Nevada counsel to Wynn Resorts, Limited, a Nevada corporation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in connection with the filing by the Company of a Registration Statement on Form S-8 (the “</w:t>
      </w:r>
      <w:r>
        <w:rPr>
          <w:rFonts w:ascii="Times New Roman;serif" w:hAnsi="Times New Roman;serif"/>
          <w:b w:val="false"/>
          <w:color w:val="000000"/>
          <w:sz w:val="20"/>
          <w:u w:val="single"/>
        </w:rPr>
        <w:t>Registration Statement</w:t>
      </w:r>
      <w:r>
        <w:rPr>
          <w:color w:val="000000"/>
        </w:rPr>
        <w:t>”</w:t>
      </w:r>
      <w:r>
        <w:rPr>
          <w:rFonts w:ascii="Times New Roman;serif" w:hAnsi="Times New Roman;serif"/>
          <w:b w:val="false"/>
          <w:color w:val="000000"/>
          <w:sz w:val="20"/>
        </w:rPr>
        <w:t>) with the Securities and Exchange Commission (the “</w:t>
      </w:r>
      <w:r>
        <w:rPr>
          <w:rFonts w:ascii="Times New Roman;serif" w:hAnsi="Times New Roman;serif"/>
          <w:b w:val="false"/>
          <w:color w:val="000000"/>
          <w:sz w:val="20"/>
          <w:u w:val="single"/>
        </w:rPr>
        <w:t>Commission</w:t>
      </w:r>
      <w:r>
        <w:rPr>
          <w:color w:val="000000"/>
        </w:rPr>
        <w:t>”</w:t>
      </w:r>
      <w:r>
        <w:rPr>
          <w:rFonts w:ascii="Times New Roman;serif" w:hAnsi="Times New Roman;serif"/>
          <w:b w:val="false"/>
          <w:color w:val="000000"/>
          <w:sz w:val="20"/>
        </w:rPr>
        <w:t>) under the Securities Act of 1933, as amended (the “</w:t>
      </w:r>
      <w:r>
        <w:rPr>
          <w:rFonts w:ascii="Times New Roman;serif" w:hAnsi="Times New Roman;serif"/>
          <w:b w:val="false"/>
          <w:color w:val="000000"/>
          <w:sz w:val="20"/>
          <w:u w:val="single"/>
        </w:rPr>
        <w:t>Act</w:t>
      </w:r>
      <w:r>
        <w:rPr>
          <w:color w:val="000000"/>
        </w:rPr>
        <w:t>”</w:t>
      </w:r>
      <w:r>
        <w:rPr>
          <w:rFonts w:ascii="Times New Roman;serif" w:hAnsi="Times New Roman;serif"/>
          <w:b w:val="false"/>
          <w:color w:val="000000"/>
          <w:sz w:val="20"/>
        </w:rPr>
        <w:t>), relating to the registration of an additional 3,600,000 shares (the “</w:t>
      </w:r>
      <w:r>
        <w:rPr>
          <w:rFonts w:ascii="Times New Roman;serif" w:hAnsi="Times New Roman;serif"/>
          <w:b w:val="false"/>
          <w:color w:val="000000"/>
          <w:sz w:val="20"/>
          <w:u w:val="single"/>
        </w:rPr>
        <w:t>Shares</w:t>
      </w:r>
      <w:r>
        <w:rPr>
          <w:color w:val="000000"/>
        </w:rPr>
        <w:t>”</w:t>
      </w:r>
      <w:r>
        <w:rPr>
          <w:rFonts w:ascii="Times New Roman;serif" w:hAnsi="Times New Roman;serif"/>
          <w:b w:val="false"/>
          <w:color w:val="000000"/>
          <w:sz w:val="20"/>
        </w:rPr>
        <w:t>) of the Company’s common stock, par value $0.01 per share (“</w:t>
      </w:r>
      <w:r>
        <w:rPr>
          <w:rFonts w:ascii="Times New Roman;serif" w:hAnsi="Times New Roman;serif"/>
          <w:b w:val="false"/>
          <w:color w:val="000000"/>
          <w:sz w:val="20"/>
          <w:u w:val="single"/>
        </w:rPr>
        <w:t>Common Stock</w:t>
      </w:r>
      <w:r>
        <w:rPr>
          <w:color w:val="000000"/>
        </w:rPr>
        <w:t>”</w:t>
      </w:r>
      <w:r>
        <w:rPr>
          <w:rFonts w:ascii="Times New Roman;serif" w:hAnsi="Times New Roman;serif"/>
          <w:b w:val="false"/>
          <w:color w:val="000000"/>
          <w:sz w:val="20"/>
        </w:rPr>
        <w:t>), issuable under the Wynn Resorts, Limited Third Amended and Restated 2014 Omnibus Incentive Plan (the “</w:t>
      </w:r>
      <w:r>
        <w:rPr>
          <w:rFonts w:ascii="Times New Roman;serif" w:hAnsi="Times New Roman;serif"/>
          <w:b w:val="false"/>
          <w:color w:val="000000"/>
          <w:sz w:val="20"/>
          <w:u w:val="single"/>
        </w:rPr>
        <w:t>Plan</w:t>
      </w:r>
      <w:r>
        <w:rPr>
          <w:color w:val="000000"/>
        </w:rPr>
        <w:t>”</w:t>
      </w:r>
      <w:r>
        <w:rPr>
          <w:rFonts w:ascii="Times New Roman;serif" w:hAnsi="Times New Roman;serif"/>
          <w:b w:val="false"/>
          <w:color w:val="000000"/>
          <w:sz w:val="20"/>
        </w:rPr>
        <w:t>). This opinion letter is being delivered at your request, pursuant to the requirements of Item 601(b)(5) of Regulation S-K under the Act.</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our capacity as such counsel, we are familiar with the proceedings taken and proposed to be taken by the Company in connection with the authorization and issuance of the Shares as contemplated by the Plan and as described in the Registration Statement. For purposes of this opinion letter, and except to the extent set forth in the opinion expressed below, we have assumed that all such proceedings have been or will be timely completed in the manner contemplated by the Plan, and as presently proposed in the Registration Statement.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purposes of issuing the opinion hereinafter expressed, we have (a) made such legal and factual examinations and inquiries, including an examination of originals or copies certified or otherwise identified to our satisfaction as being true copies of (i) the Registration Statement, (ii) the Plan, (iii) the Company’s articles of incorporation and bylaws, and (iv) such other agreements, instruments, corporate records (including resolutions of the board of directors and any committee thereof and of the stockholders of the Company) and other documents, or forms thereof, as we have deemed necessary or appropriate, and (b) obtained from officers and other representatives and agents of the Company and from public officials, and have relied upon, such certificates, representations, assurances and public filings as we have deemed necessary or appropriate.</w:t>
      </w:r>
    </w:p>
    <w:p>
      <w:pPr>
        <w:pStyle w:val="TextBody"/>
        <w:bidi w:val="0"/>
        <w:spacing w:before="0" w:after="0"/>
        <w:jc w:val="both"/>
        <w:rPr/>
      </w:pPr>
      <w:r>
        <w:rPr/>
      </w:r>
    </w:p>
    <w:p>
      <w:pPr>
        <w:pStyle w:val="TextBody"/>
        <w:bidi w:val="0"/>
        <w:spacing w:lineRule="auto" w:line="26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Without limiting the generality of the foregoing, we have, with your permission, assumed without independent verification that (i) the Plan is a valid, binding and enforceable obligation of the Company; (ii) each natural person executing a document had at all relevant times and has sufficient legal capacity to do so; (iii) all documents submitted to us as originals are authentic, the signatures on all documents we reviewed are genuine and all documents submitted to us as certified, conformed, photostatic, electronic or facsimile copies conform to the original document; (iv) the statements of fact and representations and warranties set forth in the documents we have reviewed, including the Plan, are and will at all relevant times be, true and correct as to factual matters; (v) all corporate records made available to us by the Company, and all public records we have reviewed, are accurate and complete; and (vi) after the issuance of any Shares, the total number of issued and outstanding shares of Common Stock, together with the total number of shares of Common Stock then reserved for issuance or obligated to be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issued by the Company pursuant to any agreement, plan or arrangement, including the Plan, or otherwise, will not exceed the total number of shares of Common Stock then authorized under the Company’s articles of incorporation.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qualified to practice law in the State of Nevada. The opinion set forth herein is expressly limited to, and based exclusively on, the general corporate laws of the State of Nevada, and we do not purport to be experts on, or to express any opinion with respect to the applicability thereto or the effect thereon of, the laws of any other jurisdiction. We express no opinion concerning, and we assume no responsibility as to laws or judicial decisions related to, or any orders, consents or other authorizations or approvals as may be required by, any federal laws, rules or regulations, including, without limitation, any federal securities laws, rules or regulations, or any state securities or “blue sky” laws, rules or regulations.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the foregoing and in reliance thereon, and having regard to legal considerations and other information that we deem relevant, we are of the opinion that the Shares have been duly authorized by the Company and, if, when and to the extent issued in accordance with all applicable terms and conditions set forth in the Plan and in exchange for the consideration required thereunder, and as described in the Registration Statement, the Shares will be validly issued, fully paid and non-assessable.</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opinion expressed herein is based upon the applicable laws of the State of Nevada and the facts in existence on the date of this opinion letter. In delivering this opinion letter to you, we disclaim any obligation to update or supplement the opinion set forth herein or to apprise you of any changes in any laws or facts after the filing of this opinion letter as an exhibit to the Registration Statement. No opinion is offered or implied as to any matter, and no inference may be drawn, beyond the strict scope of the specific issues expressly addressed by the opinion set forth herein.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hereby consent to the filing of this opinion letter as an exhibit to the Registration Statement. In giving this consent, we do not admit that we are within the category of persons whose consent is required under Section 7 of the Act or the rules and regulations of the Commission promulgated thereunder.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Very truly yours,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 Brownstein Hyatt Farber Schreck, LLP</w:t>
      </w:r>
    </w:p>
    <w:p>
      <w:pPr>
        <w:pStyle w:val="TextBody"/>
        <w:bidi w:val="0"/>
        <w:spacing w:before="0" w:after="0"/>
        <w:jc w:val="both"/>
        <w:rPr/>
      </w:pPr>
      <w:r>
        <w:rPr/>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WYNN RESORTS, LIMITED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THIRD AMENDED AND RESTATED 2014 OMNIBUS INCENTIVE PLAN</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1.</w:t>
        <w:br/>
        <w:br/>
        <w:t>PURPOSE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purpose of the Wynn Resorts, Limited Third Amended and Restated 2014 Omnibus Incentive Plan (as it may be amended or restated from time to time,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is to promote the success and enhance the value of Wynn Resorts, Limited, a Nevada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by linking the individual interests of the members of the Board, Employees, and Consultants to those of Company stockholders and by providing such individuals with an incentive for outstanding performance to generate superior returns to Company stockholders. The Plan is further intended to provide flexibility to the Company in its ability to motivate, attract, and retain the services of members of the Board, Employees, and Consultants upon whose judgment, interest, and special effort the successful conduct of the Company’s operation is largely dependent.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2.</w:t>
        <w:br/>
        <w:br/>
        <w:t>DEFINITIONS AND CONSTRUCTION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Wherever the following terms are used in the Plan they shall have the meanings specified below, unless the context clearly indicates otherwise. The singular pronoun shall include the plural where the context so indicates.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2.1    “</w:t>
      </w:r>
      <w:r>
        <w:rPr>
          <w:rFonts w:ascii="Times New Roman;serif" w:hAnsi="Times New Roman;serif"/>
          <w:b w:val="false"/>
          <w:color w:val="000000"/>
          <w:sz w:val="24"/>
          <w:u w:val="single"/>
        </w:rPr>
        <w:t>Administrator</w:t>
      </w:r>
      <w:r>
        <w:rPr>
          <w:color w:val="000000"/>
        </w:rPr>
        <w:t xml:space="preserve">” </w:t>
      </w:r>
      <w:r>
        <w:rPr>
          <w:rFonts w:ascii="Times New Roman;serif" w:hAnsi="Times New Roman;serif"/>
          <w:b w:val="false"/>
          <w:color w:val="000000"/>
          <w:sz w:val="24"/>
        </w:rPr>
        <w:t>shall mean the entity that conducts the general administration of the Plan as provided in Article 13. With reference to the duties of the Committee under the Plan which have been delegated to one or more persons pursuant to Section 13.6, or as to which the Board has assumed, the term “Administrator” shall refer to such person(s) unless the Committee or the Board has revoked such delegation or the Board has terminated the assumption of such duties.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2.2    “</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shall mean any Parent or Subsidiary.</w:t>
      </w:r>
    </w:p>
    <w:p>
      <w:pPr>
        <w:pStyle w:val="TextBody"/>
        <w:bidi w:val="0"/>
        <w:spacing w:lineRule="auto" w:line="288" w:before="0" w:after="240"/>
        <w:ind w:left="0" w:right="0" w:firstLine="720"/>
        <w:jc w:val="both"/>
        <w:rPr/>
      </w:pPr>
      <w:r>
        <w:rPr>
          <w:rFonts w:ascii="Times New Roman;serif" w:hAnsi="Times New Roman;serif"/>
          <w:b w:val="false"/>
          <w:color w:val="000000"/>
          <w:sz w:val="24"/>
        </w:rPr>
        <w:t>2.3    “</w:t>
      </w:r>
      <w:r>
        <w:rPr>
          <w:rFonts w:ascii="Times New Roman;serif" w:hAnsi="Times New Roman;serif"/>
          <w:b w:val="false"/>
          <w:color w:val="000000"/>
          <w:sz w:val="24"/>
          <w:u w:val="single"/>
        </w:rPr>
        <w:t>Applicable Accounting Standards</w:t>
      </w:r>
      <w:r>
        <w:rPr>
          <w:color w:val="000000"/>
        </w:rPr>
        <w:t xml:space="preserve">” </w:t>
      </w:r>
      <w:r>
        <w:rPr>
          <w:rFonts w:ascii="Times New Roman;serif" w:hAnsi="Times New Roman;serif"/>
          <w:b w:val="false"/>
          <w:color w:val="000000"/>
          <w:sz w:val="24"/>
        </w:rPr>
        <w:t>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2.4    “</w:t>
      </w:r>
      <w:r>
        <w:rPr>
          <w:rFonts w:ascii="Times New Roman;serif" w:hAnsi="Times New Roman;serif"/>
          <w:b w:val="false"/>
          <w:color w:val="000000"/>
          <w:sz w:val="24"/>
          <w:u w:val="single"/>
        </w:rPr>
        <w:t>Applicable Law</w:t>
      </w:r>
      <w:r>
        <w:rPr>
          <w:color w:val="000000"/>
        </w:rPr>
        <w:t xml:space="preserve">” </w:t>
      </w:r>
      <w:r>
        <w:rPr>
          <w:rFonts w:ascii="Times New Roman;serif" w:hAnsi="Times New Roman;serif"/>
          <w:b w:val="false"/>
          <w:color w:val="000000"/>
          <w:sz w:val="24"/>
        </w:rPr>
        <w:t>shall mean any applicable law, including without limitation: (i) provisions of the Code, the Securities Act, the Exchange Act and any rules or regulations thereunder; (ii) corporate, securities, tax, gaming or other laws, statutes, rules, requirements or regulations, whether federal, state, local or foreign; and (iii) rules of any securities exchange or automated quotation system on which the Shares are listed, quoted or traded.</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2.5    “</w:t>
      </w:r>
      <w:r>
        <w:rPr>
          <w:rFonts w:ascii="Times New Roman;serif" w:hAnsi="Times New Roman;serif"/>
          <w:b w:val="false"/>
          <w:color w:val="000000"/>
          <w:sz w:val="24"/>
          <w:u w:val="single"/>
        </w:rPr>
        <w:t>Award</w:t>
      </w:r>
      <w:r>
        <w:rPr>
          <w:color w:val="000000"/>
        </w:rPr>
        <w:t xml:space="preserve">” </w:t>
      </w:r>
      <w:r>
        <w:rPr>
          <w:rFonts w:ascii="Times New Roman;serif" w:hAnsi="Times New Roman;serif"/>
          <w:b w:val="false"/>
          <w:color w:val="000000"/>
          <w:sz w:val="24"/>
        </w:rPr>
        <w:t>shall mean an Option, a Restricted Stock award, a Restricted Stock Unit award, a Performance Award, a Dividend Equivalents award, a Deferred Stock award, a Deferred Stock Unit award, a Stock Payment award or a Stock Appreciation Right, which may be awarded or granted under the Plan (collectively, “</w:t>
      </w:r>
      <w:r>
        <w:rPr>
          <w:rFonts w:ascii="Times New Roman;serif" w:hAnsi="Times New Roman;serif"/>
          <w:b w:val="false"/>
          <w:color w:val="000000"/>
          <w:sz w:val="24"/>
          <w:u w:val="single"/>
        </w:rPr>
        <w:t>Awards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2.6    “</w:t>
      </w:r>
      <w:r>
        <w:rPr>
          <w:rFonts w:ascii="Times New Roman;serif" w:hAnsi="Times New Roman;serif"/>
          <w:b w:val="false"/>
          <w:color w:val="000000"/>
          <w:sz w:val="24"/>
          <w:u w:val="single"/>
        </w:rPr>
        <w:t>Award Agreement</w:t>
      </w:r>
      <w:r>
        <w:rPr>
          <w:color w:val="000000"/>
        </w:rPr>
        <w:t xml:space="preserve">” </w:t>
      </w:r>
      <w:r>
        <w:rPr>
          <w:rFonts w:ascii="Times New Roman;serif" w:hAnsi="Times New Roman;serif"/>
          <w:b w:val="false"/>
          <w:color w:val="000000"/>
          <w:sz w:val="24"/>
        </w:rPr>
        <w:t>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2.7    “</w:t>
      </w:r>
      <w:r>
        <w:rPr>
          <w:rFonts w:ascii="Times New Roman;serif" w:hAnsi="Times New Roman;serif"/>
          <w:b w:val="false"/>
          <w:color w:val="000000"/>
          <w:sz w:val="24"/>
          <w:u w:val="single"/>
        </w:rPr>
        <w:t>Award Limit</w:t>
      </w:r>
      <w:r>
        <w:rPr>
          <w:color w:val="000000"/>
        </w:rPr>
        <w:t xml:space="preserve">” </w:t>
      </w:r>
      <w:r>
        <w:rPr>
          <w:rFonts w:ascii="Times New Roman;serif" w:hAnsi="Times New Roman;serif"/>
          <w:b w:val="false"/>
          <w:color w:val="000000"/>
          <w:sz w:val="24"/>
        </w:rPr>
        <w:t xml:space="preserve">shall mean with respect to Awards that shall be payable in Shares or in cash, as the case may be, the respective limit set forth in Section 3.3. </w:t>
      </w:r>
    </w:p>
    <w:p>
      <w:pPr>
        <w:pStyle w:val="TextBody"/>
        <w:bidi w:val="0"/>
        <w:spacing w:lineRule="auto" w:line="288" w:before="0" w:after="240"/>
        <w:ind w:left="0" w:right="0" w:firstLine="720"/>
        <w:jc w:val="both"/>
        <w:rPr/>
      </w:pPr>
      <w:r>
        <w:rPr>
          <w:rFonts w:ascii="Times New Roman;serif" w:hAnsi="Times New Roman;serif"/>
          <w:b w:val="false"/>
          <w:color w:val="000000"/>
          <w:sz w:val="24"/>
        </w:rPr>
        <w:t>2.8    “</w:t>
      </w:r>
      <w:r>
        <w:rPr>
          <w:rFonts w:ascii="Times New Roman;serif" w:hAnsi="Times New Roman;serif"/>
          <w:b w:val="false"/>
          <w:color w:val="000000"/>
          <w:sz w:val="24"/>
          <w:u w:val="single"/>
        </w:rPr>
        <w:t>Board</w:t>
      </w:r>
      <w:r>
        <w:rPr>
          <w:color w:val="000000"/>
        </w:rPr>
        <w:t xml:space="preserve">” </w:t>
      </w:r>
      <w:r>
        <w:rPr>
          <w:rFonts w:ascii="Times New Roman;serif" w:hAnsi="Times New Roman;serif"/>
          <w:b w:val="false"/>
          <w:color w:val="000000"/>
          <w:sz w:val="24"/>
        </w:rPr>
        <w:t>shall mean the Board of Directors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2.9    “</w:t>
      </w:r>
      <w:r>
        <w:rPr>
          <w:rFonts w:ascii="Times New Roman;serif" w:hAnsi="Times New Roman;serif"/>
          <w:b w:val="false"/>
          <w:color w:val="000000"/>
          <w:sz w:val="24"/>
          <w:u w:val="single"/>
        </w:rPr>
        <w:t>Change in Control</w:t>
      </w:r>
      <w:r>
        <w:rPr>
          <w:color w:val="000000"/>
        </w:rPr>
        <w:t xml:space="preserve">” </w:t>
      </w:r>
      <w:r>
        <w:rPr>
          <w:rFonts w:ascii="Times New Roman;serif" w:hAnsi="Times New Roman;serif"/>
          <w:b w:val="false"/>
          <w:color w:val="000000"/>
          <w:sz w:val="24"/>
        </w:rPr>
        <w:t>shall mean the occurrence of any one of the following events: (a) the direct or indirect acquisition by an unrelated “Person” or “Group” of “Beneficial Ownership” (as such terms are defined below) of more than fifty percent (50%) of the voting power of the Company’s issued and outstanding voting securities in a single transaction or a series of related transactions; (b) the direct or indirect sale or transfer by the Company of substantially all of its assets to one or more unrelated Persons or Groups in a single transaction or a series of related transactions; (c) the consummation of the merger, consolidation or reorganization of the Company with or into another corporation or other entity in which the Beneficial Owners of more than fifty percent (50%) of the voting power of the Company’s issued and outstanding voting securities immediately before such merger or consolidation do not own more than fifty percent (50%) of the voting power of the issued and outstanding voting securities of the surviving corporation or other entity immediately after such merger, consolidation or reorganization; or (d) more than fifty percent (50%) of the members of the Company’s Board are individuals who were neither members of the Board immediately following the closing of the Company’s initial public offering nor individuals whose election (or nomination for election) to the Board was approved by a vote of at least fifty percent (50%) of the members of the Board immediately before such election or nomination (“</w:t>
      </w:r>
      <w:r>
        <w:rPr>
          <w:rFonts w:ascii="Times New Roman;serif" w:hAnsi="Times New Roman;serif"/>
          <w:b w:val="false"/>
          <w:color w:val="000000"/>
          <w:sz w:val="24"/>
          <w:u w:val="single"/>
        </w:rPr>
        <w:t>Approved Directors</w:t>
      </w:r>
      <w:r>
        <w:rPr>
          <w:color w:val="000000"/>
        </w:rPr>
        <w:t>”</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For purposes of determining whether a Change in Control has occurred, the following Persons and Groups shall not be deemed to be “unrelated”: (i) any Person or Group directly or indirectly having Beneficial Ownership of more than fifty percent (50%) of the issued and outstanding voting power of Company’s voting securities immediately before the transaction in question, (ii) any Person or Group of which the Company has Beneficial Ownership of more than fifty percent (50%) of the voting power of the issued and outstanding voting securities immediately before the transaction in question, and (iii) any Person or Group of which more than fifty percent (50%) of the voting power of the issued and outstanding voting securities are owned, directly or indirectly, by Beneficial Owners of more than fifty percent (50%) of the issued and outstanding voting power of the Company’s voting securities immediately before the transaction in question. The terms “Person,” “Group,” “Beneficial Owner,” and “Beneficial </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85445"/>
                <wp:effectExtent l="0" t="0" r="0" b="0"/>
                <wp:wrapNone/>
                <wp:docPr id="8" name="Frame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Ownership” shall have the meanings used in the Exchange Act and the rules and regulations promulgated thereunder.</w:t>
      </w:r>
    </w:p>
    <w:p>
      <w:pPr>
        <w:pStyle w:val="TextBody"/>
        <w:bidi w:val="0"/>
        <w:spacing w:lineRule="auto" w:line="288" w:before="0" w:after="240"/>
        <w:jc w:val="both"/>
        <w:rPr/>
      </w:pPr>
      <w:r>
        <w:rPr>
          <w:rFonts w:ascii="Times New Roman;serif" w:hAnsi="Times New Roman;serif"/>
          <w:b w:val="false"/>
          <w:color w:val="000000"/>
          <w:sz w:val="24"/>
        </w:rPr>
        <w:t>Notwithstanding the foregoing, an individual shall not be deemed to be an Approved Director if such individual became a member of the Board as a result of either an actual or threatened “Election Contest” (as described in Rule 14a-11 promulgated under the Exchange Act) or other actual or threatened solicitation of proxies by or on behalf of anyone other than the Board (a “</w:t>
      </w:r>
      <w:r>
        <w:rPr>
          <w:rFonts w:ascii="Times New Roman;serif" w:hAnsi="Times New Roman;serif"/>
          <w:b w:val="false"/>
          <w:color w:val="000000"/>
          <w:sz w:val="24"/>
          <w:u w:val="single"/>
        </w:rPr>
        <w:t>Proxy Contest</w:t>
      </w:r>
      <w:r>
        <w:rPr>
          <w:color w:val="000000"/>
        </w:rPr>
        <w:t>”</w:t>
      </w:r>
      <w:r>
        <w:rPr>
          <w:rFonts w:ascii="Times New Roman;serif" w:hAnsi="Times New Roman;serif"/>
          <w:b w:val="false"/>
          <w:color w:val="000000"/>
          <w:sz w:val="24"/>
        </w:rPr>
        <w:t>), or as a result of an agreement to avoid or settle an Election Contest or Proxy Contest.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addition, if a Change in Control constitutes a payment event with respect to any portion of an Award which provides for the deferral of compensation and is subject to Section 409A of the Code, the transaction or event described in subsection (a), (b), (c) or (d) with respect to such Award (or portion thereof) must also constitute a “change in control event,” as defined in Treasury Regulation §1.409A-3(i)(5) to the extent required by Section 409A.</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Committee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 provided that any exercise of authority in conjunction with a determination of whether a Change in Control is a “change in control event” as defined in the Treasury Regulation §1.409A-3(i)(5) shall be consistent with such regulation.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2.10    “</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shall mean the Internal Revenue Code of 1986, as amended from time to time, together with the regulations and official guidance promulgated thereunder.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2.11    “</w:t>
      </w:r>
      <w:r>
        <w:rPr>
          <w:rFonts w:ascii="Times New Roman;serif" w:hAnsi="Times New Roman;serif"/>
          <w:b w:val="false"/>
          <w:color w:val="000000"/>
          <w:sz w:val="24"/>
          <w:u w:val="single"/>
        </w:rPr>
        <w:t>Committee</w:t>
      </w:r>
      <w:r>
        <w:rPr>
          <w:color w:val="000000"/>
        </w:rPr>
        <w:t xml:space="preserve">” </w:t>
      </w:r>
      <w:r>
        <w:rPr>
          <w:rFonts w:ascii="Times New Roman;serif" w:hAnsi="Times New Roman;serif"/>
          <w:b w:val="false"/>
          <w:color w:val="000000"/>
          <w:sz w:val="24"/>
        </w:rPr>
        <w:t>shall mean the Compensation Committee of the Board, or another committee or subcommittee of the Board, appointed as provided in Section 13.1.</w:t>
      </w:r>
    </w:p>
    <w:p>
      <w:pPr>
        <w:pStyle w:val="TextBody"/>
        <w:bidi w:val="0"/>
        <w:spacing w:lineRule="auto" w:line="288" w:before="0" w:after="240"/>
        <w:ind w:left="0" w:right="0" w:firstLine="720"/>
        <w:jc w:val="both"/>
        <w:rPr/>
      </w:pPr>
      <w:r>
        <w:rPr>
          <w:rFonts w:ascii="Times New Roman;serif" w:hAnsi="Times New Roman;serif"/>
          <w:b w:val="false"/>
          <w:color w:val="000000"/>
          <w:sz w:val="24"/>
        </w:rPr>
        <w:t>2.12    “</w:t>
      </w:r>
      <w:r>
        <w:rPr>
          <w:rFonts w:ascii="Times New Roman;serif" w:hAnsi="Times New Roman;serif"/>
          <w:b w:val="false"/>
          <w:color w:val="000000"/>
          <w:sz w:val="24"/>
          <w:u w:val="single"/>
        </w:rPr>
        <w:t>Common Stock</w:t>
      </w:r>
      <w:r>
        <w:rPr>
          <w:color w:val="000000"/>
        </w:rPr>
        <w:t xml:space="preserve">” </w:t>
      </w:r>
      <w:r>
        <w:rPr>
          <w:rFonts w:ascii="Times New Roman;serif" w:hAnsi="Times New Roman;serif"/>
          <w:b w:val="false"/>
          <w:color w:val="000000"/>
          <w:sz w:val="24"/>
        </w:rPr>
        <w:t>shall mean the common stock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2.13    “</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shall have the meaning set forth in Article 1.</w:t>
      </w:r>
    </w:p>
    <w:p>
      <w:pPr>
        <w:pStyle w:val="TextBody"/>
        <w:bidi w:val="0"/>
        <w:spacing w:lineRule="auto" w:line="288" w:before="0" w:after="240"/>
        <w:ind w:left="0" w:right="0" w:firstLine="720"/>
        <w:jc w:val="both"/>
        <w:rPr/>
      </w:pPr>
      <w:r>
        <w:rPr>
          <w:rFonts w:ascii="Times New Roman;serif" w:hAnsi="Times New Roman;serif"/>
          <w:b w:val="false"/>
          <w:color w:val="000000"/>
          <w:sz w:val="24"/>
        </w:rPr>
        <w:t>2.14    “</w:t>
      </w:r>
      <w:r>
        <w:rPr>
          <w:rFonts w:ascii="Times New Roman;serif" w:hAnsi="Times New Roman;serif"/>
          <w:b w:val="false"/>
          <w:color w:val="000000"/>
          <w:sz w:val="24"/>
          <w:u w:val="single"/>
        </w:rPr>
        <w:t>Consultant</w:t>
      </w:r>
      <w:r>
        <w:rPr>
          <w:color w:val="000000"/>
        </w:rPr>
        <w:t xml:space="preserve">” </w:t>
      </w:r>
      <w:r>
        <w:rPr>
          <w:rFonts w:ascii="Times New Roman;serif" w:hAnsi="Times New Roman;serif"/>
          <w:b w:val="false"/>
          <w:color w:val="000000"/>
          <w:sz w:val="24"/>
        </w:rPr>
        <w:t>shall mean any consultant or adviser engaged to provide services to the Company or any Affiliate that qualifies as a consultant under the applicable rules of the Securities and Exchange Commission for registration of shares on a Form S-8 Registration Statement.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2.15    “</w:t>
      </w:r>
      <w:r>
        <w:rPr>
          <w:rFonts w:ascii="Times New Roman;serif" w:hAnsi="Times New Roman;serif"/>
          <w:b w:val="false"/>
          <w:color w:val="000000"/>
          <w:sz w:val="24"/>
          <w:u w:val="single"/>
        </w:rPr>
        <w:t>Covered Employee</w:t>
      </w:r>
      <w:r>
        <w:rPr>
          <w:color w:val="000000"/>
        </w:rPr>
        <w:t xml:space="preserve">” </w:t>
      </w:r>
      <w:r>
        <w:rPr>
          <w:rFonts w:ascii="Times New Roman;serif" w:hAnsi="Times New Roman;serif"/>
          <w:b w:val="false"/>
          <w:color w:val="000000"/>
          <w:sz w:val="24"/>
        </w:rPr>
        <w:t>shall mean any Employee who is, or could be, a “covered employee” within the meaning of Section 162(m) of the Code.</w:t>
      </w:r>
    </w:p>
    <w:p>
      <w:pPr>
        <w:pStyle w:val="TextBody"/>
        <w:bidi w:val="0"/>
        <w:spacing w:lineRule="auto" w:line="288" w:before="0" w:after="240"/>
        <w:ind w:left="0" w:right="0" w:firstLine="720"/>
        <w:jc w:val="both"/>
        <w:rPr/>
      </w:pPr>
      <w:r>
        <w:rPr>
          <w:rFonts w:ascii="Times New Roman;serif" w:hAnsi="Times New Roman;serif"/>
          <w:b w:val="false"/>
          <w:color w:val="000000"/>
          <w:sz w:val="24"/>
        </w:rPr>
        <w:t>2.16    “</w:t>
      </w:r>
      <w:r>
        <w:rPr>
          <w:rFonts w:ascii="Times New Roman;serif" w:hAnsi="Times New Roman;serif"/>
          <w:b w:val="false"/>
          <w:color w:val="000000"/>
          <w:sz w:val="24"/>
          <w:u w:val="single"/>
        </w:rPr>
        <w:t>Deferred Stock</w:t>
      </w:r>
      <w:r>
        <w:rPr>
          <w:color w:val="000000"/>
        </w:rPr>
        <w:t xml:space="preserve">” </w:t>
      </w:r>
      <w:r>
        <w:rPr>
          <w:rFonts w:ascii="Times New Roman;serif" w:hAnsi="Times New Roman;serif"/>
          <w:b w:val="false"/>
          <w:color w:val="000000"/>
          <w:sz w:val="24"/>
        </w:rPr>
        <w:t>shall mean a right to receive Shares awarded under Section 10.4.</w:t>
      </w:r>
    </w:p>
    <w:p>
      <w:pPr>
        <w:pStyle w:val="TextBody"/>
        <w:bidi w:val="0"/>
        <w:spacing w:lineRule="auto" w:line="288" w:before="0" w:after="240"/>
        <w:ind w:left="0" w:right="0" w:firstLine="720"/>
        <w:jc w:val="both"/>
        <w:rPr/>
      </w:pPr>
      <w:r>
        <w:rPr>
          <w:rFonts w:ascii="Times New Roman;serif" w:hAnsi="Times New Roman;serif"/>
          <w:b w:val="false"/>
          <w:color w:val="000000"/>
          <w:sz w:val="24"/>
        </w:rPr>
        <w:t>2.17    “</w:t>
      </w:r>
      <w:r>
        <w:rPr>
          <w:rFonts w:ascii="Times New Roman;serif" w:hAnsi="Times New Roman;serif"/>
          <w:b w:val="false"/>
          <w:color w:val="000000"/>
          <w:sz w:val="24"/>
          <w:u w:val="single"/>
        </w:rPr>
        <w:t>Deferred Stock Unit</w:t>
      </w:r>
      <w:r>
        <w:rPr>
          <w:color w:val="000000"/>
        </w:rPr>
        <w:t xml:space="preserve">” </w:t>
      </w:r>
      <w:r>
        <w:rPr>
          <w:rFonts w:ascii="Times New Roman;serif" w:hAnsi="Times New Roman;serif"/>
          <w:b w:val="false"/>
          <w:color w:val="000000"/>
          <w:sz w:val="24"/>
        </w:rPr>
        <w:t xml:space="preserve">shall mean a right to receive Shares awarded under Section 10.5. </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85445"/>
                <wp:effectExtent l="0" t="0" r="0" b="0"/>
                <wp:wrapNone/>
                <wp:docPr id="9" name="Frame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2.18    “</w:t>
      </w:r>
      <w:r>
        <w:rPr>
          <w:rFonts w:ascii="Times New Roman;serif" w:hAnsi="Times New Roman;serif"/>
          <w:b w:val="false"/>
          <w:color w:val="000000"/>
          <w:sz w:val="24"/>
          <w:u w:val="single"/>
        </w:rPr>
        <w:t>Director</w:t>
      </w:r>
      <w:r>
        <w:rPr>
          <w:color w:val="000000"/>
        </w:rPr>
        <w:t xml:space="preserve">” </w:t>
      </w:r>
      <w:r>
        <w:rPr>
          <w:rFonts w:ascii="Times New Roman;serif" w:hAnsi="Times New Roman;serif"/>
          <w:b w:val="false"/>
          <w:color w:val="000000"/>
          <w:sz w:val="24"/>
        </w:rPr>
        <w:t>shall mean a member of the Board, as constituted from time to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2.19    “</w:t>
      </w:r>
      <w:r>
        <w:rPr>
          <w:rFonts w:ascii="Times New Roman;serif" w:hAnsi="Times New Roman;serif"/>
          <w:b w:val="false"/>
          <w:color w:val="000000"/>
          <w:sz w:val="24"/>
          <w:u w:val="single"/>
        </w:rPr>
        <w:t>Dividend Equivalent</w:t>
      </w:r>
      <w:r>
        <w:rPr>
          <w:color w:val="000000"/>
        </w:rPr>
        <w:t xml:space="preserve">” </w:t>
      </w:r>
      <w:r>
        <w:rPr>
          <w:rFonts w:ascii="Times New Roman;serif" w:hAnsi="Times New Roman;serif"/>
          <w:b w:val="false"/>
          <w:color w:val="000000"/>
          <w:sz w:val="24"/>
        </w:rPr>
        <w:t>shall mean a right to receive the equivalent value (in cash or Shares) of dividends paid on Shares, awarded under Section 10.2.</w:t>
      </w:r>
    </w:p>
    <w:p>
      <w:pPr>
        <w:pStyle w:val="TextBody"/>
        <w:bidi w:val="0"/>
        <w:spacing w:lineRule="auto" w:line="288" w:before="0" w:after="240"/>
        <w:ind w:left="0" w:right="0" w:firstLine="720"/>
        <w:jc w:val="both"/>
        <w:rPr/>
      </w:pPr>
      <w:r>
        <w:rPr>
          <w:rFonts w:ascii="Times New Roman;serif" w:hAnsi="Times New Roman;serif"/>
          <w:b w:val="false"/>
          <w:color w:val="000000"/>
          <w:sz w:val="24"/>
        </w:rPr>
        <w:t>2.20    “</w:t>
      </w:r>
      <w:r>
        <w:rPr>
          <w:rFonts w:ascii="Times New Roman;serif" w:hAnsi="Times New Roman;serif"/>
          <w:b w:val="false"/>
          <w:color w:val="000000"/>
          <w:sz w:val="24"/>
          <w:u w:val="single"/>
        </w:rPr>
        <w:t>DRO</w:t>
      </w:r>
      <w:r>
        <w:rPr>
          <w:color w:val="000000"/>
        </w:rPr>
        <w:t xml:space="preserve">” </w:t>
      </w:r>
      <w:r>
        <w:rPr>
          <w:rFonts w:ascii="Times New Roman;serif" w:hAnsi="Times New Roman;serif"/>
          <w:b w:val="false"/>
          <w:color w:val="000000"/>
          <w:sz w:val="24"/>
        </w:rPr>
        <w:t xml:space="preserve">shall mean a domestic relations order as defined by the Code or Title I of the Employee Retirement Income Security Act of 1974, as amended from time to time, or the rules thereunder. </w:t>
      </w:r>
    </w:p>
    <w:p>
      <w:pPr>
        <w:pStyle w:val="TextBody"/>
        <w:bidi w:val="0"/>
        <w:spacing w:lineRule="auto" w:line="288" w:before="0" w:after="240"/>
        <w:ind w:left="0" w:right="0" w:firstLine="720"/>
        <w:jc w:val="both"/>
        <w:rPr/>
      </w:pPr>
      <w:r>
        <w:rPr>
          <w:rFonts w:ascii="Times New Roman;serif" w:hAnsi="Times New Roman;serif"/>
          <w:b w:val="false"/>
          <w:color w:val="000000"/>
          <w:sz w:val="24"/>
        </w:rPr>
        <w:t>2.21    “</w:t>
      </w:r>
      <w:r>
        <w:rPr>
          <w:rFonts w:ascii="Times New Roman;serif" w:hAnsi="Times New Roman;serif"/>
          <w:b w:val="false"/>
          <w:color w:val="000000"/>
          <w:sz w:val="24"/>
          <w:u w:val="single"/>
        </w:rPr>
        <w:t>Effective Date</w:t>
      </w:r>
      <w:r>
        <w:rPr>
          <w:color w:val="000000"/>
        </w:rPr>
        <w:t xml:space="preserve">” </w:t>
      </w:r>
      <w:r>
        <w:rPr>
          <w:rFonts w:ascii="Times New Roman;serif" w:hAnsi="Times New Roman;serif"/>
          <w:b w:val="false"/>
          <w:color w:val="000000"/>
          <w:sz w:val="24"/>
        </w:rPr>
        <w:t>shall mean the date the Plan is approved by the Board, subject to approval of the Plan by the Company’s stockholders.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2.22    “</w:t>
      </w:r>
      <w:r>
        <w:rPr>
          <w:rFonts w:ascii="Times New Roman;serif" w:hAnsi="Times New Roman;serif"/>
          <w:b w:val="false"/>
          <w:color w:val="000000"/>
          <w:sz w:val="24"/>
          <w:u w:val="single"/>
        </w:rPr>
        <w:t>Eligible Individual</w:t>
      </w:r>
      <w:r>
        <w:rPr>
          <w:color w:val="000000"/>
        </w:rPr>
        <w:t xml:space="preserve">” </w:t>
      </w:r>
      <w:r>
        <w:rPr>
          <w:rFonts w:ascii="Times New Roman;serif" w:hAnsi="Times New Roman;serif"/>
          <w:b w:val="false"/>
          <w:color w:val="000000"/>
          <w:sz w:val="24"/>
        </w:rPr>
        <w:t>shall mean any person who is an Employee, a Consultant or a Non-Employee Director, as determined by the Committee.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2.23    “</w:t>
      </w:r>
      <w:r>
        <w:rPr>
          <w:rFonts w:ascii="Times New Roman;serif" w:hAnsi="Times New Roman;serif"/>
          <w:b w:val="false"/>
          <w:color w:val="000000"/>
          <w:sz w:val="24"/>
          <w:u w:val="single"/>
        </w:rPr>
        <w:t>Employee</w:t>
      </w:r>
      <w:r>
        <w:rPr>
          <w:color w:val="000000"/>
        </w:rPr>
        <w:t xml:space="preserve">” </w:t>
      </w:r>
      <w:r>
        <w:rPr>
          <w:rFonts w:ascii="Times New Roman;serif" w:hAnsi="Times New Roman;serif"/>
          <w:b w:val="false"/>
          <w:color w:val="000000"/>
          <w:sz w:val="24"/>
        </w:rPr>
        <w:t>shall mean any officer or other employee (as determined in accordance with Section 3401(c) of the Code and the Treasury Regulations thereunder) of the Company or of any Affiliate.</w:t>
      </w:r>
    </w:p>
    <w:p>
      <w:pPr>
        <w:pStyle w:val="TextBody"/>
        <w:bidi w:val="0"/>
        <w:spacing w:lineRule="auto" w:line="288" w:before="0" w:after="240"/>
        <w:ind w:left="0" w:right="0" w:firstLine="900"/>
        <w:jc w:val="both"/>
        <w:rPr/>
      </w:pPr>
      <w:r>
        <w:rPr>
          <w:rFonts w:ascii="Times New Roman;serif" w:hAnsi="Times New Roman;serif"/>
          <w:b w:val="false"/>
          <w:color w:val="000000"/>
          <w:sz w:val="24"/>
        </w:rPr>
        <w:t>2.24    “</w:t>
      </w:r>
      <w:r>
        <w:rPr>
          <w:rFonts w:ascii="Times New Roman;serif" w:hAnsi="Times New Roman;serif"/>
          <w:b w:val="false"/>
          <w:color w:val="000000"/>
          <w:sz w:val="24"/>
          <w:u w:val="single"/>
        </w:rPr>
        <w:t>Equity Restructuring</w:t>
      </w:r>
      <w:r>
        <w:rPr>
          <w:color w:val="000000"/>
        </w:rPr>
        <w:t xml:space="preserve">” </w:t>
      </w:r>
      <w:r>
        <w:rPr>
          <w:rFonts w:ascii="Times New Roman;serif" w:hAnsi="Times New Roman;serif"/>
          <w:b w:val="false"/>
          <w:color w:val="000000"/>
          <w:sz w:val="24"/>
        </w:rPr>
        <w:t>shall mean a nonreciprocal transaction between the Company and its stockholders, such as a stock dividend, stock split, spin-off, rights offering or recapitalization, that affects the number or kind of Shares (or other securities of the Company) or the share price of Common Stock (or other securities) and causes a change in the per share value of the Common Stock underlying outstanding Awards.</w:t>
      </w:r>
    </w:p>
    <w:p>
      <w:pPr>
        <w:pStyle w:val="TextBody"/>
        <w:bidi w:val="0"/>
        <w:spacing w:lineRule="auto" w:line="288" w:before="0" w:after="240"/>
        <w:ind w:left="0" w:right="0" w:firstLine="720"/>
        <w:jc w:val="both"/>
        <w:rPr/>
      </w:pPr>
      <w:r>
        <w:rPr>
          <w:rFonts w:ascii="Times New Roman;serif" w:hAnsi="Times New Roman;serif"/>
          <w:b w:val="false"/>
          <w:color w:val="000000"/>
          <w:sz w:val="24"/>
        </w:rPr>
        <w:t>2.25    “</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shall mean the Securities Exchange Act of 1934, as amended from time to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2.26    “</w:t>
      </w:r>
      <w:r>
        <w:rPr>
          <w:rFonts w:ascii="Times New Roman;serif" w:hAnsi="Times New Roman;serif"/>
          <w:b w:val="false"/>
          <w:color w:val="000000"/>
          <w:sz w:val="24"/>
          <w:u w:val="single"/>
        </w:rPr>
        <w:t>Expiration Date</w:t>
      </w:r>
      <w:r>
        <w:rPr>
          <w:color w:val="000000"/>
        </w:rPr>
        <w:t xml:space="preserve">” </w:t>
      </w:r>
      <w:r>
        <w:rPr>
          <w:rFonts w:ascii="Times New Roman;serif" w:hAnsi="Times New Roman;serif"/>
          <w:b w:val="false"/>
          <w:color w:val="000000"/>
          <w:sz w:val="24"/>
        </w:rPr>
        <w:t>shall have the meaning set forth in Section 14.1.</w:t>
      </w:r>
    </w:p>
    <w:p>
      <w:pPr>
        <w:pStyle w:val="TextBody"/>
        <w:bidi w:val="0"/>
        <w:spacing w:lineRule="auto" w:line="288" w:before="0" w:after="240"/>
        <w:ind w:left="0" w:right="0" w:firstLine="720"/>
        <w:jc w:val="both"/>
        <w:rPr/>
      </w:pPr>
      <w:r>
        <w:rPr>
          <w:rFonts w:ascii="Times New Roman;serif" w:hAnsi="Times New Roman;serif"/>
          <w:b w:val="false"/>
          <w:color w:val="000000"/>
          <w:sz w:val="24"/>
        </w:rPr>
        <w:t>2.27    “</w:t>
      </w:r>
      <w:r>
        <w:rPr>
          <w:rFonts w:ascii="Times New Roman;serif" w:hAnsi="Times New Roman;serif"/>
          <w:b w:val="false"/>
          <w:color w:val="000000"/>
          <w:sz w:val="24"/>
          <w:u w:val="single"/>
        </w:rPr>
        <w:t>Fair Market Value</w:t>
      </w:r>
      <w:r>
        <w:rPr>
          <w:color w:val="000000"/>
        </w:rPr>
        <w:t xml:space="preserve">” </w:t>
      </w:r>
      <w:r>
        <w:rPr>
          <w:rFonts w:ascii="Times New Roman;serif" w:hAnsi="Times New Roman;serif"/>
          <w:b w:val="false"/>
          <w:color w:val="000000"/>
          <w:sz w:val="24"/>
        </w:rPr>
        <w:t>shall mean, as of any given date, the value of a Share determined as follows:</w:t>
      </w:r>
    </w:p>
    <w:p>
      <w:pPr>
        <w:pStyle w:val="TextBody"/>
        <w:bidi w:val="0"/>
        <w:spacing w:lineRule="auto" w:line="288" w:before="0" w:after="240"/>
        <w:ind w:left="0" w:right="0" w:firstLine="1260"/>
        <w:jc w:val="both"/>
        <w:rPr/>
      </w:pPr>
      <w:r>
        <w:rPr>
          <w:rFonts w:ascii="Times New Roman;serif" w:hAnsi="Times New Roman;serif"/>
          <w:b w:val="false"/>
          <w:color w:val="000000"/>
          <w:sz w:val="24"/>
        </w:rPr>
        <w:t xml:space="preserve">(a)    If the Common Stock is listed on any (i) established securities exchange (such as the New York Stock Exchange, the NASDAQ Global Market and the NASDAQ Global Select Market), (ii) national market system or (iii) automated quotation system on which the Shares are listed, quoted or traded, its Fair Market Value shall be the closing sales price for a Share as quoted on such exchange or system for such date or, if there is no closing sales price for a Share on the date in question, the closing sales price for a Share on the last preceding date for which such quotation exists, as reported in </w:t>
      </w:r>
      <w:r>
        <w:rPr>
          <w:rFonts w:ascii="Times New Roman;serif" w:hAnsi="Times New Roman;serif"/>
          <w:b w:val="false"/>
          <w:i/>
          <w:color w:val="000000"/>
          <w:sz w:val="24"/>
        </w:rPr>
        <w:t>The Wall Street Journal</w:t>
      </w:r>
      <w:r>
        <w:rPr>
          <w:color w:val="000000"/>
        </w:rPr>
        <w:t xml:space="preserve"> </w:t>
      </w:r>
      <w:r>
        <w:rPr>
          <w:rFonts w:ascii="Times New Roman;serif" w:hAnsi="Times New Roman;serif"/>
          <w:b w:val="false"/>
          <w:color w:val="000000"/>
          <w:sz w:val="24"/>
        </w:rPr>
        <w:t>or such other source as the Administrator deems reliable;</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 xml:space="preserve">(b)    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on such date, the high bid and low asked prices for a Share on the last preceding date for </w:t>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85445"/>
                <wp:effectExtent l="0" t="0" r="0" b="0"/>
                <wp:wrapNone/>
                <wp:docPr id="10" name="Frame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which such information exists, as reported in The Wall Street Journal or such other source as the Administrator deems reliable; or</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(c)    If the Common Stock is neither listed on an established securities exchange, national market system or automated quotation system nor regularly quoted by a recognized securities dealer, its Fair Market Value shall be established by the Administrator in good faith.</w:t>
      </w:r>
    </w:p>
    <w:p>
      <w:pPr>
        <w:pStyle w:val="TextBody"/>
        <w:bidi w:val="0"/>
        <w:spacing w:lineRule="auto" w:line="288" w:before="0" w:after="240"/>
        <w:ind w:left="0" w:right="0" w:firstLine="720"/>
        <w:jc w:val="both"/>
        <w:rPr/>
      </w:pPr>
      <w:r>
        <w:rPr>
          <w:rFonts w:ascii="Times New Roman;serif" w:hAnsi="Times New Roman;serif"/>
          <w:b w:val="false"/>
          <w:color w:val="000000"/>
          <w:sz w:val="24"/>
        </w:rPr>
        <w:t>2.28    “</w:t>
      </w:r>
      <w:r>
        <w:rPr>
          <w:rFonts w:ascii="Times New Roman;serif" w:hAnsi="Times New Roman;serif"/>
          <w:b w:val="false"/>
          <w:color w:val="000000"/>
          <w:sz w:val="24"/>
          <w:u w:val="single"/>
        </w:rPr>
        <w:t>Greater Than 10% Stockholder</w:t>
      </w:r>
      <w:r>
        <w:rPr>
          <w:color w:val="000000"/>
        </w:rPr>
        <w:t xml:space="preserve">” </w:t>
      </w:r>
      <w:r>
        <w:rPr>
          <w:rFonts w:ascii="Times New Roman;serif" w:hAnsi="Times New Roman;serif"/>
          <w:b w:val="false"/>
          <w:color w:val="000000"/>
          <w:sz w:val="24"/>
        </w:rPr>
        <w:t>shall mean an individual then owning (within the meaning of Section 424(d) of the Code) more than 10% of the total combined voting power of all classes of stock of the Company or any subsidiary corporation (as defined in Section 424(f) of the Code) or parent corporation thereof (as defined in Section 424(e) of the Code).</w:t>
      </w:r>
    </w:p>
    <w:p>
      <w:pPr>
        <w:pStyle w:val="TextBody"/>
        <w:bidi w:val="0"/>
        <w:spacing w:lineRule="auto" w:line="288" w:before="0" w:after="240"/>
        <w:ind w:left="0" w:right="0" w:firstLine="720"/>
        <w:jc w:val="both"/>
        <w:rPr/>
      </w:pPr>
      <w:r>
        <w:rPr>
          <w:rFonts w:ascii="Times New Roman;serif" w:hAnsi="Times New Roman;serif"/>
          <w:b w:val="false"/>
          <w:color w:val="000000"/>
          <w:sz w:val="24"/>
        </w:rPr>
        <w:t>2.29    “</w:t>
      </w:r>
      <w:r>
        <w:rPr>
          <w:rFonts w:ascii="Times New Roman;serif" w:hAnsi="Times New Roman;serif"/>
          <w:b w:val="false"/>
          <w:color w:val="000000"/>
          <w:sz w:val="24"/>
          <w:u w:val="single"/>
        </w:rPr>
        <w:t>Holder</w:t>
      </w:r>
      <w:r>
        <w:rPr>
          <w:color w:val="000000"/>
        </w:rPr>
        <w:t xml:space="preserve">” </w:t>
      </w:r>
      <w:r>
        <w:rPr>
          <w:rFonts w:ascii="Times New Roman;serif" w:hAnsi="Times New Roman;serif"/>
          <w:b w:val="false"/>
          <w:color w:val="000000"/>
          <w:sz w:val="24"/>
        </w:rPr>
        <w:t>shall mean a person who has been granted an Award.</w:t>
      </w:r>
    </w:p>
    <w:p>
      <w:pPr>
        <w:pStyle w:val="TextBody"/>
        <w:bidi w:val="0"/>
        <w:spacing w:lineRule="auto" w:line="288" w:before="0" w:after="240"/>
        <w:ind w:left="0" w:right="0" w:firstLine="720"/>
        <w:jc w:val="both"/>
        <w:rPr/>
      </w:pPr>
      <w:r>
        <w:rPr>
          <w:rFonts w:ascii="Times New Roman;serif" w:hAnsi="Times New Roman;serif"/>
          <w:b w:val="false"/>
          <w:color w:val="000000"/>
          <w:sz w:val="24"/>
        </w:rPr>
        <w:t>2.30    “</w:t>
      </w:r>
      <w:r>
        <w:rPr>
          <w:rFonts w:ascii="Times New Roman;serif" w:hAnsi="Times New Roman;serif"/>
          <w:b w:val="false"/>
          <w:color w:val="000000"/>
          <w:sz w:val="24"/>
          <w:u w:val="single"/>
        </w:rPr>
        <w:t>Incentive Stock Option</w:t>
      </w:r>
      <w:r>
        <w:rPr>
          <w:color w:val="000000"/>
        </w:rPr>
        <w:t xml:space="preserve">” </w:t>
      </w:r>
      <w:r>
        <w:rPr>
          <w:rFonts w:ascii="Times New Roman;serif" w:hAnsi="Times New Roman;serif"/>
          <w:b w:val="false"/>
          <w:color w:val="000000"/>
          <w:sz w:val="24"/>
        </w:rPr>
        <w:t>shall mean an Option that is intended to qualify as an incentive stock option and conforms to the applicable provisions of Section 422 of the Code.</w:t>
      </w:r>
    </w:p>
    <w:p>
      <w:pPr>
        <w:pStyle w:val="TextBody"/>
        <w:bidi w:val="0"/>
        <w:spacing w:lineRule="auto" w:line="288" w:before="0" w:after="240"/>
        <w:ind w:left="0" w:right="0" w:firstLine="720"/>
        <w:jc w:val="both"/>
        <w:rPr/>
      </w:pPr>
      <w:r>
        <w:rPr>
          <w:rFonts w:ascii="Times New Roman;serif" w:hAnsi="Times New Roman;serif"/>
          <w:b w:val="false"/>
          <w:color w:val="000000"/>
          <w:sz w:val="24"/>
        </w:rPr>
        <w:t>2.31     “</w:t>
      </w:r>
      <w:r>
        <w:rPr>
          <w:rFonts w:ascii="Times New Roman;serif" w:hAnsi="Times New Roman;serif"/>
          <w:b w:val="false"/>
          <w:color w:val="000000"/>
          <w:sz w:val="24"/>
          <w:u w:val="single"/>
        </w:rPr>
        <w:t>Non-Employee Director</w:t>
      </w:r>
      <w:r>
        <w:rPr>
          <w:color w:val="000000"/>
        </w:rPr>
        <w:t xml:space="preserve">” </w:t>
      </w:r>
      <w:r>
        <w:rPr>
          <w:rFonts w:ascii="Times New Roman;serif" w:hAnsi="Times New Roman;serif"/>
          <w:b w:val="false"/>
          <w:color w:val="000000"/>
          <w:sz w:val="24"/>
        </w:rPr>
        <w:t>shall mean a Director of the Company who is not an Employee.</w:t>
      </w:r>
    </w:p>
    <w:p>
      <w:pPr>
        <w:pStyle w:val="TextBody"/>
        <w:bidi w:val="0"/>
        <w:spacing w:lineRule="auto" w:line="288" w:before="0" w:after="240"/>
        <w:ind w:left="0" w:right="0" w:firstLine="720"/>
        <w:jc w:val="both"/>
        <w:rPr/>
      </w:pPr>
      <w:r>
        <w:rPr>
          <w:rFonts w:ascii="Times New Roman;serif" w:hAnsi="Times New Roman;serif"/>
          <w:b w:val="false"/>
          <w:color w:val="000000"/>
          <w:sz w:val="24"/>
        </w:rPr>
        <w:t>2.32    “</w:t>
      </w:r>
      <w:r>
        <w:rPr>
          <w:rFonts w:ascii="Times New Roman;serif" w:hAnsi="Times New Roman;serif"/>
          <w:b w:val="false"/>
          <w:color w:val="000000"/>
          <w:sz w:val="24"/>
          <w:u w:val="single"/>
        </w:rPr>
        <w:t>Non-Employee Director Equity Compensation Policy</w:t>
      </w:r>
      <w:r>
        <w:rPr>
          <w:color w:val="000000"/>
        </w:rPr>
        <w:t xml:space="preserve">” </w:t>
      </w:r>
      <w:r>
        <w:rPr>
          <w:rFonts w:ascii="Times New Roman;serif" w:hAnsi="Times New Roman;serif"/>
          <w:b w:val="false"/>
          <w:color w:val="000000"/>
          <w:sz w:val="24"/>
        </w:rPr>
        <w:t>shall have the meaning set forth in Section 4.6.</w:t>
      </w:r>
      <w:r>
        <w:rPr>
          <w:color w:val="000000"/>
          <w:u w:val="single"/>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2.33    “</w:t>
      </w:r>
      <w:r>
        <w:rPr>
          <w:rFonts w:ascii="Times New Roman;serif" w:hAnsi="Times New Roman;serif"/>
          <w:b w:val="false"/>
          <w:color w:val="000000"/>
          <w:sz w:val="24"/>
          <w:u w:val="single"/>
        </w:rPr>
        <w:t>Non-Qualified Stock Option</w:t>
      </w:r>
      <w:r>
        <w:rPr>
          <w:color w:val="000000"/>
        </w:rPr>
        <w:t xml:space="preserve">” </w:t>
      </w:r>
      <w:r>
        <w:rPr>
          <w:rFonts w:ascii="Times New Roman;serif" w:hAnsi="Times New Roman;serif"/>
          <w:b w:val="false"/>
          <w:color w:val="000000"/>
          <w:sz w:val="24"/>
        </w:rPr>
        <w:t>shall mean an Option that is not an Incentive Stock Option.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2.34    “</w:t>
      </w:r>
      <w:r>
        <w:rPr>
          <w:rFonts w:ascii="Times New Roman;serif" w:hAnsi="Times New Roman;serif"/>
          <w:b w:val="false"/>
          <w:color w:val="000000"/>
          <w:sz w:val="24"/>
          <w:u w:val="single"/>
        </w:rPr>
        <w:t>Option</w:t>
      </w:r>
      <w:r>
        <w:rPr>
          <w:color w:val="000000"/>
        </w:rPr>
        <w:t xml:space="preserve">” </w:t>
      </w:r>
      <w:r>
        <w:rPr>
          <w:rFonts w:ascii="Times New Roman;serif" w:hAnsi="Times New Roman;serif"/>
          <w:b w:val="false"/>
          <w:color w:val="000000"/>
          <w:sz w:val="24"/>
        </w:rPr>
        <w:t xml:space="preserve">shall mean a right to purchase Shares at a specified exercise price, granted under Article 6. An Option shall be either a Non-Qualified Stock Option or an Incentive Stock Option;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Options granted to Non-Employee Directors and Consultants shall only be Non-Qualified Stock Options.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2.35    “</w:t>
      </w:r>
      <w:r>
        <w:rPr>
          <w:rFonts w:ascii="Times New Roman;serif" w:hAnsi="Times New Roman;serif"/>
          <w:b w:val="false"/>
          <w:color w:val="000000"/>
          <w:sz w:val="24"/>
          <w:u w:val="single"/>
        </w:rPr>
        <w:t>Option Term</w:t>
      </w:r>
      <w:r>
        <w:rPr>
          <w:color w:val="000000"/>
        </w:rPr>
        <w:t xml:space="preserve">” </w:t>
      </w:r>
      <w:r>
        <w:rPr>
          <w:rFonts w:ascii="Times New Roman;serif" w:hAnsi="Times New Roman;serif"/>
          <w:b w:val="false"/>
          <w:color w:val="000000"/>
          <w:sz w:val="24"/>
        </w:rPr>
        <w:t>shall have the meaning set forth in Section 6.4.</w:t>
      </w:r>
    </w:p>
    <w:p>
      <w:pPr>
        <w:pStyle w:val="TextBody"/>
        <w:bidi w:val="0"/>
        <w:spacing w:lineRule="auto" w:line="288" w:before="0" w:after="240"/>
        <w:ind w:left="0" w:right="0" w:firstLine="720"/>
        <w:jc w:val="both"/>
        <w:rPr/>
      </w:pPr>
      <w:r>
        <w:rPr>
          <w:rFonts w:ascii="Times New Roman;serif" w:hAnsi="Times New Roman;serif"/>
          <w:b w:val="false"/>
          <w:color w:val="000000"/>
          <w:sz w:val="24"/>
        </w:rPr>
        <w:t>2.36    “</w:t>
      </w:r>
      <w:r>
        <w:rPr>
          <w:rFonts w:ascii="Times New Roman;serif" w:hAnsi="Times New Roman;serif"/>
          <w:b w:val="false"/>
          <w:color w:val="000000"/>
          <w:sz w:val="24"/>
          <w:u w:val="single"/>
        </w:rPr>
        <w:t>Parent</w:t>
      </w:r>
      <w:r>
        <w:rPr>
          <w:color w:val="000000"/>
        </w:rPr>
        <w:t xml:space="preserve">” </w:t>
      </w:r>
      <w:r>
        <w:rPr>
          <w:rFonts w:ascii="Times New Roman;serif" w:hAnsi="Times New Roman;serif"/>
          <w:b w:val="false"/>
          <w:color w:val="000000"/>
          <w:sz w:val="24"/>
        </w:rPr>
        <w:t>shall mean any entity (other than the Company), whether domestic or foreign, in an unbroken chain of entities ending with the Company if each of the entities other than the Company beneficially owns, at the time of the determination, securities or interests representing at least fifty percent (50%) of the total combined voting power of all classes of securities or interests in one of the other entities in such chain.</w:t>
      </w:r>
    </w:p>
    <w:p>
      <w:pPr>
        <w:pStyle w:val="TextBody"/>
        <w:bidi w:val="0"/>
        <w:spacing w:lineRule="auto" w:line="288" w:before="0" w:after="240"/>
        <w:ind w:left="0" w:right="0" w:firstLine="720"/>
        <w:jc w:val="both"/>
        <w:rPr/>
      </w:pPr>
      <w:r>
        <w:rPr>
          <w:rFonts w:ascii="Times New Roman;serif" w:hAnsi="Times New Roman;serif"/>
          <w:b w:val="false"/>
          <w:color w:val="000000"/>
          <w:sz w:val="24"/>
        </w:rPr>
        <w:t>2.37    “</w:t>
      </w:r>
      <w:r>
        <w:rPr>
          <w:rFonts w:ascii="Times New Roman;serif" w:hAnsi="Times New Roman;serif"/>
          <w:b w:val="false"/>
          <w:color w:val="000000"/>
          <w:sz w:val="24"/>
          <w:u w:val="single"/>
        </w:rPr>
        <w:t>Performance Award</w:t>
      </w:r>
      <w:r>
        <w:rPr>
          <w:color w:val="000000"/>
        </w:rPr>
        <w:t xml:space="preserve">” </w:t>
      </w:r>
      <w:r>
        <w:rPr>
          <w:rFonts w:ascii="Times New Roman;serif" w:hAnsi="Times New Roman;serif"/>
          <w:b w:val="false"/>
          <w:color w:val="000000"/>
          <w:sz w:val="24"/>
        </w:rPr>
        <w:t>shall mean a cash bonus award, stock bonus award, performance award or incentive award that is paid in cash, Shares or a combination of both, awarded under Section 10.1.</w:t>
      </w:r>
    </w:p>
    <w:p>
      <w:pPr>
        <w:pStyle w:val="TextBody"/>
        <w:bidi w:val="0"/>
        <w:spacing w:lineRule="auto" w:line="288" w:before="0" w:after="240"/>
        <w:ind w:left="0" w:right="0" w:firstLine="720"/>
        <w:jc w:val="both"/>
        <w:rPr/>
      </w:pPr>
      <w:r>
        <w:rPr>
          <w:rFonts w:ascii="Times New Roman;serif" w:hAnsi="Times New Roman;serif"/>
          <w:b w:val="false"/>
          <w:color w:val="000000"/>
          <w:sz w:val="24"/>
        </w:rPr>
        <w:t>2.38    “</w:t>
      </w:r>
      <w:r>
        <w:rPr>
          <w:rFonts w:ascii="Times New Roman;serif" w:hAnsi="Times New Roman;serif"/>
          <w:b w:val="false"/>
          <w:color w:val="000000"/>
          <w:sz w:val="24"/>
          <w:u w:val="single"/>
        </w:rPr>
        <w:t>Performance-Based Compensation</w:t>
      </w:r>
      <w:r>
        <w:rPr>
          <w:color w:val="000000"/>
        </w:rPr>
        <w:t xml:space="preserve">” </w:t>
      </w:r>
      <w:r>
        <w:rPr>
          <w:rFonts w:ascii="Times New Roman;serif" w:hAnsi="Times New Roman;serif"/>
          <w:b w:val="false"/>
          <w:color w:val="000000"/>
          <w:sz w:val="24"/>
        </w:rPr>
        <w:t>shall mean any compensation that is intended to qualify as “performance-based compensation” as described in Section 162(m)(4)(C) of the Code.</w:t>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85445"/>
                <wp:effectExtent l="0" t="0" r="0" b="0"/>
                <wp:wrapNone/>
                <wp:docPr id="11" name="Frame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2.39    “</w:t>
      </w:r>
      <w:r>
        <w:rPr>
          <w:rFonts w:ascii="Times New Roman;serif" w:hAnsi="Times New Roman;serif"/>
          <w:b w:val="false"/>
          <w:color w:val="000000"/>
          <w:sz w:val="24"/>
          <w:u w:val="single"/>
        </w:rPr>
        <w:t>Performance Criteria</w:t>
      </w:r>
      <w:r>
        <w:rPr>
          <w:color w:val="000000"/>
        </w:rPr>
        <w:t xml:space="preserve">” </w:t>
      </w:r>
      <w:r>
        <w:rPr>
          <w:rFonts w:ascii="Times New Roman;serif" w:hAnsi="Times New Roman;serif"/>
          <w:b w:val="false"/>
          <w:color w:val="000000"/>
          <w:sz w:val="24"/>
        </w:rPr>
        <w:t>shall mean the criteria (and adjustments) that the Committee selects for an Award for purposes of establishing the Performance Goal or Performance Goals for a Performance Period, determined as follows: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 Performance Criteria that shall be used to establish Performance Goals are limited to the following: (i) operating income (either before or after one or more of the following (a) depreciation, (b) amortization, (c) pre-opening costs, (d) property charges and other corporate expenses, (e) intercompany golf course and water rights leases, (f) stock-based compensation, (g) triple-net operating lease rent-expense related to Encore Boston Harbor, and (h) other non-operating income), (ii) adjusted property EBITDAR defined as earnings before interest, taxes, depreciation, amortization, pre-opening costs, property charges and other, corporate expenses, intercompany golf course and water rights leases, stock-based compensation, triple-net operating lease rent-expense related to Encore Boston Harbor, and other non-operating income and expenses, and includes equity in income from unconsolidated affiliates, (iii) normalized adjusted property EBITDAR, (iv) income before income tax, (v) net income (either before or after net income attributable to non-controlling shareholdings) and adjusted net income, (vi) basic or diluted income per share of common stock and adjusted basic or diluted income per share of common stock, (vii) net revenue, (viii) cash flow (including, but not limited to, cash flow from operations, actual or free cash flow), (ix) return on assets, return on capital, return on stockholders’ equity and total stockholder return, return on sales, (x) operating margins or adjusted property EBITDAR margins, (xi) departmental profit contributions (xii) costs and expenses management, (xiii) working capital management, (xiv) cash conversion cycle, (xv) weighted average cost of capital, (xvi) maintenance of leverage targets, (xvii) dividend payout ratio, (xviii) dividend growth, (xix) price per share of common stock, (xx) economic value, (xxi) productivity ratios, (xxii) market share, (xxiii) objective measure of customer satisfaction, (xxiv) implementation or completion of critical projects, (xxv) achievement of construction or development milestones, (xxvi) achievement of strategic objectives (including development activity), (xxvii) completion of capital markets transactions, (xxviii) maintenance or achievement of corporate rating targets and (xxix) third party recognition of quality of service and/or product (e.g. Forbes star awards or similar); any of which may be measured either in absolute terms or as compared to any incremental increase or decrease or as compared to results of a peer group or to market performance indicators or indices.</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 xml:space="preserve">(b)    The Administrator may, in its sole discretion, provide that one or more objectively determinable adjustments shall be made to one or more of the Performance Goals. Such adjustments may include one or more of the following: (i) items related to a change in accounting principle; (ii) items relating to financing activities; (iii) expenses for restructuring or productivity initiatives; (iv) other non-operating items; (v) items related to acquisitions; (vi) items attributable to the business operations of any entity acquired by the Company during the Performance Period; (vii) items related to the disposal of a business or segment of a business; (viii) items related to discontinued operations that do not qualify as a segment of a business under Applicable Accounting Standards; (ix) items attributable to any stock dividend, stock split, combination or exchange of stock occurring during the Performance Period; (x) any other items of significant income or expense which are determined to be appropriate adjustments; (xi) items relating to unusual or extraordinary corporate transactions, events or developments, (xii) </w:t>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85445"/>
                <wp:effectExtent l="0" t="0" r="0" b="0"/>
                <wp:wrapNone/>
                <wp:docPr id="12" name="Frame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items related to amortization of acquired intangible assets; (xiii) items that are outside the scope of the Company’s core, on-going business activities; (xiv) items related to acquired in-process research and development; (xv) items relating to changes in tax laws; (xvi) items relating to major licensing or partnership arrangements; (xvii) items relating to asset impairment charges; (xviii) items relating to gains or losses for litigation, arbitration and contractual settlements; or (xix) items relating to any other unusual or nonrecurring events or changes in Applicable Law, accounting principles or business conditions. For all Awards intended to qualify as Performance-Based Compensation, such determinations shall be made within the time prescribed by, and otherwise in compliance with, Section 162(m) of the Code.</w:t>
      </w:r>
    </w:p>
    <w:p>
      <w:pPr>
        <w:pStyle w:val="TextBody"/>
        <w:bidi w:val="0"/>
        <w:spacing w:lineRule="auto" w:line="288" w:before="0" w:after="240"/>
        <w:ind w:left="0" w:right="0" w:firstLine="720"/>
        <w:jc w:val="both"/>
        <w:rPr/>
      </w:pPr>
      <w:r>
        <w:rPr>
          <w:rFonts w:ascii="Times New Roman;serif" w:hAnsi="Times New Roman;serif"/>
          <w:b w:val="false"/>
          <w:color w:val="000000"/>
          <w:sz w:val="24"/>
        </w:rPr>
        <w:t>2.40    “</w:t>
      </w:r>
      <w:r>
        <w:rPr>
          <w:rFonts w:ascii="Times New Roman;serif" w:hAnsi="Times New Roman;serif"/>
          <w:b w:val="false"/>
          <w:color w:val="000000"/>
          <w:sz w:val="24"/>
          <w:u w:val="single"/>
        </w:rPr>
        <w:t>Performance Goals</w:t>
      </w:r>
      <w:r>
        <w:rPr>
          <w:color w:val="000000"/>
        </w:rPr>
        <w:t xml:space="preserve">” </w:t>
      </w:r>
      <w:r>
        <w:rPr>
          <w:rFonts w:ascii="Times New Roman;serif" w:hAnsi="Times New Roman;serif"/>
          <w:b w:val="false"/>
          <w:color w:val="000000"/>
          <w:sz w:val="24"/>
        </w:rPr>
        <w:t>shall mean, for a Performance Period, one or more goals established in writing by the Administrator for the Performance Period based upon one or more Performance Criteria. Depending on the Performance Criteria used to establish such Performance Goals, the Performance Goals may be expressed in terms of overall Company performance or the performance of a Subsidiary, division, business unit or an individual. The achievement of each Performance Goal shall be determined, to the extent applicable, with reference to Applicable Accounting Standards.</w:t>
      </w:r>
    </w:p>
    <w:p>
      <w:pPr>
        <w:pStyle w:val="TextBody"/>
        <w:bidi w:val="0"/>
        <w:spacing w:lineRule="auto" w:line="288" w:before="0" w:after="240"/>
        <w:ind w:left="0" w:right="0" w:firstLine="720"/>
        <w:jc w:val="both"/>
        <w:rPr/>
      </w:pPr>
      <w:r>
        <w:rPr>
          <w:rFonts w:ascii="Times New Roman;serif" w:hAnsi="Times New Roman;serif"/>
          <w:b w:val="false"/>
          <w:color w:val="000000"/>
          <w:sz w:val="24"/>
        </w:rPr>
        <w:t>2.41    “</w:t>
      </w:r>
      <w:r>
        <w:rPr>
          <w:rFonts w:ascii="Times New Roman;serif" w:hAnsi="Times New Roman;serif"/>
          <w:b w:val="false"/>
          <w:color w:val="000000"/>
          <w:sz w:val="24"/>
          <w:u w:val="single"/>
        </w:rPr>
        <w:t>Performance Period</w:t>
      </w:r>
      <w:r>
        <w:rPr>
          <w:color w:val="000000"/>
        </w:rPr>
        <w:t xml:space="preserve">” </w:t>
      </w:r>
      <w:r>
        <w:rPr>
          <w:rFonts w:ascii="Times New Roman;serif" w:hAnsi="Times New Roman;serif"/>
          <w:b w:val="false"/>
          <w:color w:val="000000"/>
          <w:sz w:val="24"/>
        </w:rPr>
        <w:t>shall mean one or more periods of time, which may be of varying and overlapping durations, as the Administrator may select, over which the attainment of one or more Performance Goals will be measured for the purpose of determining a Holder’s right to, and the payment of, an Award.</w:t>
      </w:r>
    </w:p>
    <w:p>
      <w:pPr>
        <w:pStyle w:val="TextBody"/>
        <w:bidi w:val="0"/>
        <w:spacing w:lineRule="auto" w:line="288" w:before="0" w:after="240"/>
        <w:ind w:left="0" w:right="0" w:firstLine="720"/>
        <w:jc w:val="both"/>
        <w:rPr/>
      </w:pPr>
      <w:r>
        <w:rPr>
          <w:rFonts w:ascii="Times New Roman;serif" w:hAnsi="Times New Roman;serif"/>
          <w:b w:val="false"/>
          <w:color w:val="000000"/>
          <w:sz w:val="24"/>
        </w:rPr>
        <w:t>2.42    “</w:t>
      </w:r>
      <w:r>
        <w:rPr>
          <w:rFonts w:ascii="Times New Roman;serif" w:hAnsi="Times New Roman;serif"/>
          <w:b w:val="false"/>
          <w:color w:val="000000"/>
          <w:sz w:val="24"/>
          <w:u w:val="single"/>
        </w:rPr>
        <w:t>Performance Stock Unit</w:t>
      </w:r>
      <w:r>
        <w:rPr>
          <w:color w:val="000000"/>
        </w:rPr>
        <w:t xml:space="preserve">” </w:t>
      </w:r>
      <w:r>
        <w:rPr>
          <w:rFonts w:ascii="Times New Roman;serif" w:hAnsi="Times New Roman;serif"/>
          <w:b w:val="false"/>
          <w:color w:val="000000"/>
          <w:sz w:val="24"/>
        </w:rPr>
        <w:t>shall mean a Performance Award awarded under Section 10.1 which is denominated in units of value including dollar value of Shares.</w:t>
      </w:r>
    </w:p>
    <w:p>
      <w:pPr>
        <w:pStyle w:val="TextBody"/>
        <w:bidi w:val="0"/>
        <w:spacing w:lineRule="auto" w:line="288" w:before="0" w:after="240"/>
        <w:ind w:left="0" w:right="0" w:firstLine="720"/>
        <w:jc w:val="both"/>
        <w:rPr/>
      </w:pPr>
      <w:r>
        <w:rPr>
          <w:rFonts w:ascii="Times New Roman;serif" w:hAnsi="Times New Roman;serif"/>
          <w:b w:val="false"/>
          <w:color w:val="000000"/>
          <w:sz w:val="24"/>
        </w:rPr>
        <w:t>2.43    “</w:t>
      </w:r>
      <w:r>
        <w:rPr>
          <w:rFonts w:ascii="Times New Roman;serif" w:hAnsi="Times New Roman;serif"/>
          <w:b w:val="false"/>
          <w:color w:val="000000"/>
          <w:sz w:val="24"/>
          <w:u w:val="single"/>
        </w:rPr>
        <w:t>Permitted Transferee</w:t>
      </w:r>
      <w:r>
        <w:rPr>
          <w:color w:val="000000"/>
        </w:rPr>
        <w:t xml:space="preserve">” </w:t>
      </w:r>
      <w:r>
        <w:rPr>
          <w:rFonts w:ascii="Times New Roman;serif" w:hAnsi="Times New Roman;serif"/>
          <w:b w:val="false"/>
          <w:color w:val="000000"/>
          <w:sz w:val="24"/>
        </w:rPr>
        <w:t>shall mean, with respect to a Holder, any “family member” of the Holder, as defined under the instructions to use the Form S-8 Registration Statement under the Securities Act, or any other transferee specifically approved by the Administrator, after taking into account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2.44     “</w:t>
      </w:r>
      <w:r>
        <w:rPr>
          <w:rFonts w:ascii="Times New Roman;serif" w:hAnsi="Times New Roman;serif"/>
          <w:b w:val="false"/>
          <w:color w:val="000000"/>
          <w:sz w:val="24"/>
          <w:u w:val="single"/>
        </w:rPr>
        <w:t>Plan</w:t>
      </w:r>
      <w:r>
        <w:rPr>
          <w:color w:val="000000"/>
        </w:rPr>
        <w:t xml:space="preserve">” </w:t>
      </w:r>
      <w:r>
        <w:rPr>
          <w:rFonts w:ascii="Times New Roman;serif" w:hAnsi="Times New Roman;serif"/>
          <w:b w:val="false"/>
          <w:color w:val="000000"/>
          <w:sz w:val="24"/>
        </w:rPr>
        <w:t>shall have the meaning set forth in Article 1.</w:t>
      </w:r>
    </w:p>
    <w:p>
      <w:pPr>
        <w:pStyle w:val="TextBody"/>
        <w:bidi w:val="0"/>
        <w:spacing w:lineRule="auto" w:line="288" w:before="0" w:after="240"/>
        <w:ind w:left="0" w:right="0" w:firstLine="720"/>
        <w:jc w:val="both"/>
        <w:rPr/>
      </w:pPr>
      <w:r>
        <w:rPr>
          <w:rFonts w:ascii="Times New Roman;serif" w:hAnsi="Times New Roman;serif"/>
          <w:b w:val="false"/>
          <w:color w:val="000000"/>
          <w:sz w:val="24"/>
        </w:rPr>
        <w:t>2.45    “</w:t>
      </w:r>
      <w:r>
        <w:rPr>
          <w:rFonts w:ascii="Times New Roman;serif" w:hAnsi="Times New Roman;serif"/>
          <w:b w:val="false"/>
          <w:color w:val="000000"/>
          <w:sz w:val="24"/>
          <w:u w:val="single"/>
        </w:rPr>
        <w:t>Prior Plan</w:t>
      </w:r>
      <w:r>
        <w:rPr>
          <w:color w:val="000000"/>
        </w:rPr>
        <w:t xml:space="preserve">” </w:t>
      </w:r>
      <w:r>
        <w:rPr>
          <w:rFonts w:ascii="Times New Roman;serif" w:hAnsi="Times New Roman;serif"/>
          <w:b w:val="false"/>
          <w:color w:val="000000"/>
          <w:sz w:val="24"/>
        </w:rPr>
        <w:t>shall mean the Amended and Restated Wynn Resorts, Limited 2002 Stock Incentive Plan, as may be amended from time to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2.46    “</w:t>
      </w:r>
      <w:r>
        <w:rPr>
          <w:rFonts w:ascii="Times New Roman;serif" w:hAnsi="Times New Roman;serif"/>
          <w:b w:val="false"/>
          <w:color w:val="000000"/>
          <w:sz w:val="24"/>
          <w:u w:val="single"/>
        </w:rPr>
        <w:t>Program</w:t>
      </w:r>
      <w:r>
        <w:rPr>
          <w:color w:val="000000"/>
        </w:rPr>
        <w:t xml:space="preserve">” </w:t>
      </w:r>
      <w:r>
        <w:rPr>
          <w:rFonts w:ascii="Times New Roman;serif" w:hAnsi="Times New Roman;serif"/>
          <w:b w:val="false"/>
          <w:color w:val="000000"/>
          <w:sz w:val="24"/>
        </w:rPr>
        <w:t>shall mean any program adopted by the Administrator pursuant to the Plan containing the terms and conditions intended to govern a specified type of Award granted under the Plan and pursuant to which such type of Award may be granted under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2.47    “</w:t>
      </w:r>
      <w:r>
        <w:rPr>
          <w:rFonts w:ascii="Times New Roman;serif" w:hAnsi="Times New Roman;serif"/>
          <w:b w:val="false"/>
          <w:color w:val="000000"/>
          <w:sz w:val="24"/>
          <w:u w:val="single"/>
        </w:rPr>
        <w:t>Restricted Stock</w:t>
      </w:r>
      <w:r>
        <w:rPr>
          <w:color w:val="000000"/>
        </w:rPr>
        <w:t xml:space="preserve">” </w:t>
      </w:r>
      <w:r>
        <w:rPr>
          <w:rFonts w:ascii="Times New Roman;serif" w:hAnsi="Times New Roman;serif"/>
          <w:b w:val="false"/>
          <w:color w:val="000000"/>
          <w:sz w:val="24"/>
        </w:rPr>
        <w:t>shall mean Common Stock awarded under Article 8 that is subject to certain restrictions and may be subject to risk of forfeiture or repurchase.</w:t>
      </w:r>
    </w:p>
    <w:p>
      <w:pPr>
        <w:pStyle w:val="TextBody"/>
        <w:bidi w:val="0"/>
        <w:spacing w:lineRule="auto" w:line="288" w:before="0" w:after="240"/>
        <w:ind w:left="0" w:right="0" w:firstLine="720"/>
        <w:jc w:val="both"/>
        <w:rPr/>
      </w:pPr>
      <w:r>
        <w:rPr>
          <w:rFonts w:ascii="Times New Roman;serif" w:hAnsi="Times New Roman;serif"/>
          <w:b w:val="false"/>
          <w:color w:val="000000"/>
          <w:sz w:val="24"/>
        </w:rPr>
        <w:t>2.48    “</w:t>
      </w:r>
      <w:r>
        <w:rPr>
          <w:rFonts w:ascii="Times New Roman;serif" w:hAnsi="Times New Roman;serif"/>
          <w:b w:val="false"/>
          <w:color w:val="000000"/>
          <w:sz w:val="24"/>
          <w:u w:val="single"/>
        </w:rPr>
        <w:t>Restricted Stock Units</w:t>
      </w:r>
      <w:r>
        <w:rPr>
          <w:color w:val="000000"/>
        </w:rPr>
        <w:t xml:space="preserve">” </w:t>
      </w:r>
      <w:r>
        <w:rPr>
          <w:rFonts w:ascii="Times New Roman;serif" w:hAnsi="Times New Roman;serif"/>
          <w:b w:val="false"/>
          <w:color w:val="000000"/>
          <w:sz w:val="24"/>
        </w:rPr>
        <w:t>shall mean the right to receive Shares awarded under Article 9.</w:t>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85445"/>
                <wp:effectExtent l="0" t="0" r="0" b="0"/>
                <wp:wrapNone/>
                <wp:docPr id="13" name="Frame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2.49    “</w:t>
      </w:r>
      <w:r>
        <w:rPr>
          <w:rFonts w:ascii="Times New Roman;serif" w:hAnsi="Times New Roman;serif"/>
          <w:b w:val="false"/>
          <w:color w:val="000000"/>
          <w:sz w:val="24"/>
          <w:u w:val="single"/>
        </w:rPr>
        <w:t>Securities Act</w:t>
      </w:r>
      <w:r>
        <w:rPr>
          <w:color w:val="000000"/>
        </w:rPr>
        <w:t xml:space="preserve">” </w:t>
      </w:r>
      <w:r>
        <w:rPr>
          <w:rFonts w:ascii="Times New Roman;serif" w:hAnsi="Times New Roman;serif"/>
          <w:b w:val="false"/>
          <w:color w:val="000000"/>
          <w:sz w:val="24"/>
        </w:rPr>
        <w:t>shall mean the Securities Act of 1933, as amended.</w:t>
      </w:r>
    </w:p>
    <w:p>
      <w:pPr>
        <w:pStyle w:val="TextBody"/>
        <w:bidi w:val="0"/>
        <w:spacing w:lineRule="auto" w:line="288" w:before="0" w:after="240"/>
        <w:ind w:left="0" w:right="0" w:firstLine="720"/>
        <w:jc w:val="both"/>
        <w:rPr/>
      </w:pPr>
      <w:r>
        <w:rPr>
          <w:rFonts w:ascii="Times New Roman;serif" w:hAnsi="Times New Roman;serif"/>
          <w:b w:val="false"/>
          <w:color w:val="000000"/>
          <w:sz w:val="24"/>
        </w:rPr>
        <w:t>2.50    “</w:t>
      </w:r>
      <w:r>
        <w:rPr>
          <w:rFonts w:ascii="Times New Roman;serif" w:hAnsi="Times New Roman;serif"/>
          <w:b w:val="false"/>
          <w:color w:val="000000"/>
          <w:sz w:val="24"/>
          <w:u w:val="single"/>
        </w:rPr>
        <w:t>Shares</w:t>
      </w:r>
      <w:r>
        <w:rPr>
          <w:color w:val="000000"/>
        </w:rPr>
        <w:t xml:space="preserve">” </w:t>
      </w:r>
      <w:r>
        <w:rPr>
          <w:rFonts w:ascii="Times New Roman;serif" w:hAnsi="Times New Roman;serif"/>
          <w:b w:val="false"/>
          <w:color w:val="000000"/>
          <w:sz w:val="24"/>
        </w:rPr>
        <w:t>shall mean shares of Common Stock.</w:t>
      </w:r>
    </w:p>
    <w:p>
      <w:pPr>
        <w:pStyle w:val="TextBody"/>
        <w:bidi w:val="0"/>
        <w:spacing w:lineRule="auto" w:line="288" w:before="0" w:after="240"/>
        <w:ind w:left="0" w:right="0" w:firstLine="720"/>
        <w:jc w:val="both"/>
        <w:rPr/>
      </w:pPr>
      <w:r>
        <w:rPr>
          <w:rFonts w:ascii="Times New Roman;serif" w:hAnsi="Times New Roman;serif"/>
          <w:b w:val="false"/>
          <w:color w:val="000000"/>
          <w:sz w:val="24"/>
        </w:rPr>
        <w:t>2.51    “</w:t>
      </w:r>
      <w:r>
        <w:rPr>
          <w:rFonts w:ascii="Times New Roman;serif" w:hAnsi="Times New Roman;serif"/>
          <w:b w:val="false"/>
          <w:color w:val="000000"/>
          <w:sz w:val="24"/>
          <w:u w:val="single"/>
        </w:rPr>
        <w:t>Stock Appreciation Right</w:t>
      </w:r>
      <w:r>
        <w:rPr>
          <w:color w:val="000000"/>
        </w:rPr>
        <w:t xml:space="preserve">” </w:t>
      </w:r>
      <w:r>
        <w:rPr>
          <w:rFonts w:ascii="Times New Roman;serif" w:hAnsi="Times New Roman;serif"/>
          <w:b w:val="false"/>
          <w:color w:val="000000"/>
          <w:sz w:val="24"/>
        </w:rPr>
        <w:t>shall mean a stock appreciation right granted under Article 11.</w:t>
      </w:r>
    </w:p>
    <w:p>
      <w:pPr>
        <w:pStyle w:val="TextBody"/>
        <w:bidi w:val="0"/>
        <w:spacing w:lineRule="auto" w:line="288" w:before="0" w:after="240"/>
        <w:ind w:left="0" w:right="0" w:firstLine="720"/>
        <w:jc w:val="both"/>
        <w:rPr/>
      </w:pPr>
      <w:r>
        <w:rPr>
          <w:rFonts w:ascii="Times New Roman;serif" w:hAnsi="Times New Roman;serif"/>
          <w:b w:val="false"/>
          <w:color w:val="000000"/>
          <w:sz w:val="24"/>
        </w:rPr>
        <w:t>2.52    “</w:t>
      </w:r>
      <w:r>
        <w:rPr>
          <w:rFonts w:ascii="Times New Roman;serif" w:hAnsi="Times New Roman;serif"/>
          <w:b w:val="false"/>
          <w:color w:val="000000"/>
          <w:sz w:val="24"/>
          <w:u w:val="single"/>
        </w:rPr>
        <w:t>Stock Appreciation Right Term</w:t>
      </w:r>
      <w:r>
        <w:rPr>
          <w:color w:val="000000"/>
        </w:rPr>
        <w:t xml:space="preserve">” </w:t>
      </w:r>
      <w:r>
        <w:rPr>
          <w:rFonts w:ascii="Times New Roman;serif" w:hAnsi="Times New Roman;serif"/>
          <w:b w:val="false"/>
          <w:color w:val="000000"/>
          <w:sz w:val="24"/>
        </w:rPr>
        <w:t>shall have the meaning set forth in Section 11.4.</w:t>
      </w:r>
    </w:p>
    <w:p>
      <w:pPr>
        <w:pStyle w:val="TextBody"/>
        <w:bidi w:val="0"/>
        <w:spacing w:lineRule="auto" w:line="288" w:before="0" w:after="240"/>
        <w:ind w:left="0" w:right="0" w:firstLine="720"/>
        <w:jc w:val="both"/>
        <w:rPr/>
      </w:pPr>
      <w:r>
        <w:rPr>
          <w:rFonts w:ascii="Times New Roman;serif" w:hAnsi="Times New Roman;serif"/>
          <w:b w:val="false"/>
          <w:color w:val="000000"/>
          <w:sz w:val="24"/>
        </w:rPr>
        <w:t>2.53    “</w:t>
      </w:r>
      <w:r>
        <w:rPr>
          <w:rFonts w:ascii="Times New Roman;serif" w:hAnsi="Times New Roman;serif"/>
          <w:b w:val="false"/>
          <w:color w:val="000000"/>
          <w:sz w:val="24"/>
          <w:u w:val="single"/>
        </w:rPr>
        <w:t>Stock Payment</w:t>
      </w:r>
      <w:r>
        <w:rPr>
          <w:color w:val="000000"/>
        </w:rPr>
        <w:t xml:space="preserve">” </w:t>
      </w:r>
      <w:r>
        <w:rPr>
          <w:rFonts w:ascii="Times New Roman;serif" w:hAnsi="Times New Roman;serif"/>
          <w:b w:val="false"/>
          <w:color w:val="000000"/>
          <w:sz w:val="24"/>
        </w:rPr>
        <w:t>shall mean (a) a payment in the form of Shares, or (b) an option or other right to purchase Shares, as part of a bonus, deferred compensation or other arrangement, awarded under Section 10.3.</w:t>
      </w:r>
    </w:p>
    <w:p>
      <w:pPr>
        <w:pStyle w:val="TextBody"/>
        <w:bidi w:val="0"/>
        <w:spacing w:lineRule="auto" w:line="288" w:before="0" w:after="240"/>
        <w:ind w:left="0" w:right="0" w:firstLine="720"/>
        <w:jc w:val="both"/>
        <w:rPr/>
      </w:pPr>
      <w:r>
        <w:rPr>
          <w:rFonts w:ascii="Times New Roman;serif" w:hAnsi="Times New Roman;serif"/>
          <w:b w:val="false"/>
          <w:color w:val="000000"/>
          <w:sz w:val="24"/>
        </w:rPr>
        <w:t>2.54    “</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fifty percent (50%) of the total combined voting power of all classes of securities or interests in one of the other entities in such chain.</w:t>
      </w:r>
    </w:p>
    <w:p>
      <w:pPr>
        <w:pStyle w:val="TextBody"/>
        <w:bidi w:val="0"/>
        <w:spacing w:lineRule="auto" w:line="288" w:before="0" w:after="240"/>
        <w:ind w:left="0" w:right="0" w:firstLine="720"/>
        <w:jc w:val="both"/>
        <w:rPr/>
      </w:pPr>
      <w:r>
        <w:rPr>
          <w:rFonts w:ascii="Times New Roman;serif" w:hAnsi="Times New Roman;serif"/>
          <w:b w:val="false"/>
          <w:color w:val="000000"/>
          <w:sz w:val="24"/>
        </w:rPr>
        <w:t>2.55    “</w:t>
      </w:r>
      <w:r>
        <w:rPr>
          <w:rFonts w:ascii="Times New Roman;serif" w:hAnsi="Times New Roman;serif"/>
          <w:b w:val="false"/>
          <w:color w:val="000000"/>
          <w:sz w:val="24"/>
          <w:u w:val="single"/>
        </w:rPr>
        <w:t>Substitute Award</w:t>
      </w:r>
      <w:r>
        <w:rPr>
          <w:color w:val="000000"/>
        </w:rPr>
        <w:t xml:space="preserve">” </w:t>
      </w:r>
      <w:r>
        <w:rPr>
          <w:rFonts w:ascii="Times New Roman;serif" w:hAnsi="Times New Roman;serif"/>
          <w:b w:val="false"/>
          <w:color w:val="000000"/>
          <w:sz w:val="24"/>
        </w:rPr>
        <w:t xml:space="preserve">shall mean an Award granted under the Plan upon the assumption of, or in substitution for, outstanding equity awards previously granted by a company or other entity in connection with a corporate transaction, such as a merger, combination, consolidation or acquisition of property or stock;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in no event shall the term “Substitute Award” be construed to refer to an award made in connection with the cancellation and repricing of an Option or Stock Appreciation Right.</w:t>
      </w:r>
    </w:p>
    <w:p>
      <w:pPr>
        <w:pStyle w:val="TextBody"/>
        <w:bidi w:val="0"/>
        <w:spacing w:lineRule="auto" w:line="288" w:before="0" w:after="240"/>
        <w:ind w:left="0" w:right="0" w:firstLine="720"/>
        <w:jc w:val="both"/>
        <w:rPr/>
      </w:pPr>
      <w:r>
        <w:rPr>
          <w:rFonts w:ascii="Times New Roman;serif" w:hAnsi="Times New Roman;serif"/>
          <w:b w:val="false"/>
          <w:color w:val="000000"/>
          <w:sz w:val="24"/>
        </w:rPr>
        <w:t>2.56    “</w:t>
      </w:r>
      <w:r>
        <w:rPr>
          <w:rFonts w:ascii="Times New Roman;serif" w:hAnsi="Times New Roman;serif"/>
          <w:b w:val="false"/>
          <w:color w:val="000000"/>
          <w:sz w:val="24"/>
          <w:u w:val="single"/>
        </w:rPr>
        <w:t>Termination of Service</w:t>
      </w:r>
      <w:r>
        <w:rPr>
          <w:color w:val="000000"/>
        </w:rPr>
        <w:t xml:space="preserve">” </w:t>
      </w:r>
      <w:r>
        <w:rPr>
          <w:rFonts w:ascii="Times New Roman;serif" w:hAnsi="Times New Roman;serif"/>
          <w:b w:val="false"/>
          <w:color w:val="000000"/>
          <w:sz w:val="24"/>
        </w:rPr>
        <w:t>shall mean:</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 xml:space="preserve">(a)    As to a Consultant, the time when the engagement of a Holder as a Consultant to the Company or an Affiliate is terminated for any reason, with or without cause, including, without limitation, by resignation, discharge, death or retirement, but excluding terminations where the Consultant simultaneously commences or remains in employment or service with the Company or any Affiliate. </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(b)    As to a Non-Employee Director, the time when a Holder who is a Non-Employee Director ceases to be a Director for any reason, including, without limitation, a termination by resignation, failure to be elected, death or retirement, but excluding terminations where the Holder simultaneously commences or remains in employment or service with the Company or any Affiliate.</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 xml:space="preserve">(c)    As to an Employee, the time when the employee-employer relationship between a Holder and the Company or any Affiliate is terminated for any reason, including, without limitation, a termination by resignation, discharge, death, disability or retirement; but </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85445"/>
                <wp:effectExtent l="0" t="0" r="0" b="0"/>
                <wp:wrapNone/>
                <wp:docPr id="14" name="Frame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excluding terminations where the Holder simultaneously commences or remains in employment or service with the Company or any Affiliate. </w:t>
      </w:r>
    </w:p>
    <w:p>
      <w:pPr>
        <w:pStyle w:val="TextBody"/>
        <w:bidi w:val="0"/>
        <w:spacing w:lineRule="auto" w:line="288" w:before="0" w:after="240"/>
        <w:jc w:val="both"/>
        <w:rPr/>
      </w:pPr>
      <w:r>
        <w:rPr>
          <w:rFonts w:ascii="Times New Roman;serif" w:hAnsi="Times New Roman;serif"/>
          <w:b w:val="false"/>
          <w:color w:val="000000"/>
          <w:sz w:val="24"/>
        </w:rPr>
        <w:t xml:space="preserve">The Administrator, in its sole discretion, shall determine the effect of all matters and questions relating to Terminations of Service, including, without limitation, the question of whether a Termination of Service resulted from a discharge for cause and all questions of whether particular leaves of absence constitute a Termination of Service;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with respect to Incentive Stock Options, unless the Administrator otherwise provides in the terms of the Program, the Award Agreement or otherwise, a leave of absence, change in status from an employee to an independent contractor or other change in the employee-employer relationship shall constitute a Termination of Service only if, and to the extent that, such leave of absence, change in status or other change interrupts employment for the purposes of Section 422(a)(2) of the Code and the then applicable regulations and revenue rulings under said Section. For purposes of the Plan, a Holder’s employee-employer relationship or consultancy relations shall be deemed to be terminated in the event that the Affiliate employing or contracting with such Holder ceases to remain an Affiliate following any merger, sale of stock or other corporate transaction or event (including, without limitation, a spin-off).</w:t>
      </w:r>
    </w:p>
    <w:p>
      <w:pPr>
        <w:pStyle w:val="TextBody"/>
        <w:bidi w:val="0"/>
        <w:spacing w:before="0" w:after="240"/>
        <w:jc w:val="both"/>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3.</w:t>
        <w:br/>
        <w:br/>
        <w:t>SHARES SUBJECT TO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3.1    </w:t>
      </w:r>
      <w:r>
        <w:rPr>
          <w:rFonts w:ascii="Times New Roman;serif" w:hAnsi="Times New Roman;serif"/>
          <w:b w:val="false"/>
          <w:color w:val="000000"/>
          <w:sz w:val="24"/>
          <w:u w:val="single"/>
        </w:rPr>
        <w:t>Number of Shares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Subject to Section 14.2 and Section 3.1(b) the aggregate number of Shares which may be issued or transferred pursuant to Awards under the Plan is 4,353,847; provided, however, no more than 4,353,847 Shares may be issued upon the exercise of Incentive Stock Options.</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 xml:space="preserve">(b)    If any Shares subject to an Award are forfeited or expire or such Award is settled for cash (in whole or in part), the Shares subject to such Award shall, to the extent of such forfeiture, expiration or cash settlement, again be available for future grants of Awards under the Plan. Notwithstanding anything to the contrary contained herein, the following Shares shall not be added to the Shares authorized for grant under Section 3.1(a) and will not be available for future grants of Awards: (i) Shares tendered by a Holder or withheld by the Company in payment of the exercise price of an Option; (ii) Shares tendered by the Holder or withheld by the Company to satisfy any tax withholding obligation with respect to an Award; (iii) Shares subject to a Stock Appreciation Right that are not issued in connection with the stock settlement of the Stock Appreciation Right on exercise thereof; and (iv) Shares purchased on the open market with the cash proceeds from the exercise of Options. Any Shares repurchased by the Company under Section 8.4 at the same price paid by the Holder so that such Shares are returned to the Company will again be available for Awards. The payment of Dividend Equivalents in cash in conjunction with any outstanding Awards shall not be counted against the Shares available for issuance under the Plan. Notwithstanding the provisions of this </w:t>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85445"/>
                <wp:effectExtent l="0" t="0" r="0" b="0"/>
                <wp:wrapNone/>
                <wp:docPr id="15" name="Frame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Section 3.1(b), no Shares may again be optioned, granted or awarded if such action would cause an Incentive Stock Option to fail to qualify as an incentive stock option under Section 422 of the Code.</w:t>
      </w:r>
    </w:p>
    <w:p>
      <w:pPr>
        <w:pStyle w:val="TextBody"/>
        <w:bidi w:val="0"/>
        <w:spacing w:lineRule="auto" w:line="288" w:before="0" w:after="240"/>
        <w:ind w:left="0" w:right="0" w:firstLine="1260"/>
        <w:jc w:val="both"/>
        <w:rPr/>
      </w:pPr>
      <w:r>
        <w:rPr>
          <w:rFonts w:ascii="Times New Roman;serif" w:hAnsi="Times New Roman;serif"/>
          <w:b w:val="false"/>
          <w:color w:val="000000"/>
          <w:sz w:val="24"/>
        </w:rPr>
        <w:t xml:space="preserve">(c)    Substitute Awards shall not reduce the Shares authorized for grant under the Plan. Additionally, in the event that a company acquired by the Company or any Affiliate or with which the Company or any Affiliate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Affiliates immediately prior to such acquisition or combination.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3.2    </w:t>
      </w:r>
      <w:r>
        <w:rPr>
          <w:rFonts w:ascii="Times New Roman;serif" w:hAnsi="Times New Roman;serif"/>
          <w:b w:val="false"/>
          <w:color w:val="000000"/>
          <w:sz w:val="24"/>
          <w:u w:val="single"/>
        </w:rPr>
        <w:t>Stock Distributed</w:t>
      </w:r>
      <w:r>
        <w:rPr>
          <w:rFonts w:ascii="Times New Roman;serif" w:hAnsi="Times New Roman;serif"/>
          <w:b w:val="false"/>
          <w:color w:val="000000"/>
          <w:sz w:val="24"/>
        </w:rPr>
        <w:t>. Any Shares distributed pursuant to an Award may consist, in whole or in part, of authorized and unissued Common Stock, treasury Common Stock or Common Stock purchased on the open market.</w:t>
      </w:r>
    </w:p>
    <w:p>
      <w:pPr>
        <w:pStyle w:val="TextBody"/>
        <w:bidi w:val="0"/>
        <w:spacing w:lineRule="auto" w:line="288" w:before="0" w:after="240"/>
        <w:ind w:left="0" w:right="0" w:firstLine="720"/>
        <w:jc w:val="both"/>
        <w:rPr/>
      </w:pPr>
      <w:r>
        <w:rPr>
          <w:rFonts w:ascii="Times New Roman;serif" w:hAnsi="Times New Roman;serif"/>
          <w:b w:val="false"/>
          <w:color w:val="000000"/>
          <w:sz w:val="24"/>
        </w:rPr>
        <w:t>3.3    </w:t>
      </w:r>
      <w:r>
        <w:rPr>
          <w:rFonts w:ascii="Times New Roman;serif" w:hAnsi="Times New Roman;serif"/>
          <w:b w:val="false"/>
          <w:color w:val="000000"/>
          <w:sz w:val="24"/>
          <w:u w:val="single"/>
        </w:rPr>
        <w:t>Limitation on Number of Shares Subject to Awards</w:t>
      </w:r>
      <w:r>
        <w:rPr>
          <w:rFonts w:ascii="Times New Roman;serif" w:hAnsi="Times New Roman;serif"/>
          <w:b w:val="false"/>
          <w:color w:val="000000"/>
          <w:sz w:val="24"/>
        </w:rPr>
        <w:t xml:space="preserve">. Notwithstanding any provision in the Plan to the contrary, and subject to Section 14.2, the maximum aggregate number of Shares with respect to one or more Awards that may be granted to any one person during any calendar year shall be 1,500,000, and the maximum aggregate amount of cash that may be paid in cash to any person during any calendar year with respect to one or more Awards payable in cash shall be $20,000,000; </w:t>
      </w:r>
      <w:r>
        <w:rPr>
          <w:rFonts w:ascii="Times New Roman;serif" w:hAnsi="Times New Roman;serif"/>
          <w:b w:val="false"/>
          <w:color w:val="000000"/>
          <w:sz w:val="24"/>
          <w:u w:val="single"/>
        </w:rPr>
        <w:t>provided further</w:t>
      </w:r>
      <w:r>
        <w:rPr>
          <w:rFonts w:ascii="Times New Roman;serif" w:hAnsi="Times New Roman;serif"/>
          <w:b w:val="false"/>
          <w:color w:val="000000"/>
          <w:sz w:val="24"/>
        </w:rPr>
        <w:t>, that the maximum aggregate number of Shares with respect to one or more Awards that may be granted to any Non-Employee Director during any calendar year shall be 50,000.</w:t>
      </w:r>
      <w:r>
        <w:rPr>
          <w:color w:val="000000"/>
        </w:rPr>
        <w:t xml:space="preserve"> </w:t>
      </w:r>
      <w:r>
        <w:rPr>
          <w:rFonts w:ascii="Times New Roman;serif" w:hAnsi="Times New Roman;serif"/>
          <w:b w:val="false"/>
          <w:color w:val="000000"/>
          <w:sz w:val="24"/>
        </w:rPr>
        <w:t>To the extent required by Section 162(m) of the Code, Shares subject to Awards which are canceled shall continue to be counted against the Award Limit.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4.</w:t>
        <w:br/>
        <w:br/>
        <w:t>GRANTING OF AWARDS</w:t>
      </w:r>
    </w:p>
    <w:p>
      <w:pPr>
        <w:pStyle w:val="TextBody"/>
        <w:bidi w:val="0"/>
        <w:spacing w:lineRule="auto" w:line="288" w:before="0" w:after="240"/>
        <w:ind w:left="0" w:right="0" w:firstLine="720"/>
        <w:jc w:val="both"/>
        <w:rPr/>
      </w:pPr>
      <w:r>
        <w:rPr>
          <w:rFonts w:ascii="Times New Roman;serif" w:hAnsi="Times New Roman;serif"/>
          <w:b w:val="false"/>
          <w:color w:val="000000"/>
          <w:sz w:val="24"/>
        </w:rPr>
        <w:t>4.1    </w:t>
      </w:r>
      <w:r>
        <w:rPr>
          <w:rFonts w:ascii="Times New Roman;serif" w:hAnsi="Times New Roman;serif"/>
          <w:b w:val="false"/>
          <w:color w:val="000000"/>
          <w:sz w:val="24"/>
          <w:u w:val="single"/>
        </w:rPr>
        <w:t>Participation</w:t>
      </w:r>
      <w:r>
        <w:rPr>
          <w:rFonts w:ascii="Times New Roman;serif" w:hAnsi="Times New Roman;serif"/>
          <w:b w:val="false"/>
          <w:color w:val="000000"/>
          <w:sz w:val="24"/>
        </w:rPr>
        <w:t>. The Administrator may, from time to time, select from among all Eligible Individuals, those to whom an Award shall be granted and shall determine the nature and amount of each Award, which shall not be inconsistent with the requirements of the Plan. Except as provided in Section 4.6 regarding the grant of Awards pursuant to the Non-Employee Director Equity Compensation Policy, no Eligible Individual shall have any right to be granted an Award pursuant to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4.2    </w:t>
      </w:r>
      <w:r>
        <w:rPr>
          <w:rFonts w:ascii="Times New Roman;serif" w:hAnsi="Times New Roman;serif"/>
          <w:b w:val="false"/>
          <w:color w:val="000000"/>
          <w:sz w:val="24"/>
          <w:u w:val="single"/>
        </w:rPr>
        <w:t>Award Agreement</w:t>
      </w:r>
      <w:r>
        <w:rPr>
          <w:rFonts w:ascii="Times New Roman;serif" w:hAnsi="Times New Roman;serif"/>
          <w:b w:val="false"/>
          <w:color w:val="000000"/>
          <w:sz w:val="24"/>
        </w:rPr>
        <w:t xml:space="preserve">. Each Award shall be evidenced by an Award Agreement that sets forth the terms, conditions and limitations for such Award, which may include the </w:t>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85445"/>
                <wp:effectExtent l="0" t="0" r="0" b="0"/>
                <wp:wrapNone/>
                <wp:docPr id="16" name="Frame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term of the Award, the provisions applicable in the event of the Holder’s Termination of Service, and the Company’s authority to unilaterally or bilaterally amend, modify, suspend, cancel or rescind an Award. Award Agreements evidencing Awards intended to qualify as Performance-Based Compensation shall contain such terms and conditions as may be necessary to meet the applicable provisions of Section 162(m) of the Code. Award Agreements evidencing Incentive Stock Options shall contain such terms and conditions as may be necessary to meet the applicable provisions of Section 422 of the Code.</w:t>
      </w:r>
    </w:p>
    <w:p>
      <w:pPr>
        <w:pStyle w:val="TextBody"/>
        <w:bidi w:val="0"/>
        <w:spacing w:lineRule="auto" w:line="288" w:before="0" w:after="240"/>
        <w:ind w:left="0" w:right="0" w:firstLine="720"/>
        <w:jc w:val="both"/>
        <w:rPr/>
      </w:pPr>
      <w:r>
        <w:rPr>
          <w:rFonts w:ascii="Times New Roman;serif" w:hAnsi="Times New Roman;serif"/>
          <w:b w:val="false"/>
          <w:color w:val="000000"/>
          <w:sz w:val="24"/>
        </w:rPr>
        <w:t>4.3    </w:t>
      </w:r>
      <w:r>
        <w:rPr>
          <w:rFonts w:ascii="Times New Roman;serif" w:hAnsi="Times New Roman;serif"/>
          <w:b w:val="false"/>
          <w:color w:val="000000"/>
          <w:sz w:val="24"/>
          <w:u w:val="single"/>
        </w:rPr>
        <w:t>Limitations Applicable to Section 16 Persons</w:t>
      </w:r>
      <w:r>
        <w:rPr>
          <w:rFonts w:ascii="Times New Roman;serif" w:hAnsi="Times New Roman;serif"/>
          <w:b w:val="false"/>
          <w:color w:val="000000"/>
          <w:sz w:val="24"/>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pStyle w:val="TextBody"/>
        <w:bidi w:val="0"/>
        <w:spacing w:lineRule="auto" w:line="288" w:before="0" w:after="240"/>
        <w:ind w:left="0" w:right="0" w:firstLine="720"/>
        <w:jc w:val="both"/>
        <w:rPr/>
      </w:pPr>
      <w:r>
        <w:rPr>
          <w:rFonts w:ascii="Times New Roman;serif" w:hAnsi="Times New Roman;serif"/>
          <w:b w:val="false"/>
          <w:color w:val="000000"/>
          <w:sz w:val="24"/>
        </w:rPr>
        <w:t>4.4    </w:t>
      </w:r>
      <w:r>
        <w:rPr>
          <w:rFonts w:ascii="Times New Roman;serif" w:hAnsi="Times New Roman;serif"/>
          <w:b w:val="false"/>
          <w:color w:val="000000"/>
          <w:sz w:val="24"/>
          <w:u w:val="single"/>
        </w:rPr>
        <w:t>At-Will Employment; Voluntary Participation</w:t>
      </w:r>
      <w:r>
        <w:rPr>
          <w:rFonts w:ascii="Times New Roman;serif" w:hAnsi="Times New Roman;serif"/>
          <w:b w:val="false"/>
          <w:color w:val="000000"/>
          <w:sz w:val="24"/>
        </w:rPr>
        <w:t xml:space="preserve">. Nothing in the Plan or in any Program or Award Agreement hereunder shall confer upon any Holder any right to continue in the employ of, or as a Director or Consultant for, the Company or any Affiliate, or shall interfere with or restrict in any way the rights of the Company and any Affiliate, which rights are hereby expressly reserved, to discharge any Holder at any time for any reason whatsoever, with or without cause, and with or without notice, or to terminate or change all other terms and conditions of employment or engagement, except to the extent expressly provided otherwise in a written agreement between the Holder and the Company or any Affiliate. Participation by each Holder in the Plan shall be voluntary and nothing in the Plan shall be construed as mandating that any Eligible Individual shall participate in the Plan. </w:t>
      </w:r>
    </w:p>
    <w:p>
      <w:pPr>
        <w:pStyle w:val="TextBody"/>
        <w:bidi w:val="0"/>
        <w:spacing w:lineRule="auto" w:line="288" w:before="0" w:after="240"/>
        <w:ind w:left="0" w:right="0" w:firstLine="720"/>
        <w:jc w:val="both"/>
        <w:rPr/>
      </w:pPr>
      <w:r>
        <w:rPr>
          <w:rFonts w:ascii="Times New Roman;serif" w:hAnsi="Times New Roman;serif"/>
          <w:b w:val="false"/>
          <w:color w:val="000000"/>
          <w:sz w:val="24"/>
        </w:rPr>
        <w:t>4.5    </w:t>
      </w:r>
      <w:r>
        <w:rPr>
          <w:rFonts w:ascii="Times New Roman;serif" w:hAnsi="Times New Roman;serif"/>
          <w:b w:val="false"/>
          <w:color w:val="000000"/>
          <w:sz w:val="24"/>
          <w:u w:val="single"/>
        </w:rPr>
        <w:t>Foreign Holders</w:t>
      </w:r>
      <w:r>
        <w:rPr>
          <w:rFonts w:ascii="Times New Roman;serif" w:hAnsi="Times New Roman;serif"/>
          <w:b w:val="false"/>
          <w:color w:val="000000"/>
          <w:sz w:val="24"/>
        </w:rPr>
        <w:t xml:space="preserve">. Notwithstanding any provision of the Plan to the contrary, in order to comply with the laws in countries other than the United States in which the Company and its Affiliates operate or have Employees, Non-Employee Directors or Consultants, or in order to comply with the requirements of any foreign securities exchange, the Administrator, in its sole discretion, shall have the power and authority to: (a) determine which Affiliates shall be covered by the Plan; (b) determine which Eligible Individuals outside the United States are eligible to participate in the Plan; (c) modify the terms and conditions of any Award granted to Eligible Individuals outside the United States to comply with applicable foreign laws or listing requirements of any such foreign securities exchange; (d) establish subplans and modify exercise procedures and other terms and procedures, to the extent such actions may be necessary or advisable (any such subplans and/or modifications shall be attached to the Plan as appendices);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 such subplans and/or modifications shall increase the share limitations contained in Sections 3.1 and 3.3; and (e) take any action, before or after an Award is made, that it deems advisable to obtain approval or comply with any necessary local governmental regulatory exemptions or approvals or listing requirements of any such foreign securities exchange. Notwithstanding the foregoing, the Administrator may not take any actions hereunder, and no Awards shall be granted, that would violate Applicable Law. For </w:t>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85445"/>
                <wp:effectExtent l="0" t="0" r="0" b="0"/>
                <wp:wrapNone/>
                <wp:docPr id="17" name="Frame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purposes of the Plan, all references to foreign laws, rules, regulations or taxes shall be references to the laws, rules, regulations and taxes of any applicable jurisdiction other than the United States or a political subdivision thereof. </w:t>
      </w:r>
    </w:p>
    <w:p>
      <w:pPr>
        <w:pStyle w:val="TextBody"/>
        <w:bidi w:val="0"/>
        <w:spacing w:lineRule="auto" w:line="288" w:before="0" w:after="240"/>
        <w:ind w:left="0" w:right="0" w:firstLine="720"/>
        <w:jc w:val="both"/>
        <w:rPr/>
      </w:pPr>
      <w:r>
        <w:rPr>
          <w:rFonts w:ascii="Times New Roman;serif" w:hAnsi="Times New Roman;serif"/>
          <w:b w:val="false"/>
          <w:color w:val="000000"/>
          <w:sz w:val="24"/>
        </w:rPr>
        <w:t>4.6    </w:t>
      </w:r>
      <w:r>
        <w:rPr>
          <w:rFonts w:ascii="Times New Roman;serif" w:hAnsi="Times New Roman;serif"/>
          <w:b w:val="false"/>
          <w:color w:val="000000"/>
          <w:sz w:val="24"/>
          <w:u w:val="single"/>
        </w:rPr>
        <w:t>Non-Employee Director Awards</w:t>
      </w:r>
      <w:r>
        <w:rPr>
          <w:rFonts w:ascii="Times New Roman;serif" w:hAnsi="Times New Roman;serif"/>
          <w:b w:val="false"/>
          <w:color w:val="000000"/>
          <w:sz w:val="24"/>
        </w:rPr>
        <w:t>. The Administrator may, in its discretion, provide that Awards granted to Non-Employee Directors shall be granted pursuant to a written non-discretionary formula established by the Administrator (the “</w:t>
      </w:r>
      <w:r>
        <w:rPr>
          <w:rFonts w:ascii="Times New Roman;serif" w:hAnsi="Times New Roman;serif"/>
          <w:b w:val="false"/>
          <w:color w:val="000000"/>
          <w:sz w:val="24"/>
          <w:u w:val="single"/>
        </w:rPr>
        <w:t>Non-Employee Director Equity Compensation Policy</w:t>
      </w:r>
      <w:r>
        <w:rPr>
          <w:color w:val="000000"/>
        </w:rPr>
        <w:t>”</w:t>
      </w:r>
      <w:r>
        <w:rPr>
          <w:rFonts w:ascii="Times New Roman;serif" w:hAnsi="Times New Roman;serif"/>
          <w:b w:val="false"/>
          <w:color w:val="000000"/>
          <w:sz w:val="24"/>
        </w:rPr>
        <w:t>), subject to the limitations of the Plan. The Non-Employee Director Equity Compensation Policy shall set forth the type of Award(s) to be granted to Non-Employee Directors, the number of Shares to be subject to Non-Employee Director Awards, the conditions on which such Awards shall be granted, become exercisable and/or payable and expire, and such other terms and conditions as the Administrator shall determine in its discretion. The Non-Employee Director Equity Compensation Policy may be modified by the Administrator from time to time in its discretion.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4.7    </w:t>
      </w:r>
      <w:r>
        <w:rPr>
          <w:rFonts w:ascii="Times New Roman;serif" w:hAnsi="Times New Roman;serif"/>
          <w:b w:val="false"/>
          <w:color w:val="000000"/>
          <w:sz w:val="24"/>
          <w:u w:val="single"/>
        </w:rPr>
        <w:t>Stand-Alone and Tandem Awards</w:t>
      </w:r>
      <w:r>
        <w:rPr>
          <w:rFonts w:ascii="Times New Roman;serif" w:hAnsi="Times New Roman;serif"/>
          <w:b w:val="false"/>
          <w:color w:val="000000"/>
          <w:sz w:val="24"/>
        </w:rPr>
        <w:t>. Awards granted pursuant to the Plan may, in the sole discretion of the Administrator, be granted either alone, in addition to, or in tandem with, any other Award granted pursuant to the Plan. Awards granted in addition to or in tandem with other Awards may be granted either at the same time as or at a different time from the grant of such other Awards.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5.</w:t>
        <w:br/>
        <w:br/>
        <w:t>PROVISIONS APPLICABLE TO AWARDS INTENDED TO QUALIFY AS PERFORMANCE-BASED COMPENSATION.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5.1    </w:t>
      </w:r>
      <w:r>
        <w:rPr>
          <w:rFonts w:ascii="Times New Roman;serif" w:hAnsi="Times New Roman;serif"/>
          <w:b w:val="false"/>
          <w:color w:val="000000"/>
          <w:sz w:val="24"/>
          <w:u w:val="single"/>
        </w:rPr>
        <w:t>Purpose</w:t>
      </w:r>
      <w:r>
        <w:rPr>
          <w:rFonts w:ascii="Times New Roman;serif" w:hAnsi="Times New Roman;serif"/>
          <w:b w:val="false"/>
          <w:color w:val="000000"/>
          <w:sz w:val="24"/>
        </w:rPr>
        <w:t xml:space="preserve">. The Committee, in its sole discretion, may determine at the time an Award is granted or at any time thereafter whether such Award is intended to qualify as Performance-Based Compensation. If the Committee, in its sole discretion, decides to grant such an Award to an Eligible Individual that is intended to qualify as Performance-Based Compensation, then the provisions of this Article 5 shall control over any contrary provision contained in the Plan. The Administrator may in its sole discretion grant Awards to other Eligible Individuals that are based on Performance Criteria or Performance Goals but that do not satisfy the requirements of this Article 5 and that are not intended to qualify as Performance-Based Compensation. Unless otherwise specified by the Committee at the time of grant, the Performance Criteria with respect to an Award intended to be Performance-Based Compensation payable to a Covered Employee shall be determined on the basis of Applicable Accounting Standards. </w:t>
      </w:r>
    </w:p>
    <w:p>
      <w:pPr>
        <w:pStyle w:val="TextBody"/>
        <w:bidi w:val="0"/>
        <w:spacing w:lineRule="auto" w:line="288" w:before="0" w:after="240"/>
        <w:ind w:left="0" w:right="0" w:firstLine="720"/>
        <w:jc w:val="both"/>
        <w:rPr/>
      </w:pPr>
      <w:r>
        <w:rPr>
          <w:rFonts w:ascii="Times New Roman;serif" w:hAnsi="Times New Roman;serif"/>
          <w:b w:val="false"/>
          <w:color w:val="000000"/>
          <w:sz w:val="24"/>
        </w:rPr>
        <w:t>5.2    </w:t>
      </w:r>
      <w:r>
        <w:rPr>
          <w:rFonts w:ascii="Times New Roman;serif" w:hAnsi="Times New Roman;serif"/>
          <w:b w:val="false"/>
          <w:color w:val="000000"/>
          <w:sz w:val="24"/>
          <w:u w:val="single"/>
        </w:rPr>
        <w:t>Applicability</w:t>
      </w:r>
      <w:r>
        <w:rPr>
          <w:rFonts w:ascii="Times New Roman;serif" w:hAnsi="Times New Roman;serif"/>
          <w:b w:val="false"/>
          <w:color w:val="000000"/>
          <w:sz w:val="24"/>
        </w:rPr>
        <w:t>. The grant of an Award to an Eligible Individual for a particular Performance Period shall not require the grant of an Award to such Eligible Individual in any subsequent Performance Period and the grant of an Award to any one Eligible Individual shall not require the grant of an Award to any other Eligible Individual in such period or in any other period.</w:t>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85445"/>
                <wp:effectExtent l="0" t="0" r="0" b="0"/>
                <wp:wrapNone/>
                <wp:docPr id="18" name="Frame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5.3    </w:t>
      </w:r>
      <w:r>
        <w:rPr>
          <w:rFonts w:ascii="Times New Roman;serif" w:hAnsi="Times New Roman;serif"/>
          <w:b w:val="false"/>
          <w:color w:val="000000"/>
          <w:sz w:val="24"/>
          <w:u w:val="single"/>
        </w:rPr>
        <w:t>Types of Awards</w:t>
      </w:r>
      <w:r>
        <w:rPr>
          <w:rFonts w:ascii="Times New Roman;serif" w:hAnsi="Times New Roman;serif"/>
          <w:b w:val="false"/>
          <w:color w:val="000000"/>
          <w:sz w:val="24"/>
        </w:rPr>
        <w:t>. Notwithstanding anything in the Plan to the contrary, the Committee may grant any Award to an Eligible Individual intended to qualify as Performance-Based Compensation, including, without limitation, Restricted Stock the restrictions with respect to which lapse upon the attainment of specified Performance Goals, Restricted Stock Units that vest and become payable upon the attainment of specified Performance Goals and any Performance Awards described in Article 10 that vest or become exercisable or payable upon the attainment of one or more specified Performance Goals.</w:t>
      </w:r>
    </w:p>
    <w:p>
      <w:pPr>
        <w:pStyle w:val="TextBody"/>
        <w:bidi w:val="0"/>
        <w:spacing w:lineRule="auto" w:line="288" w:before="0" w:after="240"/>
        <w:ind w:left="0" w:right="0" w:firstLine="720"/>
        <w:jc w:val="both"/>
        <w:rPr/>
      </w:pPr>
      <w:r>
        <w:rPr>
          <w:rFonts w:ascii="Times New Roman;serif" w:hAnsi="Times New Roman;serif"/>
          <w:b w:val="false"/>
          <w:color w:val="000000"/>
          <w:sz w:val="24"/>
        </w:rPr>
        <w:t>5.4    </w:t>
      </w:r>
      <w:r>
        <w:rPr>
          <w:rFonts w:ascii="Times New Roman;serif" w:hAnsi="Times New Roman;serif"/>
          <w:b w:val="false"/>
          <w:color w:val="000000"/>
          <w:sz w:val="24"/>
          <w:u w:val="single"/>
        </w:rPr>
        <w:t>Procedures with Respect to Performance-Based Awards</w:t>
      </w:r>
      <w:r>
        <w:rPr>
          <w:rFonts w:ascii="Times New Roman;serif" w:hAnsi="Times New Roman;serif"/>
          <w:b w:val="false"/>
          <w:color w:val="000000"/>
          <w:sz w:val="24"/>
        </w:rPr>
        <w:t>. To the extent necessary to comply with the requirements of Section 162(m)(4)(C) of the Code, with respect to any Award granted to one or more Eligible Individuals which is intended to qualify as Performance-Based Compensation, no later than 90 days following the commencement of any Performance Period or any designated fiscal period or period of service (or such earlier time as may be required under Section 162(m) of the Code), the Committee shall, in writing, (a) designate one or more Eligible Individuals, (b) select the Performance Criteria applicable to the Performance Period, (c) establish the Performance Goals, and amounts of such Awards, as applicable, which may be earned for such Performance Period based on the Performance Criteria, and (d) specify the relationship between Performance Criteria and the Performance Goals and the amounts of such Awards, as applicable, to be earned by each Covered Employee for such Performance Period. Following the completion of each Performance Period, the Committee shall certify in writing whether and the extent to which the applicable Performance Goals have been achieved for such Performance Period. In determining the amount earned under such Awards, the Committee shall have the right to reduce or eliminate (but not to increase) the amount payable at a given level of performance to take into account additional factors that the Committee may deem relevant, including the assessment of individual or corporate performance for the Performance Period.</w:t>
      </w:r>
    </w:p>
    <w:p>
      <w:pPr>
        <w:pStyle w:val="TextBody"/>
        <w:bidi w:val="0"/>
        <w:spacing w:lineRule="auto" w:line="288" w:before="0" w:after="240"/>
        <w:ind w:left="0" w:right="0" w:firstLine="720"/>
        <w:jc w:val="both"/>
        <w:rPr/>
      </w:pPr>
      <w:r>
        <w:rPr>
          <w:rFonts w:ascii="Times New Roman;serif" w:hAnsi="Times New Roman;serif"/>
          <w:b w:val="false"/>
          <w:color w:val="000000"/>
          <w:sz w:val="24"/>
        </w:rPr>
        <w:t>5.5    </w:t>
      </w:r>
      <w:r>
        <w:rPr>
          <w:rFonts w:ascii="Times New Roman;serif" w:hAnsi="Times New Roman;serif"/>
          <w:b w:val="false"/>
          <w:color w:val="000000"/>
          <w:sz w:val="24"/>
          <w:u w:val="single"/>
        </w:rPr>
        <w:t>Payment of Performance-Based Awards</w:t>
      </w:r>
      <w:r>
        <w:rPr>
          <w:rFonts w:ascii="Times New Roman;serif" w:hAnsi="Times New Roman;serif"/>
          <w:b w:val="false"/>
          <w:color w:val="000000"/>
          <w:sz w:val="24"/>
        </w:rPr>
        <w:t>. Unless otherwise provided in the applicable Program or Award Agreement and only to the extent otherwise permitted by Section 162(m)(4)(C) of the Code, as to an Award that is intended to qualify as Performance-Based Compensation, the Holder must be employed by the Company or an Affiliate throughout the Performance Period. Unless otherwise provided in the applicable Performance Goals, Program or Award Agreement, a Holder shall be eligible to receive payment pursuant to such Awards for a Performance Period only if and to the extent the Performance Goals for such period are achieved.</w:t>
      </w:r>
    </w:p>
    <w:p>
      <w:pPr>
        <w:pStyle w:val="TextBody"/>
        <w:bidi w:val="0"/>
        <w:spacing w:lineRule="auto" w:line="288" w:before="0" w:after="240"/>
        <w:ind w:left="0" w:right="0" w:firstLine="720"/>
        <w:jc w:val="both"/>
        <w:rPr/>
      </w:pPr>
      <w:r>
        <w:rPr>
          <w:rFonts w:ascii="Times New Roman;serif" w:hAnsi="Times New Roman;serif"/>
          <w:b w:val="false"/>
          <w:color w:val="000000"/>
          <w:sz w:val="24"/>
        </w:rPr>
        <w:t>5.6    </w:t>
      </w:r>
      <w:r>
        <w:rPr>
          <w:rFonts w:ascii="Times New Roman;serif" w:hAnsi="Times New Roman;serif"/>
          <w:b w:val="false"/>
          <w:color w:val="000000"/>
          <w:sz w:val="24"/>
          <w:u w:val="single"/>
        </w:rPr>
        <w:t>Additional Limitations</w:t>
      </w:r>
      <w:r>
        <w:rPr>
          <w:rFonts w:ascii="Times New Roman;serif" w:hAnsi="Times New Roman;serif"/>
          <w:b w:val="false"/>
          <w:color w:val="000000"/>
          <w:sz w:val="24"/>
        </w:rPr>
        <w:t>. Notwithstanding any other provision of the Plan and except as otherwise determined by the Administrator, any Award which is granted to an Eligible Individual and is intended to qualify as Performance-Based Compensation shall be subject to any additional limitations set forth in Section 162(m) of the Code or any regulations or rulings issued thereunder that are requirements for qualification as Performance-Based Compensation, and the Plan, the Program and the Award Agreement shall be deemed amended to the extent necessary to conform to such requirements.</w:t>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85445"/>
                <wp:effectExtent l="0" t="0" r="0" b="0"/>
                <wp:wrapNone/>
                <wp:docPr id="19" name="Frame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6.</w:t>
        <w:br/>
        <w:br/>
        <w:t>GRANTING OF OPTIONS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6.1    </w:t>
      </w:r>
      <w:r>
        <w:rPr>
          <w:rFonts w:ascii="Times New Roman;serif" w:hAnsi="Times New Roman;serif"/>
          <w:b w:val="false"/>
          <w:color w:val="000000"/>
          <w:sz w:val="24"/>
          <w:u w:val="single"/>
        </w:rPr>
        <w:t>Granting of Options to Eligible Individuals</w:t>
      </w:r>
      <w:r>
        <w:rPr>
          <w:rFonts w:ascii="Times New Roman;serif" w:hAnsi="Times New Roman;serif"/>
          <w:b w:val="false"/>
          <w:color w:val="000000"/>
          <w:sz w:val="24"/>
        </w:rPr>
        <w:t>. The Administrator is authorized to grant Options to Eligible Individuals from time to time, in its sole discretion, on such terms and conditions as it may determine which shall not be inconsistent with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6.2    </w:t>
      </w:r>
      <w:r>
        <w:rPr>
          <w:rFonts w:ascii="Times New Roman;serif" w:hAnsi="Times New Roman;serif"/>
          <w:b w:val="false"/>
          <w:color w:val="000000"/>
          <w:sz w:val="24"/>
          <w:u w:val="single"/>
        </w:rPr>
        <w:t>Qualification of Incentive Stock Options</w:t>
      </w:r>
      <w:r>
        <w:rPr>
          <w:rFonts w:ascii="Times New Roman;serif" w:hAnsi="Times New Roman;serif"/>
          <w:b w:val="false"/>
          <w:color w:val="000000"/>
          <w:sz w:val="24"/>
        </w:rPr>
        <w:t>. No Incentive Stock Option shall be granted to any person who is not an Employee of the Company or any subsidiary corporation (as defined in Section 424(f) of the Code) of the Company. No person who qualifies as a Greater Than 10% Stockholder may be granted an Incentive Stock Option unless such Incentive Stock Option conforms to the applicable provisions of Section 422 of the Code. Any Incentive Stock Option granted under the Plan may be modified by the Administrator, with the consent of the Holder, to disqualify such Option from treatment as an “incentive stock option” under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subsidiary or parent corporation thereof (each as defined in Section 424(f) and (e) of the Code, respectively), exceeds $100,000, the Options shall be treated as Non-Qualified Stock Options to the extent required by Section 422 of the Code. The rule set forth in the preceding sentence shall be applied by taking Options and other “incentive stock options” into account in the order in which they were granted and the Fair Market Value of stock shall be determined as of the time the respective options were granted.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6.3    </w:t>
      </w:r>
      <w:r>
        <w:rPr>
          <w:rFonts w:ascii="Times New Roman;serif" w:hAnsi="Times New Roman;serif"/>
          <w:b w:val="false"/>
          <w:color w:val="000000"/>
          <w:sz w:val="24"/>
          <w:u w:val="single"/>
        </w:rPr>
        <w:t>Option Exercise Price</w:t>
      </w:r>
      <w:r>
        <w:rPr>
          <w:rFonts w:ascii="Times New Roman;serif" w:hAnsi="Times New Roman;serif"/>
          <w:b w:val="false"/>
          <w:color w:val="000000"/>
          <w:sz w:val="24"/>
        </w:rPr>
        <w:t>. The exercise price per Share subject to each Option shall be set by the Administrator, but shall not be less than 100% of the Fair Market Value of a Share on the date the Option is granted (or, as to Incentive Stock Options, on the date the Option is modified, extended or renewed for purposes of Section 424(h) of the Code). In addition, in the case of Incentive Stock Options granted to a Greater Than 10% Stockholder, such price shall not be less than 110% of the Fair Market Value of a Share on the date the Option is granted (or the date the Option is modified, extended or renewed for purposes of Section 424(h) of the Code).</w:t>
      </w:r>
    </w:p>
    <w:p>
      <w:pPr>
        <w:pStyle w:val="TextBody"/>
        <w:bidi w:val="0"/>
        <w:spacing w:lineRule="auto" w:line="288" w:before="0" w:after="240"/>
        <w:ind w:left="0" w:right="0" w:firstLine="720"/>
        <w:jc w:val="both"/>
        <w:rPr/>
      </w:pPr>
      <w:r>
        <w:rPr>
          <w:rFonts w:ascii="Times New Roman;serif" w:hAnsi="Times New Roman;serif"/>
          <w:b w:val="false"/>
          <w:color w:val="000000"/>
          <w:sz w:val="24"/>
        </w:rPr>
        <w:t>6.4    </w:t>
      </w:r>
      <w:r>
        <w:rPr>
          <w:rFonts w:ascii="Times New Roman;serif" w:hAnsi="Times New Roman;serif"/>
          <w:b w:val="false"/>
          <w:color w:val="000000"/>
          <w:sz w:val="24"/>
          <w:u w:val="single"/>
        </w:rPr>
        <w:t>Option Term</w:t>
      </w:r>
      <w:r>
        <w:rPr>
          <w:rFonts w:ascii="Times New Roman;serif" w:hAnsi="Times New Roman;serif"/>
          <w:b w:val="false"/>
          <w:color w:val="000000"/>
          <w:sz w:val="24"/>
        </w:rPr>
        <w:t>. The term of each Option (the “</w:t>
      </w:r>
      <w:r>
        <w:rPr>
          <w:rFonts w:ascii="Times New Roman;serif" w:hAnsi="Times New Roman;serif"/>
          <w:b w:val="false"/>
          <w:color w:val="000000"/>
          <w:sz w:val="24"/>
          <w:u w:val="single"/>
        </w:rPr>
        <w:t>Option Term</w:t>
      </w:r>
      <w:r>
        <w:rPr>
          <w:color w:val="000000"/>
        </w:rPr>
        <w:t>”</w:t>
      </w:r>
      <w:r>
        <w:rPr>
          <w:rFonts w:ascii="Times New Roman;serif" w:hAnsi="Times New Roman;serif"/>
          <w:b w:val="false"/>
          <w:color w:val="000000"/>
          <w:sz w:val="24"/>
        </w:rPr>
        <w:t xml:space="preserve">) shall be set by the Administrator in its sole discretion;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Option Term shall not be more than ten (10) years from the date the Option is granted, or five (5) years from the date an Incentive Stock Option is granted to a Greater Than 10% Stockholder. The Administrator shall determine the time period, including the time period following a Termination of Service, during which the Holder has the right to exercise the vested Options, which time period may not extend beyond the last day of the Option Term. Except as limited by the requirements of Section 409A or Section 422 of the Code and regulations and rulings thereunder or the first sentence of this Section 6.4, the Administrator may extend the Option Term of any outstanding Option, and may extend the time period during which vested Options may be exercised, in </w:t>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85445"/>
                <wp:effectExtent l="0" t="0" r="0" b="0"/>
                <wp:wrapNone/>
                <wp:docPr id="20" name="Frame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connection with any Termination of Service of the Holder, and may amend, subject to Section 14.1, any other term or condition of such Option relating to such a Termination of Service.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6.5    </w:t>
      </w:r>
      <w:r>
        <w:rPr>
          <w:rFonts w:ascii="Times New Roman;serif" w:hAnsi="Times New Roman;serif"/>
          <w:b w:val="false"/>
          <w:color w:val="000000"/>
          <w:sz w:val="24"/>
          <w:u w:val="single"/>
        </w:rPr>
        <w:t>Option Vesting</w:t>
      </w:r>
      <w:r>
        <w:rPr>
          <w:rFonts w:ascii="Times New Roman;serif" w:hAnsi="Times New Roman;serif"/>
          <w:b w:val="false"/>
          <w:color w:val="000000"/>
          <w:sz w:val="24"/>
        </w:rPr>
        <w:t>.</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 xml:space="preserve">(a)    The period during which the right to exercise, in whole or in part, an Option vests in the Holder shall be set by the Administrator and the Administrator may determine that an Option may not be exercised in whole or in part for a specified period after it is granted. Such vesting may be based on service with the Company or any Affiliate, any of the Performance Criteria, or any other criteria selected by the Administrator. </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(b)    No portion of an Option which is unexercisable at a Holder’s Termination of Service shall thereafter become exercisable, except as may be otherwise provided by the Administrator either in the Program, the Award Agreement or by action of the Administrator following the grant of the Option.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6.6    </w:t>
      </w:r>
      <w:r>
        <w:rPr>
          <w:rFonts w:ascii="Times New Roman;serif" w:hAnsi="Times New Roman;serif"/>
          <w:b w:val="false"/>
          <w:color w:val="000000"/>
          <w:sz w:val="24"/>
          <w:u w:val="single"/>
        </w:rPr>
        <w:t>Substitute Awards</w:t>
      </w:r>
      <w:r>
        <w:rPr>
          <w:rFonts w:ascii="Times New Roman;serif" w:hAnsi="Times New Roman;serif"/>
          <w:b w:val="false"/>
          <w:color w:val="000000"/>
          <w:sz w:val="24"/>
        </w:rPr>
        <w:t xml:space="preserve">. Notwithstanding the foregoing provisions of this Article 6 to the contrary, in the case of an Option that is a Substitute Award, the price per share of the Shares subject to such Option may be less than the Fair Market Value per share on the date of grant;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excess of: (a) the aggregate Fair Market Value (as of the date such Substitute Award is granted) of the Shares subject to the Substitute Award, over (b)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pStyle w:val="TextBody"/>
        <w:bidi w:val="0"/>
        <w:spacing w:lineRule="auto" w:line="288" w:before="0" w:after="240"/>
        <w:ind w:left="0" w:right="0" w:firstLine="720"/>
        <w:jc w:val="both"/>
        <w:rPr/>
      </w:pPr>
      <w:r>
        <w:rPr>
          <w:rFonts w:ascii="Times New Roman;serif" w:hAnsi="Times New Roman;serif"/>
          <w:b w:val="false"/>
          <w:color w:val="000000"/>
          <w:sz w:val="24"/>
        </w:rPr>
        <w:t>6.7    </w:t>
      </w:r>
      <w:r>
        <w:rPr>
          <w:rFonts w:ascii="Times New Roman;serif" w:hAnsi="Times New Roman;serif"/>
          <w:b w:val="false"/>
          <w:color w:val="000000"/>
          <w:sz w:val="24"/>
          <w:u w:val="single"/>
        </w:rPr>
        <w:t>Substitution of Stock Appreciation Rights</w:t>
      </w:r>
      <w:r>
        <w:rPr>
          <w:rFonts w:ascii="Times New Roman;serif" w:hAnsi="Times New Roman;serif"/>
          <w:b w:val="false"/>
          <w:color w:val="000000"/>
          <w:sz w:val="24"/>
        </w:rPr>
        <w:t xml:space="preserve">. The Administrator may provide in the applicable Program or the Award Agreement evidencing the grant of an Option that the Administrator, in its sole discretion, shall have the right to substitute a Stock Appreciation Right for such Option at any time prior to or upon exercise of such Option;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Stock Appreciation Right shall be exercisable with respect to the same number of Shares for which such substituted Option would have been exercisable, and shall also have the same exercise price, vesting schedule and remaining Option Term as the substituted Option.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7.</w:t>
        <w:br/>
        <w:br/>
        <w:t>EXERCISE OF OPTIONS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7.1    </w:t>
      </w:r>
      <w:r>
        <w:rPr>
          <w:rFonts w:ascii="Times New Roman;serif" w:hAnsi="Times New Roman;serif"/>
          <w:b w:val="false"/>
          <w:color w:val="000000"/>
          <w:sz w:val="24"/>
          <w:u w:val="single"/>
        </w:rPr>
        <w:t>Partial Exercise</w:t>
      </w:r>
      <w:r>
        <w:rPr>
          <w:rFonts w:ascii="Times New Roman;serif" w:hAnsi="Times New Roman;serif"/>
          <w:b w:val="false"/>
          <w:color w:val="000000"/>
          <w:sz w:val="24"/>
        </w:rPr>
        <w:t>. An exercisable Option may be exercised in whole or in part. However, an Option shall not be exercisable with respect to fractional Shares and the Administrator may require that, by the terms of the Option, a partial exercise must be with respect to a minimum number of Shares.</w:t>
      </w:r>
    </w:p>
    <w:p>
      <w:pPr>
        <w:pStyle w:val="TextBody"/>
        <w:bidi w:val="0"/>
        <w:spacing w:lineRule="auto" w:line="288" w:before="0" w:after="240"/>
        <w:ind w:left="0" w:right="0" w:firstLine="720"/>
        <w:jc w:val="both"/>
        <w:rPr/>
      </w:pPr>
      <w:r>
        <w:rPr>
          <w:rFonts w:ascii="Times New Roman;serif" w:hAnsi="Times New Roman;serif"/>
          <w:b w:val="false"/>
          <w:color w:val="000000"/>
          <w:sz w:val="24"/>
        </w:rPr>
        <w:t>7.2    </w:t>
      </w:r>
      <w:r>
        <w:rPr>
          <w:rFonts w:ascii="Times New Roman;serif" w:hAnsi="Times New Roman;serif"/>
          <w:b w:val="false"/>
          <w:color w:val="000000"/>
          <w:sz w:val="24"/>
          <w:u w:val="single"/>
        </w:rPr>
        <w:t>Manner of Exercise</w:t>
      </w:r>
      <w:r>
        <w:rPr>
          <w:rFonts w:ascii="Times New Roman;serif" w:hAnsi="Times New Roman;serif"/>
          <w:b w:val="false"/>
          <w:color w:val="000000"/>
          <w:sz w:val="24"/>
        </w:rPr>
        <w:t xml:space="preserve">. All or a portion of an exercisable Option shall be deemed exercised upon delivery of all of the following to the Secretary of the Company, the stock </w:t>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85445"/>
                <wp:effectExtent l="0" t="0" r="0" b="0"/>
                <wp:wrapNone/>
                <wp:docPr id="21" name="Frame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administrator of the Company or such other person or entity designated by the Administrator, or his, her or its office, as applicable:</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(a)    A written or electronic notice complying with the applicable rules established by the Administrator stating that the Option, or a portion thereof, is exercised. The notice shall be signed by the Holder or other person then entitled to exercise the Option or such portion of the Option;</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(b)    Such representations and documents as the Administrator, in its sole discretion, deems necessary or advisable to effect compliance with Applicable Law. The Administrator may, in its sole discretion, also take whatever additional actions it deems appropriate to effect such compliance including, without limitation, placing legends on share certificates and issuing stop-transfer notices to agents and registrars;</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(c)    In the event that the Option shall be exercised pursuant to Section 12.3 by any person or persons other than the Holder, appropriate proof of the right of such person or persons to exercise the Option, as determined in the sole discretion of the Administrator; and</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(d)    Full payment of the exercise price and applicable withholding taxes to the stock administrator of the Company for the Shares with respect to which the Option, or portion thereof, is exercised, in a manner permitted by Sections 12.1 and 12.2.</w:t>
      </w:r>
    </w:p>
    <w:p>
      <w:pPr>
        <w:pStyle w:val="TextBody"/>
        <w:bidi w:val="0"/>
        <w:spacing w:lineRule="auto" w:line="288" w:before="0" w:after="240"/>
        <w:ind w:left="0" w:right="0" w:firstLine="720"/>
        <w:jc w:val="both"/>
        <w:rPr/>
      </w:pPr>
      <w:r>
        <w:rPr>
          <w:rFonts w:ascii="Times New Roman;serif" w:hAnsi="Times New Roman;serif"/>
          <w:b w:val="false"/>
          <w:color w:val="000000"/>
          <w:sz w:val="24"/>
        </w:rPr>
        <w:t>7.3    </w:t>
      </w:r>
      <w:r>
        <w:rPr>
          <w:rFonts w:ascii="Times New Roman;serif" w:hAnsi="Times New Roman;serif"/>
          <w:b w:val="false"/>
          <w:color w:val="000000"/>
          <w:sz w:val="24"/>
          <w:u w:val="single"/>
        </w:rPr>
        <w:t>Notification Regarding Disposition</w:t>
      </w:r>
      <w:r>
        <w:rPr>
          <w:rFonts w:ascii="Times New Roman;serif" w:hAnsi="Times New Roman;serif"/>
          <w:b w:val="false"/>
          <w:color w:val="000000"/>
          <w:sz w:val="24"/>
        </w:rPr>
        <w:t>. The Holder shall give the Company prompt written or electronic notice of any disposition of Shares acquired by exercise of an Incentive Stock Option which occurs within (a) two years from the date of granting (including the date the Option is modified, extended or renewed for purposes of Section 424(h) of the Code) such Option to such Holder, or (b) one year after the transfer of such shares to such Holder.</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8.</w:t>
        <w:br/>
        <w:br/>
        <w:t>AWARD OF RESTRICTED STOCK</w:t>
      </w:r>
    </w:p>
    <w:p>
      <w:pPr>
        <w:pStyle w:val="TextBody"/>
        <w:bidi w:val="0"/>
        <w:spacing w:lineRule="auto" w:line="288" w:before="0" w:after="240"/>
        <w:ind w:left="0" w:right="0" w:firstLine="720"/>
        <w:jc w:val="both"/>
        <w:rPr/>
      </w:pPr>
      <w:r>
        <w:rPr>
          <w:rFonts w:ascii="Times New Roman;serif" w:hAnsi="Times New Roman;serif"/>
          <w:b w:val="false"/>
          <w:color w:val="000000"/>
          <w:sz w:val="24"/>
        </w:rPr>
        <w:t>8.1    </w:t>
      </w:r>
      <w:r>
        <w:rPr>
          <w:rFonts w:ascii="Times New Roman;serif" w:hAnsi="Times New Roman;serif"/>
          <w:b w:val="false"/>
          <w:color w:val="000000"/>
          <w:sz w:val="24"/>
          <w:u w:val="single"/>
        </w:rPr>
        <w:t>Award of Restricted Stock</w:t>
      </w:r>
      <w:r>
        <w:rPr>
          <w:rFonts w:ascii="Times New Roman;serif" w:hAnsi="Times New Roman;serif"/>
          <w:b w:val="false"/>
          <w:color w:val="000000"/>
          <w:sz w:val="24"/>
        </w:rPr>
        <w:t>.</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(a)    The Administrator is authorized to grant Restricted Stock to Eligible Individuals, and shall determine the terms and conditions, including the restrictions applicable to each award of Restricted Stock, which terms and conditions shall not be inconsistent with the Plan, and may impose such conditions on the issuance of such Resticted Stock as it deems appropriate.</w:t>
      </w:r>
    </w:p>
    <w:p>
      <w:pPr>
        <w:pStyle w:val="TextBody"/>
        <w:bidi w:val="0"/>
        <w:spacing w:lineRule="auto" w:line="288" w:before="0" w:after="240"/>
        <w:ind w:left="0" w:right="0" w:firstLine="1260"/>
        <w:jc w:val="both"/>
        <w:rPr/>
      </w:pPr>
      <w:r>
        <w:rPr>
          <w:rFonts w:ascii="Times New Roman;serif" w:hAnsi="Times New Roman;serif"/>
          <w:b w:val="false"/>
          <w:color w:val="000000"/>
          <w:sz w:val="24"/>
        </w:rPr>
        <w:t xml:space="preserve">(b)    The Administrator shall establish the purchase price, if any, and form of payment for Restricted Stock;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if a purchase price is charged, such purchase price shall be no less than the par value, if any, of the Shares to be purchased, unless otherwise permitted by Applicable Law. In all cases, legal consideration shall be required for each issuance of Restricted Stock.</w:t>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85445"/>
                <wp:effectExtent l="0" t="0" r="0" b="0"/>
                <wp:wrapNone/>
                <wp:docPr id="22" name="Frame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8.2    </w:t>
      </w:r>
      <w:r>
        <w:rPr>
          <w:rFonts w:ascii="Times New Roman;serif" w:hAnsi="Times New Roman;serif"/>
          <w:b w:val="false"/>
          <w:color w:val="000000"/>
          <w:sz w:val="24"/>
          <w:u w:val="single"/>
        </w:rPr>
        <w:t>Rights as Stockholders</w:t>
      </w:r>
      <w:r>
        <w:rPr>
          <w:rFonts w:ascii="Times New Roman;serif" w:hAnsi="Times New Roman;serif"/>
          <w:b w:val="false"/>
          <w:color w:val="000000"/>
          <w:sz w:val="24"/>
        </w:rPr>
        <w:t xml:space="preserve">. Subject to Section 8.4, upon issuance of Restricted Stock, the Holder shall have, unless otherwise provided by the Administrator, all the rights of a stockholder with respect to said Shares, subject to the restrictions in the applicable Program or in each individual Award Agreement, including the right to receive all dividends and other distributions paid or made with respect to the Shares;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in the sole discretion of the Administrator, any extraordinary distributions with respect to the Shares shall be subject to the restrictions set forth in Section 8.3. In addition, with respect to a share of Restricted Stock with performance-based vesting, dividends which are paid prior to vesting shall only be paid out to the Holder to the extent that the performance-based vesting conditions are subsequently satisfied and the share of Restricted Stock vests.</w:t>
      </w:r>
    </w:p>
    <w:p>
      <w:pPr>
        <w:pStyle w:val="TextBody"/>
        <w:bidi w:val="0"/>
        <w:spacing w:lineRule="auto" w:line="288" w:before="0" w:after="240"/>
        <w:ind w:left="0" w:right="0" w:firstLine="720"/>
        <w:jc w:val="both"/>
        <w:rPr/>
      </w:pPr>
      <w:r>
        <w:rPr>
          <w:rFonts w:ascii="Times New Roman;serif" w:hAnsi="Times New Roman;serif"/>
          <w:b w:val="false"/>
          <w:color w:val="000000"/>
          <w:sz w:val="24"/>
        </w:rPr>
        <w:t>8.3    </w:t>
      </w:r>
      <w:r>
        <w:rPr>
          <w:rFonts w:ascii="Times New Roman;serif" w:hAnsi="Times New Roman;serif"/>
          <w:b w:val="false"/>
          <w:color w:val="000000"/>
          <w:sz w:val="24"/>
          <w:u w:val="single"/>
        </w:rPr>
        <w:t>Restrictions</w:t>
      </w:r>
      <w:r>
        <w:rPr>
          <w:rFonts w:ascii="Times New Roman;serif" w:hAnsi="Times New Roman;serif"/>
          <w:b w:val="false"/>
          <w:color w:val="000000"/>
          <w:sz w:val="24"/>
        </w:rPr>
        <w:t xml:space="preserve">. All shares of Restricted Stock (including any shares received by Holders thereof with respect to shares of Restricted Stock as a result of stock dividends, stock splits or any other form of recapitalization) shall, in the terms of the applicable Program or in each individual Award Agreement, be subject to such restrictions and vesting requirements as the Administrator shall provide. Such restrictions may include, without limitation, restrictions concerning voting rights and transferability and such restrictions may lapse separately or in combination at such times and pursuant to such circumstances or based on such criteria as selected by the Administrator, including, without limitation, criteria based on the Holder’s duration of employment, directorship or consultancy with the Company, the Performance Criteria, Company performance, individual performance or other criteria selected by the Administrator. By action taken after the Restricted Stock is issued, the Administrator may, on such terms and conditions as it may determine to be appropriate, accelerate the vesting of such Restricted Stock by removing any or all of the restrictions imposed by the terms of the Program or the Award Agreement. Restricted Stock may not be sold or encumbered until all restrictions are terminated or expire. </w:t>
      </w:r>
    </w:p>
    <w:p>
      <w:pPr>
        <w:pStyle w:val="TextBody"/>
        <w:bidi w:val="0"/>
        <w:spacing w:lineRule="auto" w:line="288" w:before="0" w:after="240"/>
        <w:ind w:left="0" w:right="0" w:firstLine="720"/>
        <w:jc w:val="both"/>
        <w:rPr/>
      </w:pPr>
      <w:r>
        <w:rPr>
          <w:rFonts w:ascii="Times New Roman;serif" w:hAnsi="Times New Roman;serif"/>
          <w:b w:val="false"/>
          <w:color w:val="000000"/>
          <w:sz w:val="24"/>
        </w:rPr>
        <w:t>8.4    </w:t>
      </w:r>
      <w:r>
        <w:rPr>
          <w:rFonts w:ascii="Times New Roman;serif" w:hAnsi="Times New Roman;serif"/>
          <w:b w:val="false"/>
          <w:color w:val="000000"/>
          <w:sz w:val="24"/>
          <w:u w:val="single"/>
        </w:rPr>
        <w:t>Repurchase or Forfeiture of Restricted Stock</w:t>
      </w:r>
      <w:r>
        <w:rPr>
          <w:rFonts w:ascii="Times New Roman;serif" w:hAnsi="Times New Roman;serif"/>
          <w:b w:val="false"/>
          <w:color w:val="000000"/>
          <w:sz w:val="24"/>
        </w:rPr>
        <w:t>. Except as otherwise determined by the Administrator at the time of the grant of the Award or thereafter, if no price was paid by the Holder for the Restricted Stock, upon a Termination of Service during the applicable restriction period, the Holder’s rights in unvested Restricted Stock then subject to restrictions shall lapse, and such Restricted Stock shall be surrendered to the Company and cancelled without consideration. If a price was paid by the Holder for the Restricted Stock, upon a Termination of Service during the applicable restriction period, the Company shall have the right to repurchase from the Holder the unvested Restricted Stock then subject to restrictions at a cash price per share equal to the price paid by the Holder for such Restricted Stock or such other amount as may be specified in the Program or the Award Agreement. Notwithstanding the foregoing, the Administrator in its sole discretion may provide that in the event of certain events, including a Change in Control, the Holder’s death, retirement or disability or any other specified Termination of Service or any other event, the Holder’s rights in unvested Restricted Stock shall not lapse, such Restricted Stock shall vest and, if applicable, the Company shall not have a right of repurchase.</w:t>
      </w:r>
    </w:p>
    <w:p>
      <w:pPr>
        <w:pStyle w:val="TextBody"/>
        <w:bidi w:val="0"/>
        <w:spacing w:lineRule="auto" w:line="288" w:before="0" w:after="240"/>
        <w:ind w:left="0" w:right="0" w:firstLine="720"/>
        <w:jc w:val="both"/>
        <w:rPr/>
      </w:pPr>
      <w:r>
        <w:rPr>
          <w:rFonts w:ascii="Times New Roman;serif" w:hAnsi="Times New Roman;serif"/>
          <w:b w:val="false"/>
          <w:color w:val="000000"/>
          <w:sz w:val="24"/>
        </w:rPr>
        <w:t>8.5    </w:t>
      </w:r>
      <w:r>
        <w:rPr>
          <w:rFonts w:ascii="Times New Roman;serif" w:hAnsi="Times New Roman;serif"/>
          <w:b w:val="false"/>
          <w:color w:val="000000"/>
          <w:sz w:val="24"/>
          <w:u w:val="single"/>
        </w:rPr>
        <w:t>Certificates for Restricted Stock</w:t>
      </w:r>
      <w:r>
        <w:rPr>
          <w:rFonts w:ascii="Times New Roman;serif" w:hAnsi="Times New Roman;serif"/>
          <w:b w:val="false"/>
          <w:color w:val="000000"/>
          <w:sz w:val="24"/>
        </w:rPr>
        <w:t xml:space="preserve">. Restricted Stock granted pursuant to the Plan may be evidenced in such manner as the Administrator shall determine. Certificates or book </w:t>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85445"/>
                <wp:effectExtent l="0" t="0" r="0" b="0"/>
                <wp:wrapNone/>
                <wp:docPr id="23" name="Frame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entries evidencing shares of Restricted Stock must include an appropriate legend referring to the terms, conditions, and restrictions applicable to such Restricted Stock. The Company may, in it sole discretion, (a) retain physical possession of any stock certificate evidencing shares of Restricted Stock until the restrictions thereon shall have lapsed and/or (b) require that the stock certificates evidencing shares of Restricted Stock be held in custody by a designated escrow agent (which may but need not be the Company) until the restrictions thereon shall have lapsed, and that the Holder deliver a stock power, endorsed in blank, relating to such Restricted Stock.</w:t>
      </w:r>
    </w:p>
    <w:p>
      <w:pPr>
        <w:pStyle w:val="TextBody"/>
        <w:bidi w:val="0"/>
        <w:spacing w:lineRule="auto" w:line="288" w:before="0" w:after="240"/>
        <w:ind w:left="0" w:right="0" w:firstLine="720"/>
        <w:jc w:val="both"/>
        <w:rPr/>
      </w:pPr>
      <w:r>
        <w:rPr>
          <w:rFonts w:ascii="Times New Roman;serif" w:hAnsi="Times New Roman;serif"/>
          <w:b w:val="false"/>
          <w:color w:val="000000"/>
          <w:sz w:val="24"/>
        </w:rPr>
        <w:t>8.6    </w:t>
      </w:r>
      <w:r>
        <w:rPr>
          <w:rFonts w:ascii="Times New Roman;serif" w:hAnsi="Times New Roman;serif"/>
          <w:b w:val="false"/>
          <w:color w:val="000000"/>
          <w:sz w:val="24"/>
          <w:u w:val="single"/>
        </w:rPr>
        <w:t>Section 83(b) Election</w:t>
      </w:r>
      <w:r>
        <w:rPr>
          <w:rFonts w:ascii="Times New Roman;serif" w:hAnsi="Times New Roman;serif"/>
          <w:b w:val="false"/>
          <w:color w:val="000000"/>
          <w:sz w:val="24"/>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w:t>
      </w: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85445"/>
                <wp:effectExtent l="0" t="0" r="0" b="0"/>
                <wp:wrapNone/>
                <wp:docPr id="24" name="Frame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9.</w:t>
        <w:br/>
        <w:t>AWARD OF RESTRICTED STOCK UNITS</w:t>
      </w:r>
    </w:p>
    <w:p>
      <w:pPr>
        <w:pStyle w:val="TextBody"/>
        <w:bidi w:val="0"/>
        <w:spacing w:lineRule="auto" w:line="288" w:before="0" w:after="240"/>
        <w:ind w:left="0" w:right="0" w:firstLine="720"/>
        <w:jc w:val="both"/>
        <w:rPr/>
      </w:pPr>
      <w:r>
        <w:rPr>
          <w:rFonts w:ascii="Times New Roman;serif" w:hAnsi="Times New Roman;serif"/>
          <w:b w:val="false"/>
          <w:color w:val="000000"/>
          <w:sz w:val="24"/>
        </w:rPr>
        <w:t>9.1    </w:t>
      </w:r>
      <w:r>
        <w:rPr>
          <w:rFonts w:ascii="Times New Roman;serif" w:hAnsi="Times New Roman;serif"/>
          <w:b w:val="false"/>
          <w:color w:val="000000"/>
          <w:sz w:val="24"/>
          <w:u w:val="single"/>
        </w:rPr>
        <w:t>Grant of Restricted Stock Units</w:t>
      </w:r>
      <w:r>
        <w:rPr>
          <w:rFonts w:ascii="Times New Roman;serif" w:hAnsi="Times New Roman;serif"/>
          <w:b w:val="false"/>
          <w:color w:val="000000"/>
          <w:sz w:val="24"/>
        </w:rPr>
        <w:t xml:space="preserve">. The Administrator is authorized to grant Awards of Restricted Stock Units to any Eligible Individual selected by the Administrator in such amounts and subject to such terms and conditions as determined by the Administrator. </w:t>
      </w:r>
    </w:p>
    <w:p>
      <w:pPr>
        <w:pStyle w:val="TextBody"/>
        <w:bidi w:val="0"/>
        <w:spacing w:lineRule="auto" w:line="288" w:before="0" w:after="240"/>
        <w:ind w:left="0" w:right="0" w:firstLine="720"/>
        <w:jc w:val="both"/>
        <w:rPr/>
      </w:pPr>
      <w:r>
        <w:rPr>
          <w:rFonts w:ascii="Times New Roman;serif" w:hAnsi="Times New Roman;serif"/>
          <w:b w:val="false"/>
          <w:color w:val="000000"/>
          <w:sz w:val="24"/>
        </w:rPr>
        <w:t>9.2    </w:t>
      </w:r>
      <w:r>
        <w:rPr>
          <w:rFonts w:ascii="Times New Roman;serif" w:hAnsi="Times New Roman;serif"/>
          <w:b w:val="false"/>
          <w:color w:val="000000"/>
          <w:sz w:val="24"/>
          <w:u w:val="single"/>
        </w:rPr>
        <w:t>Term</w:t>
      </w:r>
      <w:r>
        <w:rPr>
          <w:rFonts w:ascii="Times New Roman;serif" w:hAnsi="Times New Roman;serif"/>
          <w:b w:val="false"/>
          <w:color w:val="000000"/>
          <w:sz w:val="24"/>
        </w:rPr>
        <w:t>. Except as otherwise provided herein, the term of a Restricted Stock Unit award shall be set by the Administrator in its sole discretion.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9.3    </w:t>
      </w:r>
      <w:r>
        <w:rPr>
          <w:rFonts w:ascii="Times New Roman;serif" w:hAnsi="Times New Roman;serif"/>
          <w:b w:val="false"/>
          <w:color w:val="000000"/>
          <w:sz w:val="24"/>
          <w:u w:val="single"/>
        </w:rPr>
        <w:t>Purchase Price</w:t>
      </w:r>
      <w:r>
        <w:rPr>
          <w:rFonts w:ascii="Times New Roman;serif" w:hAnsi="Times New Roman;serif"/>
          <w:b w:val="false"/>
          <w:color w:val="000000"/>
          <w:sz w:val="24"/>
        </w:rPr>
        <w:t xml:space="preserve">. The Administrator shall specify the purchase price, if any, to be paid by the Holder to the Company with respect to any Restricted Stock Unit award;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value of the consideration shall not be less than the par value of a Share, unless otherwise permitted by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9.4    </w:t>
      </w:r>
      <w:r>
        <w:rPr>
          <w:rFonts w:ascii="Times New Roman;serif" w:hAnsi="Times New Roman;serif"/>
          <w:b w:val="false"/>
          <w:color w:val="000000"/>
          <w:sz w:val="24"/>
          <w:u w:val="single"/>
        </w:rPr>
        <w:t>Vesting of Restricted Stock Units</w:t>
      </w:r>
      <w:r>
        <w:rPr>
          <w:rFonts w:ascii="Times New Roman;serif" w:hAnsi="Times New Roman;serif"/>
          <w:b w:val="false"/>
          <w:color w:val="000000"/>
          <w:sz w:val="24"/>
        </w:rPr>
        <w:t xml:space="preserve">.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Affiliate, one or more Performance Criteria, Company performance, individual performance or other specific criteria, in each case on a specified date or dates or over any period or periods, as determined by the Administrator. </w:t>
      </w:r>
    </w:p>
    <w:p>
      <w:pPr>
        <w:pStyle w:val="TextBody"/>
        <w:bidi w:val="0"/>
        <w:spacing w:lineRule="auto" w:line="288" w:before="0" w:after="240"/>
        <w:ind w:left="0" w:right="0" w:firstLine="720"/>
        <w:jc w:val="both"/>
        <w:rPr/>
      </w:pPr>
      <w:r>
        <w:rPr>
          <w:rFonts w:ascii="Times New Roman;serif" w:hAnsi="Times New Roman;serif"/>
          <w:b w:val="false"/>
          <w:color w:val="000000"/>
          <w:sz w:val="24"/>
        </w:rPr>
        <w:t>9.5    </w:t>
      </w:r>
      <w:r>
        <w:rPr>
          <w:rFonts w:ascii="Times New Roman;serif" w:hAnsi="Times New Roman;serif"/>
          <w:b w:val="false"/>
          <w:color w:val="000000"/>
          <w:sz w:val="24"/>
          <w:u w:val="single"/>
        </w:rPr>
        <w:t>Maturity and Payment</w:t>
      </w:r>
      <w:r>
        <w:rPr>
          <w:rFonts w:ascii="Times New Roman;serif" w:hAnsi="Times New Roman;serif"/>
          <w:b w:val="false"/>
          <w:color w:val="000000"/>
          <w:sz w:val="24"/>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except as otherwise determined by the Administrator, set forth in any applicable Award Agreement, and subject to compliance with Section 409A of the Code, in no event shall the maturity date relating to each Restricted Stock Unit occur following the later of (a) the 15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of the third month following the end of calendar year in which the Restricted Stock Unit vests; or (b) the 15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 xml:space="preserve">day of the third month following the end of the Company’s fiscal year in which the Restricted Stock Unit vests. On the maturity date, the Company shall, subject to Section 12.4(e),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Common Stock as determined by the Administrator. </w:t>
      </w:r>
    </w:p>
    <w:p>
      <w:pPr>
        <w:pStyle w:val="TextBody"/>
        <w:bidi w:val="0"/>
        <w:spacing w:lineRule="auto" w:line="288" w:before="0" w:after="240"/>
        <w:ind w:left="0" w:right="0" w:firstLine="720"/>
        <w:jc w:val="both"/>
        <w:rPr/>
      </w:pPr>
      <w:r>
        <w:rPr>
          <w:rFonts w:ascii="Times New Roman;serif" w:hAnsi="Times New Roman;serif"/>
          <w:b w:val="false"/>
          <w:color w:val="000000"/>
          <w:sz w:val="24"/>
        </w:rPr>
        <w:t>9.6    </w:t>
      </w:r>
      <w:r>
        <w:rPr>
          <w:rFonts w:ascii="Times New Roman;serif" w:hAnsi="Times New Roman;serif"/>
          <w:b w:val="false"/>
          <w:color w:val="000000"/>
          <w:sz w:val="24"/>
          <w:u w:val="single"/>
        </w:rPr>
        <w:t>Payment upon Termination of Service</w:t>
      </w:r>
      <w:r>
        <w:rPr>
          <w:rFonts w:ascii="Times New Roman;serif" w:hAnsi="Times New Roman;serif"/>
          <w:b w:val="false"/>
          <w:color w:val="000000"/>
          <w:sz w:val="24"/>
        </w:rPr>
        <w:t xml:space="preserve">. An Award of Restricted Stock Units shall only be payable while the Holder is an Employee, a Consultant or a member of the Board, as applicable;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Administrator, in its sole and absolute discretion may provide (in an Award Agreement or otherwise) that a Restricted Stock Unit award may be paid subsequent to a Termination of Service in certain events, including a Change in Control, the Holder’s death, retirement or disability or any other specified Termination of Service.</w:t>
      </w: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85445"/>
                <wp:effectExtent l="0" t="0" r="0" b="0"/>
                <wp:wrapNone/>
                <wp:docPr id="25" name="Frame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9.7    </w:t>
      </w:r>
      <w:r>
        <w:rPr>
          <w:rFonts w:ascii="Times New Roman;serif" w:hAnsi="Times New Roman;serif"/>
          <w:b w:val="false"/>
          <w:color w:val="000000"/>
          <w:sz w:val="24"/>
          <w:u w:val="single"/>
        </w:rPr>
        <w:t>No Rights as a Stockholder</w:t>
      </w:r>
      <w:r>
        <w:rPr>
          <w:rFonts w:ascii="Times New Roman;serif" w:hAnsi="Times New Roman;serif"/>
          <w:b w:val="false"/>
          <w:color w:val="000000"/>
          <w:sz w:val="24"/>
        </w:rPr>
        <w:t xml:space="preserve">. Unless otherwise determined by the Administrator, a Holder who is awarded Restricted Stock Units shall possess no incidents of ownership with respect to the Shares represented by such Restricted Stock Units, unless and until the same are transferred to the Holder pursuant to the terms of this Plan and the Award Agreement.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9.8    </w:t>
      </w:r>
      <w:r>
        <w:rPr>
          <w:rFonts w:ascii="Times New Roman;serif" w:hAnsi="Times New Roman;serif"/>
          <w:b w:val="false"/>
          <w:color w:val="000000"/>
          <w:sz w:val="24"/>
          <w:u w:val="single"/>
        </w:rPr>
        <w:t>Dividend Equivalents</w:t>
      </w:r>
      <w:r>
        <w:rPr>
          <w:rFonts w:ascii="Times New Roman;serif" w:hAnsi="Times New Roman;serif"/>
          <w:b w:val="false"/>
          <w:color w:val="000000"/>
          <w:sz w:val="24"/>
        </w:rPr>
        <w:t xml:space="preserve">. Subject to Section 10.2, the Administrator may, in its sole discretion, provide that Dividend Equivalents shall be earned by a Holder of Restricted Stock Units based on dividends declared on the Common Stock, to be credited as of dividend payment dates during the period between the date an Award of Restricted Stock Units is granted to a Holder and the maturity date of such Award.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10.</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AWARD OF PERFORMANCE AWARDS, DIVIDEND EQUIVALENTS, STOCK PAYMENTS, DEFERRED STOCK, DEFERRED STOCK UNITS</w:t>
      </w:r>
    </w:p>
    <w:p>
      <w:pPr>
        <w:pStyle w:val="TextBody"/>
        <w:bidi w:val="0"/>
        <w:spacing w:lineRule="auto" w:line="288" w:before="0" w:after="240"/>
        <w:ind w:left="0" w:right="0" w:firstLine="720"/>
        <w:jc w:val="both"/>
        <w:rPr/>
      </w:pPr>
      <w:r>
        <w:rPr>
          <w:rFonts w:ascii="Times New Roman;serif" w:hAnsi="Times New Roman;serif"/>
          <w:b w:val="false"/>
          <w:color w:val="000000"/>
          <w:sz w:val="24"/>
        </w:rPr>
        <w:t>10.1    </w:t>
      </w:r>
      <w:r>
        <w:rPr>
          <w:rFonts w:ascii="Times New Roman;serif" w:hAnsi="Times New Roman;serif"/>
          <w:b w:val="false"/>
          <w:color w:val="000000"/>
          <w:sz w:val="24"/>
          <w:u w:val="single"/>
        </w:rPr>
        <w:t>Performance Awards</w:t>
      </w:r>
      <w:r>
        <w:rPr>
          <w:rFonts w:ascii="Times New Roman;serif" w:hAnsi="Times New Roman;serif"/>
          <w:b w:val="false"/>
          <w:color w:val="000000"/>
          <w:sz w:val="24"/>
        </w:rPr>
        <w:t>.</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(a)    The Administrator is authorized to grant Performance Awards, including Awards of Performance Stock Units, to any Eligible Individual and to determine whether such Performance Awards shall be Performance-Based Compensation. The value of Performance Awards, including Performance Stock Units, may be linked to any one or more of the Performance Criteria or other specific criteria determined by the Administrator, in each case on a specified date or dates or over any period or periods determined by the Administrator. Performance Awards, including Performance Stock Unit awards may be paid in cash, Shares, or a combination of cash and Shares, as determined by the Administrator.</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(b)    Without limiting Section 10.1(a), the Administrator may grant Performance Awards to any Eligible Individual in the form of a cash bonus payable upon the attainment of objective Performance Goals, or such other criteria, whether or not objective, which are established by the Administrator, in each case on a specified date or dates or over any period or periods determined by the Administrator. Any such bonuses paid to a Holder which are intended to be Performance-Based Compensation shall be based upon objectively determinable bonus formulas established in accordance with the provisions of Article 5.</w:t>
      </w:r>
    </w:p>
    <w:p>
      <w:pPr>
        <w:pStyle w:val="TextBody"/>
        <w:bidi w:val="0"/>
        <w:spacing w:lineRule="auto" w:line="288" w:before="0" w:after="240"/>
        <w:ind w:left="0" w:right="0" w:firstLine="720"/>
        <w:jc w:val="both"/>
        <w:rPr/>
      </w:pPr>
      <w:r>
        <w:rPr>
          <w:rFonts w:ascii="Times New Roman;serif" w:hAnsi="Times New Roman;serif"/>
          <w:b w:val="false"/>
          <w:color w:val="000000"/>
          <w:sz w:val="24"/>
        </w:rPr>
        <w:t>10.2    </w:t>
      </w:r>
      <w:r>
        <w:rPr>
          <w:rFonts w:ascii="Times New Roman;serif" w:hAnsi="Times New Roman;serif"/>
          <w:b w:val="false"/>
          <w:color w:val="000000"/>
          <w:sz w:val="24"/>
          <w:u w:val="single"/>
        </w:rPr>
        <w:t>Dividend Equivalents</w:t>
      </w:r>
      <w:r>
        <w:rPr>
          <w:rFonts w:ascii="Times New Roman;serif" w:hAnsi="Times New Roman;serif"/>
          <w:b w:val="false"/>
          <w:color w:val="000000"/>
          <w:sz w:val="24"/>
        </w:rPr>
        <w:t>.</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 xml:space="preserve">(a)    Dividend Equivalents may be granted by the Administrator based on dividends declared on the Common Stock, to be credited as of dividend payment dates during the period between the date an Award is granted to a Holder and the date such Award vests, is exercised, is distributed or expires, as determined by the Administrator. Such Dividend Equivalents shall be converted to cash or additional Shares by such formula and at such time and subject to such limitations as may be determined by the Administrator. In addition, Dividend Equivalents with respect to an Award with performance-based vesting that are based on dividends paid prior to the vesting of such Award shall only be paid out to the Holder to the </w:t>
      </w:r>
    </w:p>
    <w:p>
      <w:pPr>
        <w:pStyle w:val="TextBody"/>
        <w:bidi w:val="0"/>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85445"/>
                <wp:effectExtent l="0" t="0" r="0" b="0"/>
                <wp:wrapNone/>
                <wp:docPr id="26" name="Frame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extent that the performance-based vesting conditions are subsequently satisfied and the Award vests.</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(b)    Notwithstanding the foregoing, no Dividend Equivalents shall be payable with respect to Options or Stock Appreciation Rights.</w:t>
      </w:r>
    </w:p>
    <w:p>
      <w:pPr>
        <w:pStyle w:val="TextBody"/>
        <w:bidi w:val="0"/>
        <w:spacing w:lineRule="auto" w:line="288" w:before="0" w:after="240"/>
        <w:ind w:left="0" w:right="0" w:firstLine="720"/>
        <w:jc w:val="both"/>
        <w:rPr/>
      </w:pPr>
      <w:r>
        <w:rPr>
          <w:rFonts w:ascii="Times New Roman;serif" w:hAnsi="Times New Roman;serif"/>
          <w:b w:val="false"/>
          <w:color w:val="000000"/>
          <w:sz w:val="24"/>
        </w:rPr>
        <w:t>10.3    </w:t>
      </w:r>
      <w:r>
        <w:rPr>
          <w:rFonts w:ascii="Times New Roman;serif" w:hAnsi="Times New Roman;serif"/>
          <w:b w:val="false"/>
          <w:color w:val="000000"/>
          <w:sz w:val="24"/>
          <w:u w:val="single"/>
        </w:rPr>
        <w:t>Stock Payments</w:t>
      </w:r>
      <w:r>
        <w:rPr>
          <w:rFonts w:ascii="Times New Roman;serif" w:hAnsi="Times New Roman;serif"/>
          <w:b w:val="false"/>
          <w:color w:val="000000"/>
          <w:sz w:val="24"/>
        </w:rPr>
        <w:t>. The Administrator is authorized to make Stock Payments to any Eligible Individual. The number or value of Shares of any Stock Payment shall be determined by the Administrator and may be based upon one or more Performance Criteria or any other specific criteria, including service to the Company or any Affiliate, determined by the Administrator. Shares underlying a Stock Payment which is subject to a vesting schedule or other conditions or criteria set by the Administrator will not be issued until those conditions have been satisfied. Unless otherwise provided by the Administrator, a Holder of a Stock Payment shall have no rights as a Company stockholder with respect to such Stock Payment until such time as the Stock Payment has vested and the Shares underlying the Award have been issued to the Holder. Stock Payments may, but are not required to, be made in lieu of base salary, bonus, fees or other cash compensation otherwise payable to such Eligible Individual.</w:t>
      </w:r>
    </w:p>
    <w:p>
      <w:pPr>
        <w:pStyle w:val="TextBody"/>
        <w:bidi w:val="0"/>
        <w:spacing w:lineRule="auto" w:line="288" w:before="0" w:after="240"/>
        <w:ind w:left="0" w:right="0" w:firstLine="720"/>
        <w:jc w:val="both"/>
        <w:rPr/>
      </w:pPr>
      <w:r>
        <w:rPr>
          <w:rFonts w:ascii="Times New Roman;serif" w:hAnsi="Times New Roman;serif"/>
          <w:b w:val="false"/>
          <w:color w:val="000000"/>
          <w:sz w:val="24"/>
        </w:rPr>
        <w:t>10.4    </w:t>
      </w:r>
      <w:r>
        <w:rPr>
          <w:rFonts w:ascii="Times New Roman;serif" w:hAnsi="Times New Roman;serif"/>
          <w:b w:val="false"/>
          <w:color w:val="000000"/>
          <w:sz w:val="24"/>
          <w:u w:val="single"/>
        </w:rPr>
        <w:t>Deferred Stock</w:t>
      </w:r>
      <w:r>
        <w:rPr>
          <w:rFonts w:ascii="Times New Roman;serif" w:hAnsi="Times New Roman;serif"/>
          <w:b w:val="false"/>
          <w:color w:val="000000"/>
          <w:sz w:val="24"/>
        </w:rPr>
        <w:t>. The Administrator is authorized to grant Deferred Stock to any Eligible Individual. The number of shares of Deferred Stock shall be determined by the Administrator and may (but is not required to) be based on one or more Performance Criteria or other specific criteria, including service to the Company or any Affiliate, as the Administrator determines, in each case on a specified date or dates or over any period or periods determined by the Administrator. Shares underlying a Deferred Stock award which is subject to a vesting schedule or other conditions or criteria set by the Administrator will be issued on the vesting date(s) or date(s) that those conditions and criteria have been satisfied, as applicable. Unless otherwise provided by the Administrator, a Holder of Deferred Stock shall have no rights as a Company stockholder with respect to such Deferred Stock until such time as the Award has vested and any other applicable conditions and/or criteria have been satisfied and the Shares underlying the Award have been issued to the Holder.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10.5    </w:t>
      </w:r>
      <w:r>
        <w:rPr>
          <w:rFonts w:ascii="Times New Roman;serif" w:hAnsi="Times New Roman;serif"/>
          <w:b w:val="false"/>
          <w:color w:val="000000"/>
          <w:sz w:val="24"/>
          <w:u w:val="single"/>
        </w:rPr>
        <w:t>Deferred Stock Units</w:t>
      </w:r>
      <w:r>
        <w:rPr>
          <w:rFonts w:ascii="Times New Roman;serif" w:hAnsi="Times New Roman;serif"/>
          <w:b w:val="false"/>
          <w:color w:val="000000"/>
          <w:sz w:val="24"/>
        </w:rPr>
        <w:t xml:space="preserve">. The Administrator is authorized to grant Deferred Stock Units to any Eligible Individual. The number of Deferred Stock Units shall be determined by the Administrator and may (but is not required to) be based on one or more Performance Criteria or other specific criteria, including service to the Company or any Affiliate, as the Administrator determines, in each case on a specified date or dates or over any period or periods determined by the Administrator. Each Deferred Stock Unit shall entitle the Holder thereof to receive one Share on the date the Deferred Stock Unit becomes vested or upon a specified settlement date thereafter (which settlement date may (but is not required to) be the date of the Holder’s Termination of Service). Shares underlying a Deferred Stock Unit award which is subject to a vesting schedule or other conditions or criteria set by the Administrator will not be issued until on or following the date that those conditions and criteria have been satisfied. Unless otherwise provided by the Administrator, a Holder of Deferred Stock Units shall have no rights as a Company stockholder with respect to such Deferred Stock Units until </w:t>
      </w:r>
    </w:p>
    <w:p>
      <w:pPr>
        <w:pStyle w:val="TextBody"/>
        <w:bidi w:val="0"/>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85445"/>
                <wp:effectExtent l="0" t="0" r="0" b="0"/>
                <wp:wrapNone/>
                <wp:docPr id="27" name="Frame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such time as the Award has vested and any other applicable conditions and/or criteria have been satisfied and the Shares underlying the Award have been issued to the Holder.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10.6    </w:t>
      </w:r>
      <w:r>
        <w:rPr>
          <w:rFonts w:ascii="Times New Roman;serif" w:hAnsi="Times New Roman;serif"/>
          <w:b w:val="false"/>
          <w:color w:val="000000"/>
          <w:sz w:val="24"/>
          <w:u w:val="single"/>
        </w:rPr>
        <w:t>Term</w:t>
      </w:r>
      <w:r>
        <w:rPr>
          <w:rFonts w:ascii="Times New Roman;serif" w:hAnsi="Times New Roman;serif"/>
          <w:b w:val="false"/>
          <w:color w:val="000000"/>
          <w:sz w:val="24"/>
        </w:rPr>
        <w:t>. The term of a Performance Award, Dividend Equivalent award, Stock Payment award, Deferred Stock award and/or Deferred Stock Unit award shall be set by the Administrator in its sole discretion.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10.7    </w:t>
      </w:r>
      <w:r>
        <w:rPr>
          <w:rFonts w:ascii="Times New Roman;serif" w:hAnsi="Times New Roman;serif"/>
          <w:b w:val="false"/>
          <w:color w:val="000000"/>
          <w:sz w:val="24"/>
          <w:u w:val="single"/>
        </w:rPr>
        <w:t>Purchase Price</w:t>
      </w:r>
      <w:r>
        <w:rPr>
          <w:rFonts w:ascii="Times New Roman;serif" w:hAnsi="Times New Roman;serif"/>
          <w:b w:val="false"/>
          <w:color w:val="000000"/>
          <w:sz w:val="24"/>
        </w:rPr>
        <w:t xml:space="preserve">. The Administrator may establish the purchase price of a Performance Award, Shares distributed as a Stock Payment award, shares of Deferred Stock or Shares distributed pursuant to a Deferred Stock Unit award;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value of the consideration shall not be less than the par value of a Share, unless otherwise permitted by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10.8    </w:t>
      </w:r>
      <w:r>
        <w:rPr>
          <w:rFonts w:ascii="Times New Roman;serif" w:hAnsi="Times New Roman;serif"/>
          <w:b w:val="false"/>
          <w:color w:val="000000"/>
          <w:sz w:val="24"/>
          <w:u w:val="single"/>
        </w:rPr>
        <w:t>Termination of Service</w:t>
      </w:r>
      <w:r>
        <w:rPr>
          <w:rFonts w:ascii="Times New Roman;serif" w:hAnsi="Times New Roman;serif"/>
          <w:b w:val="false"/>
          <w:color w:val="000000"/>
          <w:sz w:val="24"/>
        </w:rPr>
        <w:t>. A Performance Award, Stock Payment award, Dividend Equivalent award, Deferred Stock award and/or Deferred Stock Unit award is distributable only while the Holder is an Employee, Director or Consultant, as applicable. The Administrator, however, in its sole discretion may provide that the Performance Award, Dividend Equivalent award, Stock Payment award, Deferred Stock award and/or Deferred Stock Unit award may be distributed subsequent to a Termination of Service in certain events, including a Change in Control, the Holder’s death, retirement or disability or any other specified Termination of Service.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11.</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AWARD OF STOCK APPRECIATION RIGHTS</w:t>
      </w:r>
    </w:p>
    <w:p>
      <w:pPr>
        <w:pStyle w:val="TextBody"/>
        <w:bidi w:val="0"/>
        <w:spacing w:lineRule="auto" w:line="288" w:before="0" w:after="240"/>
        <w:ind w:left="0" w:right="0" w:firstLine="720"/>
        <w:jc w:val="both"/>
        <w:rPr/>
      </w:pPr>
      <w:r>
        <w:rPr>
          <w:rFonts w:ascii="Times New Roman;serif" w:hAnsi="Times New Roman;serif"/>
          <w:b w:val="false"/>
          <w:color w:val="000000"/>
          <w:sz w:val="24"/>
        </w:rPr>
        <w:t>11.1    </w:t>
      </w:r>
      <w:r>
        <w:rPr>
          <w:rFonts w:ascii="Times New Roman;serif" w:hAnsi="Times New Roman;serif"/>
          <w:b w:val="false"/>
          <w:color w:val="000000"/>
          <w:sz w:val="24"/>
          <w:u w:val="single"/>
        </w:rPr>
        <w:t>Grant of Stock Appreciation Rights</w:t>
      </w:r>
      <w:r>
        <w:rPr>
          <w:rFonts w:ascii="Times New Roman;serif" w:hAnsi="Times New Roman;serif"/>
          <w:b w:val="false"/>
          <w:color w:val="000000"/>
          <w:sz w:val="24"/>
        </w:rPr>
        <w:t>.</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(a)    The Administrator is authorized to grant Stock Appreciation Rights to Eligible Individuals from time to time, in its sole discretion, on such terms and conditions as it may determine consistent with the Plan.</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(b)    A Stock Appreciation Right shall entitle the Holder (or other person entitled to exercise the Stock Appreciation Right pursuant to the Plan) to exercise all or a specified portion of the Stock Appreciation Right (to the extent then exercisable pursuant to its terms) and to receive from the Company an amount determined by multiplying the difference obtained by subtracting the exercise price per share of the Stock Appreciation Right from the Fair Market Value on the date of exercise of the Stock Appreciation Right by the number of Shares with respect to which the Stock Appreciation Right shall have been exercised, subject to any limitations the Administrator may impose. Except as described in (c) below, the exercise price per Share subject to each Stock Appreciation Right shall be set by the Administrator, but shall not be less than 100% of the Fair Market Value on the date the Stock Appreciation Right is granted.</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 xml:space="preserve">(c)    Notwithstanding the foregoing provisions of Section 11.1(b) to the contrary, in the case of a Stock Appreciation Right that is a Substitute Award, the price per </w:t>
      </w:r>
    </w:p>
    <w:p>
      <w:pPr>
        <w:pStyle w:val="TextBody"/>
        <w:bidi w:val="0"/>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85445"/>
                <wp:effectExtent l="0" t="0" r="0" b="0"/>
                <wp:wrapNone/>
                <wp:docPr id="28" name="Frame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share of the Shares subject to such Stock Appreciation Right may be less than 100% of the Fair Market Value per share on the date of grant;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excess of: (i) the aggregate Fair Market Value (as of the date such Substitute Award is granted) of the Shares subject to the Substitute Award, over (ii)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pStyle w:val="TextBody"/>
        <w:bidi w:val="0"/>
        <w:spacing w:lineRule="auto" w:line="288" w:before="0" w:after="240"/>
        <w:ind w:left="0" w:right="0" w:firstLine="720"/>
        <w:jc w:val="both"/>
        <w:rPr/>
      </w:pPr>
      <w:r>
        <w:rPr>
          <w:rFonts w:ascii="Times New Roman;serif" w:hAnsi="Times New Roman;serif"/>
          <w:b w:val="false"/>
          <w:color w:val="000000"/>
          <w:sz w:val="24"/>
        </w:rPr>
        <w:t>11.2    </w:t>
      </w:r>
      <w:r>
        <w:rPr>
          <w:rFonts w:ascii="Times New Roman;serif" w:hAnsi="Times New Roman;serif"/>
          <w:b w:val="false"/>
          <w:color w:val="000000"/>
          <w:sz w:val="24"/>
          <w:u w:val="single"/>
        </w:rPr>
        <w:t>Stock Appreciation Right Vesting</w:t>
      </w:r>
      <w:r>
        <w:rPr>
          <w:rFonts w:ascii="Times New Roman;serif" w:hAnsi="Times New Roman;serif"/>
          <w:b w:val="false"/>
          <w:color w:val="000000"/>
          <w:sz w:val="24"/>
        </w:rPr>
        <w:t>.</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(a)    The period during which the right to exercise, in whole or in part, a Stock Appreciation Right vests in the Holder shall be set by the Administrator and the Administrator may determine that a Stock Appreciation Right may not be exercised in whole or in part for a specified period after it is granted. Such vesting may be based on service with the Company or any Affiliate, or any other criteria selected by the Administrator. At any time after grant of a Stock Appreciation Right, the Administrator may, in its sole discretion and subject to whatever terms and conditions it selects, accelerate the period during which a Stock Appreciation Right vests.</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(b)    No portion of a Stock Appreciation Right which is unexercisable at Termination of Service shall thereafter become exercisable, except as may be otherwise provided by the Administrator either in the applicable Program or Award Agreement or by action of the Administrator following the grant of the Stock Appreciation Right.</w:t>
      </w:r>
    </w:p>
    <w:p>
      <w:pPr>
        <w:pStyle w:val="TextBody"/>
        <w:bidi w:val="0"/>
        <w:spacing w:lineRule="auto" w:line="288" w:before="0" w:after="240"/>
        <w:ind w:left="0" w:right="0" w:firstLine="720"/>
        <w:jc w:val="both"/>
        <w:rPr/>
      </w:pPr>
      <w:r>
        <w:rPr>
          <w:rFonts w:ascii="Times New Roman;serif" w:hAnsi="Times New Roman;serif"/>
          <w:b w:val="false"/>
          <w:color w:val="000000"/>
          <w:sz w:val="24"/>
        </w:rPr>
        <w:t>11.3    </w:t>
      </w:r>
      <w:r>
        <w:rPr>
          <w:rFonts w:ascii="Times New Roman;serif" w:hAnsi="Times New Roman;serif"/>
          <w:b w:val="false"/>
          <w:color w:val="000000"/>
          <w:sz w:val="24"/>
          <w:u w:val="single"/>
        </w:rPr>
        <w:t>Manner of Exercise</w:t>
      </w:r>
      <w:r>
        <w:rPr>
          <w:rFonts w:ascii="Times New Roman;serif" w:hAnsi="Times New Roman;serif"/>
          <w:b w:val="false"/>
          <w:color w:val="000000"/>
          <w:sz w:val="24"/>
        </w:rPr>
        <w:t>. All or a portion of an exercisable Stock Appreciation Right shall be deemed exercised upon delivery of all of the following to the Secretary of the Company, the stock administrator of the Company, or such other person or entity designated by the Administrator, or his, her or its office, as applicable:</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(a)    A written or electronic notice complying with the applicable rules established by the Administrator stating that the Stock Appreciation Right, or a portion thereof, is exercised. The notice shall be signed by the Holder or other person then entitled to exercise the Stock Appreciation Right or such portion of the Stock Appreciation Right;</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(b)    Such representations and documents as the Administrator, in its sole discretion, deems necessary or advisable to effect compliance with Applicable Law. The Administrator may, in its sole discretion, also take whatever additional actions it deems appropriate to effect such compliance; and</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(c)    In the event that the Stock Appreciation Right shall be exercised pursuant to this Section 11.3 by any person or persons other than the Holder, appropriate proof of the right of such person or persons to exercise the Stock Appreciation Right.</w:t>
      </w:r>
    </w:p>
    <w:p>
      <w:pPr>
        <w:pStyle w:val="TextBody"/>
        <w:bidi w:val="0"/>
        <w:spacing w:lineRule="auto" w:line="288" w:before="0" w:after="240"/>
        <w:ind w:left="0" w:right="0" w:firstLine="720"/>
        <w:jc w:val="both"/>
        <w:rPr/>
      </w:pPr>
      <w:r>
        <w:rPr>
          <w:rFonts w:ascii="Times New Roman;serif" w:hAnsi="Times New Roman;serif"/>
          <w:b w:val="false"/>
          <w:color w:val="000000"/>
          <w:sz w:val="24"/>
        </w:rPr>
        <w:t>11.4    </w:t>
      </w:r>
      <w:r>
        <w:rPr>
          <w:rFonts w:ascii="Times New Roman;serif" w:hAnsi="Times New Roman;serif"/>
          <w:b w:val="false"/>
          <w:color w:val="000000"/>
          <w:sz w:val="24"/>
          <w:u w:val="single"/>
        </w:rPr>
        <w:t>Stock Appreciation Right Term</w:t>
      </w:r>
      <w:r>
        <w:rPr>
          <w:rFonts w:ascii="Times New Roman;serif" w:hAnsi="Times New Roman;serif"/>
          <w:b w:val="false"/>
          <w:color w:val="000000"/>
          <w:sz w:val="24"/>
        </w:rPr>
        <w:t>. The term of each Stock Appreciation Right (the “</w:t>
      </w:r>
      <w:r>
        <w:rPr>
          <w:rFonts w:ascii="Times New Roman;serif" w:hAnsi="Times New Roman;serif"/>
          <w:b w:val="false"/>
          <w:color w:val="000000"/>
          <w:sz w:val="24"/>
          <w:u w:val="single"/>
        </w:rPr>
        <w:t>Stock Appreciation Right Term</w:t>
      </w:r>
      <w:r>
        <w:rPr>
          <w:color w:val="000000"/>
        </w:rPr>
        <w:t>”</w:t>
      </w:r>
      <w:r>
        <w:rPr>
          <w:rFonts w:ascii="Times New Roman;serif" w:hAnsi="Times New Roman;serif"/>
          <w:b w:val="false"/>
          <w:color w:val="000000"/>
          <w:sz w:val="24"/>
        </w:rPr>
        <w:t xml:space="preserve">) shall be set by the Administrator in its sole discretion; </w:t>
      </w:r>
    </w:p>
    <w:p>
      <w:pPr>
        <w:pStyle w:val="TextBody"/>
        <w:bidi w:val="0"/>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85445"/>
                <wp:effectExtent l="0" t="0" r="0" b="0"/>
                <wp:wrapNone/>
                <wp:docPr id="29" name="Frame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term shall not be more than ten (10) years from the date the Stock Appreciation Right is granted. The Administrator shall determine the time period, including the time period following a Termination of Service, during which the Holder has the right to exercise the vested Stock Appreciation Rights, which time period may not extend beyond the expiration date of the Stock Appreciation Right Term. Except as limited by the requirements of Section 409A of the Code and regulations and rulings thereunder or the first sentence of this Section 11.4, the Administrator may extend the Stock Appreciation Right Term of any outstanding Stock Appreciation Right, and may extend the time period during which vested Stock Appreciation Rights may be exercised, in connection with any Termination of Service of the Holder, and may amend, subject to Section 14.1, any other term or condition of such Stock Appreciation Right relating to such a Termination of Service.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11.5    </w:t>
      </w:r>
      <w:r>
        <w:rPr>
          <w:rFonts w:ascii="Times New Roman;serif" w:hAnsi="Times New Roman;serif"/>
          <w:b w:val="false"/>
          <w:color w:val="000000"/>
          <w:sz w:val="24"/>
          <w:u w:val="single"/>
        </w:rPr>
        <w:t>Payment</w:t>
      </w:r>
      <w:r>
        <w:rPr>
          <w:rFonts w:ascii="Times New Roman;serif" w:hAnsi="Times New Roman;serif"/>
          <w:b w:val="false"/>
          <w:color w:val="000000"/>
          <w:sz w:val="24"/>
        </w:rPr>
        <w:t>. Payment of the amounts payable with respect to Stock Appreciation Rights pursuant to this Article 11 shall be in cash, Shares (based on its Fair Market Value as of the date the Stock Appreciation Right is exercised), or a combination of both, as determined by the Administrator.</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12.</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ADDITIONAL TERMS OF AWARDS</w:t>
      </w:r>
    </w:p>
    <w:p>
      <w:pPr>
        <w:pStyle w:val="TextBody"/>
        <w:bidi w:val="0"/>
        <w:spacing w:lineRule="auto" w:line="288" w:before="0" w:after="240"/>
        <w:ind w:left="0" w:right="0" w:firstLine="720"/>
        <w:jc w:val="both"/>
        <w:rPr/>
      </w:pPr>
      <w:r>
        <w:rPr>
          <w:rFonts w:ascii="Times New Roman;serif" w:hAnsi="Times New Roman;serif"/>
          <w:b w:val="false"/>
          <w:color w:val="000000"/>
          <w:sz w:val="24"/>
        </w:rPr>
        <w:t>12.1    </w:t>
      </w:r>
      <w:r>
        <w:rPr>
          <w:rFonts w:ascii="Times New Roman;serif" w:hAnsi="Times New Roman;serif"/>
          <w:b w:val="false"/>
          <w:color w:val="000000"/>
          <w:sz w:val="24"/>
          <w:u w:val="single"/>
        </w:rPr>
        <w:t>Payment</w:t>
      </w:r>
      <w:r>
        <w:rPr>
          <w:rFonts w:ascii="Times New Roman;serif" w:hAnsi="Times New Roman;serif"/>
          <w:b w:val="false"/>
          <w:color w:val="000000"/>
          <w:sz w:val="24"/>
        </w:rPr>
        <w:t xml:space="preserve">. The Administrator shall determine the methods by which payments by any Holder with respect to any Awards granted under the Plan shall be made, including, without limitation: (a) cash or check, (b) Shares (including, in the case of payment of the exercise price of an Award, Shares issuable pursuant to the exercise of the Award) or Shares held for such period of time as may be required by the Administrator in order to avoid adverse accounting consequences, in each case, having a Fair Market Value on the date of delivery equal to the aggregate payments required, (c) delivery of a written or electronic notice that the Holder has placed a market sell order with a broker with respect to Shares then issuable upon exercise or vesting of an Award, and that the broker has been directed to pay a sufficient portion of the net proceeds of the sale to the Company in satisfaction of the aggregate payments required;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payment of such proceeds is then made to the Company upon settlement of such sale, or (d) other form of legal consideration acceptable to the Administrator. The Administrator shall also determine the methods by which Shares shall be delivered or deemed to be delivered to Holders.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pStyle w:val="TextBody"/>
        <w:bidi w:val="0"/>
        <w:spacing w:lineRule="auto" w:line="288" w:before="0" w:after="240"/>
        <w:ind w:left="0" w:right="0" w:firstLine="720"/>
        <w:jc w:val="both"/>
        <w:rPr/>
      </w:pPr>
      <w:r>
        <w:rPr>
          <w:rFonts w:ascii="Times New Roman;serif" w:hAnsi="Times New Roman;serif"/>
          <w:b w:val="false"/>
          <w:color w:val="000000"/>
          <w:sz w:val="24"/>
        </w:rPr>
        <w:t>12.2    </w:t>
      </w:r>
      <w:r>
        <w:rPr>
          <w:rFonts w:ascii="Times New Roman;serif" w:hAnsi="Times New Roman;serif"/>
          <w:b w:val="false"/>
          <w:color w:val="000000"/>
          <w:sz w:val="24"/>
          <w:u w:val="single"/>
        </w:rPr>
        <w:t>Tax Withholding</w:t>
      </w:r>
      <w:r>
        <w:rPr>
          <w:rFonts w:ascii="Times New Roman;serif" w:hAnsi="Times New Roman;serif"/>
          <w:b w:val="false"/>
          <w:color w:val="000000"/>
          <w:sz w:val="24"/>
        </w:rPr>
        <w:t xml:space="preserve">. The Company or any Affiliate shall have the authority and the right to deduct or withhold, or require a Holder to remit to the Company, an amount sufficient to satisfy federal, state, local and foreign taxes (including the Holder’s FICA or employment tax obligation) required or permitted by law to be withheld with respect to any taxable event concerning a Holder arising as a result of the Plan. The Administrator may, in its </w:t>
      </w:r>
    </w:p>
    <w:p>
      <w:pPr>
        <w:pStyle w:val="TextBody"/>
        <w:bidi w:val="0"/>
        <w:spacing w:before="0" w:after="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85445"/>
                <wp:effectExtent l="0" t="0" r="0" b="0"/>
                <wp:wrapNone/>
                <wp:docPr id="30" name="Frame2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sole discretion and subject to such terms and conditions as it may specify, allow or provide for the Company to withhold Shares otherwise issuable under an Award (or allow the surrender of Shares) in payment of such tax withholding. The number of Shares which may be so withheld or surrendered shall be limited to the number of Shares which have a Fair Market Value on the date of withholding or repurchase sufficient to satisfy the maximum statutory withholding rates for federal, state, local and foreign income tax and payroll tax purposes that are applicable to such supplemental taxable income. The Administrator shall determine the fair market value of the Shares, consistent with any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 Pursuant to Section 3.1(b)(ii), any such Shares withheld or surrendered will not be available for future grants of Awards under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12.3    </w:t>
      </w:r>
      <w:r>
        <w:rPr>
          <w:rFonts w:ascii="Times New Roman;serif" w:hAnsi="Times New Roman;serif"/>
          <w:b w:val="false"/>
          <w:color w:val="000000"/>
          <w:sz w:val="24"/>
          <w:u w:val="single"/>
        </w:rPr>
        <w:t>Transferability of Awards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Except as otherwise provided in Section 12.3(b):</w:t>
      </w:r>
    </w:p>
    <w:p>
      <w:pPr>
        <w:pStyle w:val="TextBody"/>
        <w:bidi w:val="0"/>
        <w:spacing w:lineRule="auto" w:line="288" w:before="0" w:after="240"/>
        <w:ind w:left="0" w:right="0" w:firstLine="1980"/>
        <w:jc w:val="both"/>
        <w:rPr>
          <w:rFonts w:ascii="Times New Roman;serif" w:hAnsi="Times New Roman;serif"/>
          <w:b w:val="false"/>
          <w:color w:val="000000"/>
          <w:sz w:val="24"/>
        </w:rPr>
      </w:pPr>
      <w:r>
        <w:rPr>
          <w:rFonts w:ascii="Times New Roman;serif" w:hAnsi="Times New Roman;serif"/>
          <w:b w:val="false"/>
          <w:color w:val="000000"/>
          <w:sz w:val="24"/>
        </w:rPr>
        <w:t>(i)    No Award under the Plan may be sold, pledged, assigned or transferred in any manner other than by will or the laws of descent and distribution or, subject to the consent of the Administrator, pursuant to a DRO, unless and until such Award has been exercised, or the Shares underlying such Award have been issued, and all restrictions applicable to such Shares have lapsed;</w:t>
      </w:r>
    </w:p>
    <w:p>
      <w:pPr>
        <w:pStyle w:val="TextBody"/>
        <w:bidi w:val="0"/>
        <w:spacing w:lineRule="auto" w:line="288" w:before="0" w:after="240"/>
        <w:ind w:left="0" w:right="0" w:firstLine="1980"/>
        <w:jc w:val="both"/>
        <w:rPr>
          <w:rFonts w:ascii="Times New Roman;serif" w:hAnsi="Times New Roman;serif"/>
          <w:b w:val="false"/>
          <w:color w:val="000000"/>
          <w:sz w:val="24"/>
        </w:rPr>
      </w:pPr>
      <w:r>
        <w:rPr>
          <w:rFonts w:ascii="Times New Roman;serif" w:hAnsi="Times New Roman;serif"/>
          <w:b w:val="false"/>
          <w:color w:val="000000"/>
          <w:sz w:val="24"/>
        </w:rPr>
        <w:t>(ii)    No Award or interest or right therein shall be liable for the debts, contracts or engagements of the Holder or the Holder’s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and</w:t>
      </w:r>
    </w:p>
    <w:p>
      <w:pPr>
        <w:pStyle w:val="TextBody"/>
        <w:bidi w:val="0"/>
        <w:spacing w:lineRule="auto" w:line="288" w:before="0" w:after="240"/>
        <w:ind w:left="0" w:right="0" w:firstLine="1980"/>
        <w:jc w:val="both"/>
        <w:rPr>
          <w:rFonts w:ascii="Times New Roman;serif" w:hAnsi="Times New Roman;serif"/>
          <w:b w:val="false"/>
          <w:color w:val="000000"/>
          <w:sz w:val="24"/>
        </w:rPr>
      </w:pPr>
      <w:r>
        <w:rPr>
          <w:rFonts w:ascii="Times New Roman;serif" w:hAnsi="Times New Roman;serif"/>
          <w:b w:val="false"/>
          <w:color w:val="000000"/>
          <w:sz w:val="24"/>
        </w:rPr>
        <w:t>(iii)    During the lifetime of the Holder, only the Holder may exercise an Award (or any portion thereof) granted to such Holder under the Plan, unless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then applicable laws of descent and distribution.</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 xml:space="preserve">(b)    Notwithstanding Section 12.3(a), the Administrator, in its sole discretion, may determine to permit a Holder to transfer an Award other than an Incentive Stock Option to any one or more Permitted Transferees, subject to the following terms and conditions: (i) an Award transferred to a Permitted Transferee shall not be assignable or transferable by the Permitted Transferee other than by will or the laws of descent and distribution or pursuant to a DRO; (ii) an Award transferred to a Permitted Transferee shall continue to be subject to all the </w:t>
      </w:r>
    </w:p>
    <w:p>
      <w:pPr>
        <w:pStyle w:val="TextBody"/>
        <w:bidi w:val="0"/>
        <w:spacing w:before="0" w:after="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85445"/>
                <wp:effectExtent l="0" t="0" r="0" b="0"/>
                <wp:wrapNone/>
                <wp:docPr id="31" name="Frame3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terms and conditions of the Award as applicable to the original Holder (other than the ability to further transfer the Award); and (iii) the Holder and the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w:t>
      </w:r>
    </w:p>
    <w:p>
      <w:pPr>
        <w:pStyle w:val="TextBody"/>
        <w:bidi w:val="0"/>
        <w:spacing w:lineRule="auto" w:line="288" w:before="0" w:after="240"/>
        <w:ind w:left="0" w:right="0" w:firstLine="1260"/>
        <w:jc w:val="both"/>
        <w:rPr/>
      </w:pPr>
      <w:r>
        <w:rPr>
          <w:rFonts w:ascii="Times New Roman;serif" w:hAnsi="Times New Roman;serif"/>
          <w:b w:val="false"/>
          <w:color w:val="000000"/>
          <w:sz w:val="24"/>
        </w:rPr>
        <w:t xml:space="preserve">(c)    Notwithstanding Section 12.3(a),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except to the extent the Plan, the Program and the Award Agreement otherwise provide, and to any additional restrictions deemed necessary or appropriate by the Administrator. If the Holder is married or has a domestic partner in a domestic partnership qualified under Applicable Law and resides in a community property state, a designation of a person other than the Holder’s spouse, or domestic partner, as applicable, as his or her beneficiary with respect to more than 50% of the Holder’s interest in the Award shall not be effective without the prior written or electronic consent of the Holder’s spouse or domestic partner.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change or revocation is filed with the Administrator prior to the Holder’s death.</w:t>
      </w:r>
    </w:p>
    <w:p>
      <w:pPr>
        <w:pStyle w:val="TextBody"/>
        <w:bidi w:val="0"/>
        <w:spacing w:lineRule="auto" w:line="288" w:before="0" w:after="240"/>
        <w:ind w:left="0" w:right="0" w:firstLine="720"/>
        <w:jc w:val="both"/>
        <w:rPr/>
      </w:pPr>
      <w:r>
        <w:rPr>
          <w:rFonts w:ascii="Times New Roman;serif" w:hAnsi="Times New Roman;serif"/>
          <w:b w:val="false"/>
          <w:color w:val="000000"/>
          <w:sz w:val="24"/>
        </w:rPr>
        <w:t>12.4    </w:t>
      </w:r>
      <w:r>
        <w:rPr>
          <w:rFonts w:ascii="Times New Roman;serif" w:hAnsi="Times New Roman;serif"/>
          <w:b w:val="false"/>
          <w:color w:val="000000"/>
          <w:sz w:val="24"/>
          <w:u w:val="single"/>
        </w:rPr>
        <w:t>Conditions to Issuance of Shares</w:t>
      </w:r>
      <w:r>
        <w:rPr>
          <w:rFonts w:ascii="Times New Roman;serif" w:hAnsi="Times New Roman;serif"/>
          <w:b w:val="false"/>
          <w:color w:val="000000"/>
          <w:sz w:val="24"/>
        </w:rPr>
        <w:t>.</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(a)    Notwithstanding anything herein to the contrary, the Company shall not be required to issue or deliver any certificates or make any book entries evidencing Shares pursuant to the exercise of any Award, unless and until the Board or the Committee has determined, with advice of counsel, that the issuance of such Shares is in compliance with Applicable Law, and the Shares are covered by an effective registration statement or applicable exemption from registration. In addition to the terms and conditions provided herein, the Board or the Committee may require that a Holder make such reasonable covenants, agreements, and representations as the Board or the Committee, in its discretion, deems advisable in order to comply with Applicable Law.</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(b)    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(c)    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pStyle w:val="TextBody"/>
        <w:bidi w:val="0"/>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85445"/>
                <wp:effectExtent l="0" t="0" r="0" b="0"/>
                <wp:wrapNone/>
                <wp:docPr id="32" name="Frame3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(d)    No fractional Shares shall be issued and the Administrator shall determine, in its sole discretion, whether cash shall be given in lieu of fractional Shares or whether such fractional Shares shall be eliminated by rounding down.</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(e)    Notwithstanding any other provision of the Plan, unless otherwise determined by the Administrator or required by Applicable Law, the Company shall not deliver to any Holder certificates evidencing Shares issued in connection with any Award and instead such Shares shall be recorded in the books of the Company (or, as applicable, its transfer agent or stock plan administrator).</w:t>
      </w:r>
    </w:p>
    <w:p>
      <w:pPr>
        <w:pStyle w:val="TextBody"/>
        <w:bidi w:val="0"/>
        <w:spacing w:lineRule="auto" w:line="288" w:before="0" w:after="240"/>
        <w:ind w:left="0" w:right="0" w:firstLine="720"/>
        <w:jc w:val="both"/>
        <w:rPr/>
      </w:pPr>
      <w:r>
        <w:rPr>
          <w:rFonts w:ascii="Times New Roman;serif" w:hAnsi="Times New Roman;serif"/>
          <w:b w:val="false"/>
          <w:color w:val="000000"/>
          <w:sz w:val="24"/>
        </w:rPr>
        <w:t>12.5    </w:t>
      </w:r>
      <w:r>
        <w:rPr>
          <w:rFonts w:ascii="Times New Roman;serif" w:hAnsi="Times New Roman;serif"/>
          <w:b w:val="false"/>
          <w:color w:val="000000"/>
          <w:sz w:val="24"/>
          <w:u w:val="single"/>
        </w:rPr>
        <w:t>Forfeiture and Claw-Back Provisions</w:t>
      </w:r>
      <w:r>
        <w:rPr>
          <w:rFonts w:ascii="Times New Roman;serif" w:hAnsi="Times New Roman;serif"/>
          <w:b w:val="false"/>
          <w:color w:val="000000"/>
          <w:sz w:val="24"/>
        </w:rPr>
        <w:t xml:space="preserve">. Pursuant to its general authority to determine the terms and conditions applicable to Awards under the Plan, the Administrator shall have the right to provide, in an Award Agreement or otherwise, or to require a Holder to agree by separate written or electronic instrument, that: </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(a)    (i) Any proceeds, gains or other economic benefit actually or constructively received by the Holder upon any receipt or exercise of the Award, or upon the receipt or resale of any Shares underlying the Award, must be paid to the Company, and (ii) the Award shall terminate and any unexercised portion of the Award (whether or not vested) shall be forfeited, if (x) a Termination of Service occurs prior to a specified date, or within a specified time period following receipt or exercise of the Award, or (y) the Holder at any time, or during a specified time period, engages in any activity in competition with the Company, or which is inimical, contrary or harmful to the interests of the Company, as further defined by the Administrator or (z) the Holder incurs a Termination of Service for “cause” (as such term is defined in the sole discretion of the Administrator, or as set forth in a written agreement relating to such Award between the Company and the Holder); and</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(b)    All Awards (including any proceeds, gains or other economic benefit actually or constructively received by the Holder upon any receipt or exercise of any Award or upon the receipt or resale of any Shares underlying the Award) shall be subject to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to the extent set forth in such claw-back policy and/or in the applicable Award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12.6    </w:t>
      </w:r>
      <w:r>
        <w:rPr>
          <w:rFonts w:ascii="Times New Roman;serif" w:hAnsi="Times New Roman;serif"/>
          <w:b w:val="false"/>
          <w:color w:val="000000"/>
          <w:sz w:val="24"/>
          <w:u w:val="single"/>
        </w:rPr>
        <w:t>Prohibition on Repricing</w:t>
      </w:r>
      <w:r>
        <w:rPr>
          <w:rFonts w:ascii="Times New Roman;serif" w:hAnsi="Times New Roman;serif"/>
          <w:b w:val="false"/>
          <w:color w:val="000000"/>
          <w:sz w:val="24"/>
        </w:rPr>
        <w:t xml:space="preserve">. Subject to Section 14.2, the Administrator shall not, without the approval of the stockholders of the Company, (i) authorize the amendment of any outstanding Option or Stock Appreciation Right to reduce its price per share, or (ii) cancel any Option or Stock Appreciation Right in exchange for cash or another Award when the Option or Stock Appreciation Right price per share exceeds the Fair Market Value of the underlying Shares. Subject to Section 14.2, the Administrator shall have the authority, without the approval of the stockholders of the Company, to amend any outstanding Award to increase the </w:t>
      </w: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85445"/>
                <wp:effectExtent l="0" t="0" r="0" b="0"/>
                <wp:wrapNone/>
                <wp:docPr id="33" name="Frame3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price per share or to cancel and replace an Award with the grant of an Award having a price per share that is greater than or equal to the price per share of the original Award.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13.</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ADMINISTRATION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13.1    </w:t>
      </w:r>
      <w:r>
        <w:rPr>
          <w:rFonts w:ascii="Times New Roman;serif" w:hAnsi="Times New Roman;serif"/>
          <w:b w:val="false"/>
          <w:color w:val="000000"/>
          <w:sz w:val="24"/>
          <w:u w:val="single"/>
        </w:rPr>
        <w:t>Administrator</w:t>
      </w:r>
      <w:r>
        <w:rPr>
          <w:rFonts w:ascii="Times New Roman;serif" w:hAnsi="Times New Roman;serif"/>
          <w:b w:val="false"/>
          <w:color w:val="000000"/>
          <w:sz w:val="24"/>
        </w:rPr>
        <w:t xml:space="preserve">. The Committee (or another committee or a subcommittee of the Board assuming the functions of the Committee under the Plan) shall administer the Plan (except as otherwise permitted herein). To the extent necessary to comply with Rule 16b-3 of the Exchange Act, and with respect to Awards that are intended to be Performance-Based Compensation, including Options and Stock Appreciation Rights, then the Committee (or another committee or subcommittee of the Board assuming the functions of the Committee under the Plan) shall take all action with respect to such Awards, and the individuals taking such action shall consist solely of two or more Non-Employee Directors appointed by and holding office at the pleasure of the Board, each of whom is intended to qualify as both a “non-employee director” as defined by Rule 16b-3 of the Exchange Act or any successor rule, an “outside director” for purposes of Section 162(m) of the Code and an “independent director” under the rules of any securities exchange or automated quotation system on which the Shares are listed, quoted or traded;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action taken by the Committee shall be valid and effective, whether or not members of the Committee at the time of such action are later determined not to have satisfied the requirements for membership set forth in this Section 13.l or otherwise provided in any charter of the Committee. Except as may otherwise be provided in any charter of the Committee, appointment of Committee members shall be effective upon acceptance of appointment. Committee members may resign at any time by delivering written or electronic notice to the Board. Vacancies in the Committee may only be filled by the Board. Notwithstanding the foregoing, (a) the full Board, acting by a majority of its members in office, shall conduct the general administration of the Plan with respect to Awards granted to Non-Employee Directors and, with respect to such Awards, the terms “Administrator” and “Committee” as used in the Plan shall be deemed to refer to the Board and (b) the Board or Committee may delegate its authority hereunder to the extent permitted by Section 13.6.</w:t>
      </w:r>
    </w:p>
    <w:p>
      <w:pPr>
        <w:pStyle w:val="TextBody"/>
        <w:bidi w:val="0"/>
        <w:spacing w:lineRule="auto" w:line="288" w:before="0" w:after="240"/>
        <w:ind w:left="0" w:right="0" w:firstLine="720"/>
        <w:jc w:val="both"/>
        <w:rPr/>
      </w:pPr>
      <w:r>
        <w:rPr>
          <w:rFonts w:ascii="Times New Roman;serif" w:hAnsi="Times New Roman;serif"/>
          <w:b w:val="false"/>
          <w:color w:val="000000"/>
          <w:sz w:val="24"/>
        </w:rPr>
        <w:t>13.2    </w:t>
      </w:r>
      <w:r>
        <w:rPr>
          <w:rFonts w:ascii="Times New Roman;serif" w:hAnsi="Times New Roman;serif"/>
          <w:b w:val="false"/>
          <w:color w:val="000000"/>
          <w:sz w:val="24"/>
          <w:u w:val="single"/>
        </w:rPr>
        <w:t>Duties and Powers of Committee</w:t>
      </w:r>
      <w:r>
        <w:rPr>
          <w:rFonts w:ascii="Times New Roman;serif" w:hAnsi="Times New Roman;serif"/>
          <w:b w:val="false"/>
          <w:color w:val="000000"/>
          <w:sz w:val="24"/>
        </w:rPr>
        <w:t xml:space="preserve">. It shall be the duty of the Committee to conduct the general administration of the Plan in accordance with its provisions. The Committee shall have the power to interpret the Plan, the Program and the Award Agreement, and to adopt such rules for the administration, interpretation and application of the Plan as are not inconsistent therewith, to interpret, amend or revoke any such rules and to amend any Program or Award Agreement;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rights or obligations of the Holder of the Award that is the subject of any such Program or Award Agreement are not affected adversely by such amendment, unless the consent of the Holder is obtained or such amendment is otherwise permitted under Section 14.10. Any such grant or award under the Plan need not be the same with respect to each Holder. Any such interpretations and rules with respect to Incentive Stock Options shall be consistent with the provisions of Section 422 of the Code. In its sole discretion, the Board may at any time and from time to time exercise any and all rights and duties of the Committee under the Plan except with respect to matters which under Rule </w:t>
      </w:r>
    </w:p>
    <w:p>
      <w:pPr>
        <w:pStyle w:val="TextBody"/>
        <w:bidi w:val="0"/>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85445"/>
                <wp:effectExtent l="0" t="0" r="0" b="0"/>
                <wp:wrapNone/>
                <wp:docPr id="34" name="Frame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16b-3 under the Exchange Act or any successor rule, or Section 162(m) of the Code, or any regulations or rules issued thereunder, or the rules of any securities exchange or automated quotation system on which the Shares are listed, quoted or traded are required to be determined in the sole discretion of the Committee. </w:t>
      </w:r>
    </w:p>
    <w:p>
      <w:pPr>
        <w:pStyle w:val="TextBody"/>
        <w:bidi w:val="0"/>
        <w:spacing w:lineRule="auto" w:line="288" w:before="0" w:after="240"/>
        <w:ind w:left="0" w:right="0" w:firstLine="720"/>
        <w:jc w:val="both"/>
        <w:rPr/>
      </w:pPr>
      <w:r>
        <w:rPr>
          <w:rFonts w:ascii="Times New Roman;serif" w:hAnsi="Times New Roman;serif"/>
          <w:b w:val="false"/>
          <w:color w:val="000000"/>
          <w:sz w:val="24"/>
        </w:rPr>
        <w:t>13.3    </w:t>
      </w:r>
      <w:r>
        <w:rPr>
          <w:rFonts w:ascii="Times New Roman;serif" w:hAnsi="Times New Roman;serif"/>
          <w:b w:val="false"/>
          <w:color w:val="000000"/>
          <w:sz w:val="24"/>
          <w:u w:val="single"/>
        </w:rPr>
        <w:t>Action by the Committee</w:t>
      </w:r>
      <w:r>
        <w:rPr>
          <w:rFonts w:ascii="Times New Roman;serif" w:hAnsi="Times New Roman;serif"/>
          <w:b w:val="false"/>
          <w:color w:val="000000"/>
          <w:sz w:val="24"/>
        </w:rPr>
        <w:t>. Unless otherwise established by the Board or in any charter of the Committee, a majority of the Committee shall constitute a quorum and the acts of a majority of the members present at any meeting at which a quorum is present, and acts approved in writing by all members of the Committee in lieu of a meeting, shall be deemed the acts of the Committee. Each member of the Committee is entitled to, in good faith, rely or act upon any report or other information furnished to that member by any officer or other employee of the Company or any Affiliate, the Company’s independent certified public accountants, or any executive compensation consultant or other professional retained by the Company to assist in the administration of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13.4    </w:t>
      </w:r>
      <w:r>
        <w:rPr>
          <w:rFonts w:ascii="Times New Roman;serif" w:hAnsi="Times New Roman;serif"/>
          <w:b w:val="false"/>
          <w:color w:val="000000"/>
          <w:sz w:val="24"/>
          <w:u w:val="single"/>
        </w:rPr>
        <w:t>Authority of Administrator</w:t>
      </w:r>
      <w:r>
        <w:rPr>
          <w:rFonts w:ascii="Times New Roman;serif" w:hAnsi="Times New Roman;serif"/>
          <w:b w:val="false"/>
          <w:color w:val="000000"/>
          <w:sz w:val="24"/>
        </w:rPr>
        <w:t>. Subject to the Company’s Bylaws, the Committee’s Charter and any specific designation in the Plan, the Administrator has the exclusive power, authority and sole discretion to:</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(a)    Designate Eligible Individuals to receive Awards;</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(b)    Determine the type or types of Awards to be granted to each Eligible Individual;</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(c)    Determine the number of Awards to be granted and the number of Shares to which an Award will relate;</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(d)    Determine the terms and conditions of any Award granted pursuant to the Plan, including, but not limited to, the exercise price, grant price, or purchase price, any Performance Criteria, any restrictions or limitations on the Award, any schedule for vesting, lapse of forfeiture restrictions or restrictions on the exercisability of an Award, and accelerations or waivers thereof, and any provisions related to non-competition and recapture of gain on an Award, based in each case on such considerations as the Administrator in its sole discretion determines;</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(e)    Determine whether, to what extent, and pursuant to what circumstances an Award may be settled in, or the exercise price of an Award may be paid in cash, Shares, other Awards, or other property, or an Award may be canceled, forfeited, or surrendered;</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(f)        Prescribe the form of each Award Agreement, which need not be identical for each Holder;</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(g)    Decide all other matters that must be determined in connection with an Award;</w:t>
      </w: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85445"/>
                <wp:effectExtent l="0" t="0" r="0" b="0"/>
                <wp:wrapNone/>
                <wp:docPr id="35" name="Frame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(h)    Establish, adopt, or revise any rules and regulations as it may deem necessary or advisable to administer the Plan;</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 xml:space="preserve">(i)        Interpret the terms of, and any matter arising pursuant to, the Plan, any Program or any Award Agreement; </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(j)        Make all other decisions and determinations that may be required pursuant to the Plan or as the Administrator deems necessary or advisable to administer the Plan; and</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(k)    Accelerate wholly or partially the vesting or lapse of restrictions of any Award or portion thereof at any time after the grant of an Award, subject to whatever terms and conditions it selects and Section 14.2.</w:t>
      </w:r>
    </w:p>
    <w:p>
      <w:pPr>
        <w:pStyle w:val="TextBody"/>
        <w:bidi w:val="0"/>
        <w:spacing w:lineRule="auto" w:line="288" w:before="0" w:after="240"/>
        <w:ind w:left="0" w:right="0" w:firstLine="720"/>
        <w:jc w:val="both"/>
        <w:rPr/>
      </w:pPr>
      <w:r>
        <w:rPr>
          <w:rFonts w:ascii="Times New Roman;serif" w:hAnsi="Times New Roman;serif"/>
          <w:b w:val="false"/>
          <w:color w:val="000000"/>
          <w:sz w:val="24"/>
        </w:rPr>
        <w:t>13.5    </w:t>
      </w:r>
      <w:r>
        <w:rPr>
          <w:rFonts w:ascii="Times New Roman;serif" w:hAnsi="Times New Roman;serif"/>
          <w:b w:val="false"/>
          <w:color w:val="000000"/>
          <w:sz w:val="24"/>
          <w:u w:val="single"/>
        </w:rPr>
        <w:t>Decisions Binding</w:t>
      </w:r>
      <w:r>
        <w:rPr>
          <w:rFonts w:ascii="Times New Roman;serif" w:hAnsi="Times New Roman;serif"/>
          <w:b w:val="false"/>
          <w:color w:val="000000"/>
          <w:sz w:val="24"/>
        </w:rPr>
        <w:t>. The Administrator’s interpretation of the Plan, any Awards granted pursuant to the Plan, any Program, any Award Agreement and all decisions and determinations by the Administrator with respect to the Plan are final, binding, and conclusive on all parties.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13.6    </w:t>
      </w:r>
      <w:r>
        <w:rPr>
          <w:rFonts w:ascii="Times New Roman;serif" w:hAnsi="Times New Roman;serif"/>
          <w:b w:val="false"/>
          <w:color w:val="000000"/>
          <w:sz w:val="24"/>
          <w:u w:val="single"/>
        </w:rPr>
        <w:t>Delegation of Authority</w:t>
      </w:r>
      <w:r>
        <w:rPr>
          <w:rFonts w:ascii="Times New Roman;serif" w:hAnsi="Times New Roman;serif"/>
          <w:b w:val="false"/>
          <w:color w:val="000000"/>
          <w:sz w:val="24"/>
        </w:rPr>
        <w:t xml:space="preserve">. To the extent permitted by Applicable Law, the Board or Committee may from time to time delegate to a committee of one or more members of the Board or one or more officers of the Company the authority to grant or amend Awards or to take other administrative actions pursuant to this Article 13; </w:t>
      </w:r>
      <w:r>
        <w:rPr>
          <w:rFonts w:ascii="Times New Roman;serif" w:hAnsi="Times New Roman;serif"/>
          <w:b w:val="false"/>
          <w:color w:val="000000"/>
          <w:sz w:val="24"/>
          <w:u w:val="single"/>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in no event shall an officer of the Company be delegated the authority to grant awards to, or amend awards held by, the following individuals: (a) individuals who are subject to Section 16 of the Exchange Act, (b) Covered Employees, or (c) officers of the Company (or Directors) to whom authority to grant or amend Awards has been delegated hereunder;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any delegation of administrative authority shall only be permitted to the extent it is permissible under Section 162(m) of the Code and other Applicable Law. Any delegation hereunder shall be subject to the restrictions and limits that the Board or Committee specifies at the time of such delegation, and the Board may at any time rescind the authority so delegated or appoint a new delegatee. At all times, the delegatee appointed under this Section 13.6 shall serve in such capacity at the pleasure of the Board and the Committee.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14.</w:t>
        <w:br/>
        <w:br/>
        <w:t>MISCELLANEOUS PROVISIONS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14.1    </w:t>
      </w:r>
      <w:r>
        <w:rPr>
          <w:rFonts w:ascii="Times New Roman;serif" w:hAnsi="Times New Roman;serif"/>
          <w:b w:val="false"/>
          <w:color w:val="000000"/>
          <w:sz w:val="24"/>
          <w:u w:val="single"/>
        </w:rPr>
        <w:t>Amendment, Suspension or Termination of the Plan</w:t>
      </w:r>
      <w:r>
        <w:rPr>
          <w:rFonts w:ascii="Times New Roman;serif" w:hAnsi="Times New Roman;serif"/>
          <w:b w:val="false"/>
          <w:color w:val="000000"/>
          <w:sz w:val="24"/>
        </w:rPr>
        <w:t xml:space="preserve">. Except as otherwise provided in this Section 14.1, the Plan may be wholly or partially amended or otherwise modified, suspended or terminated at any time or from time to time by the Board or the Committee. However, without approval of the Company’s stockholders given within twelve (12) months before or after the action by the Administrator, no action of the Administrator may, except as provided in Section 14.2, (a) increase the limits imposed in Section 3.1 on the maximum number of Shares which may be issued under the Plan, (b) reduce the price per share of any outstanding Option or Stock Appreciation Right granted under the Plan or take any </w:t>
      </w: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85445"/>
                <wp:effectExtent l="0" t="0" r="0" b="0"/>
                <wp:wrapNone/>
                <wp:docPr id="36" name="Frame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action prohibited under Section 12.6, or (c) cancel any Option or Stock Appreciation Right in exchange for cash or another Award when the Option or Stock Appreciation Right price per share exceeds the Fair Market Value of the underlying Shares. Except as provided in Section 14.10, no amendment, suspension or termination of the Plan shall, without the consent of the Holder, impair any rights or obligations under any Award theretofore granted or awarded, unless the Award itself otherwise expressly so provides. No Awards may be granted or awarded during any period of suspension or after termination of the Plan, and in no event may an Award be granted under the Plan after the tenth (10</w:t>
      </w:r>
      <w:r>
        <w:rPr>
          <w:rFonts w:ascii="Times New Roman;serif" w:hAnsi="Times New Roman;serif"/>
          <w:b w:val="false"/>
          <w:color w:val="000000"/>
          <w:sz w:val="16"/>
        </w:rPr>
        <w:t>th</w:t>
      </w:r>
      <w:r>
        <w:rPr>
          <w:rFonts w:ascii="Times New Roman;serif" w:hAnsi="Times New Roman;serif"/>
          <w:b w:val="false"/>
          <w:color w:val="000000"/>
          <w:sz w:val="24"/>
        </w:rPr>
        <w:t>) anniversary of the Effective Date (the “</w:t>
      </w:r>
      <w:r>
        <w:rPr>
          <w:rFonts w:ascii="Times New Roman;serif" w:hAnsi="Times New Roman;serif"/>
          <w:b w:val="false"/>
          <w:color w:val="000000"/>
          <w:sz w:val="24"/>
          <w:u w:val="single"/>
        </w:rPr>
        <w:t>Expiration Date</w:t>
      </w:r>
      <w:r>
        <w:rPr>
          <w:color w:val="000000"/>
        </w:rPr>
        <w:t>”</w:t>
      </w:r>
      <w:r>
        <w:rPr>
          <w:rFonts w:ascii="Times New Roman;serif" w:hAnsi="Times New Roman;serif"/>
          <w:b w:val="false"/>
          <w:color w:val="000000"/>
          <w:sz w:val="24"/>
        </w:rPr>
        <w:t>). Any Awards that are outstanding on the Expiration Date shall remain in force according to the terms of the Plan and the applicable Award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14.2    </w:t>
      </w:r>
      <w:r>
        <w:rPr>
          <w:rFonts w:ascii="Times New Roman;serif" w:hAnsi="Times New Roman;serif"/>
          <w:b w:val="false"/>
          <w:color w:val="000000"/>
          <w:sz w:val="24"/>
          <w:u w:val="single"/>
        </w:rPr>
        <w:t>Changes in Common Stock or Assets of the Company, Acquisition or Liquidation of the Company and Other Corporate Events</w:t>
      </w:r>
      <w:r>
        <w:rPr>
          <w:rFonts w:ascii="Times New Roman;serif" w:hAnsi="Times New Roman;serif"/>
          <w:b w:val="false"/>
          <w:color w:val="000000"/>
          <w:sz w:val="24"/>
        </w:rPr>
        <w:t>.</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(a)    In the event of any stock dividend, stock split, combination or exchange of shares, merger, consolidation or other distribution (other than cash dividends) of Company assets to stockholders, or any other change affecting the Shares of the Company’s stock or the share price of the Company’s stock other than an Equity Restructuring, the Administrator may make equitable adjustments, if any, to reflect such change with respect to (i) the aggregate number and kind of Shares that may be issued under the Plan (including, but not limited to, adjustments of the limitations in Sections 3.1 and 3.3 on the maximum number and kind of Shares which may be issued under the Plan, adjustments of the Award Limit); (ii) the number and kind of Shares (or other securities or property) subject to outstanding Awards; (iii) the terms and conditions of any outstanding Awards (including, without limitation, any applicable performance targets or criteria with respect thereto); and (iv) the grant or exercise price per share for any outstanding Awards under the Plan. Any adjustment affecting an Award intended as Performance-Based Compensation shall be made consistent with the requirements of Section 162(m) of the Code.</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(b)    In the event of any transaction or event described in Section 14.2(a) or any unusual or nonrecurring transactions or events affecting the Company, any Affiliate of the Company, or the financial statements of the Company or any Affiliate, or of changes in Applicable Law, regulations or accounting principles, the Administrator, in its sole discretion, and on such terms and conditions as it deems appropriate, either by the terms of the Award or by action taken prior to the occurrence of such transaction or event and either automatically or upon the Holder’s request,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laws, regulations or principles:</w:t>
      </w:r>
    </w:p>
    <w:p>
      <w:pPr>
        <w:pStyle w:val="TextBody"/>
        <w:bidi w:val="0"/>
        <w:spacing w:lineRule="auto" w:line="288" w:before="0" w:after="240"/>
        <w:ind w:left="0" w:right="0" w:firstLine="1980"/>
        <w:jc w:val="both"/>
        <w:rPr>
          <w:rFonts w:ascii="Times New Roman;serif" w:hAnsi="Times New Roman;serif"/>
          <w:b w:val="false"/>
          <w:color w:val="000000"/>
          <w:sz w:val="24"/>
        </w:rPr>
      </w:pPr>
      <w:r>
        <w:rPr>
          <w:rFonts w:ascii="Times New Roman;serif" w:hAnsi="Times New Roman;serif"/>
          <w:b w:val="false"/>
          <w:color w:val="000000"/>
          <w:sz w:val="24"/>
        </w:rPr>
        <w:t xml:space="preserve">(i)    To provide for either (A) termination of any such Award in exchange for an amount of cash, if any, equal to the amount that would have been attained upon the exercise of such Award or realization of the Holder’s rights (and, for the avoidance of doubt, if as of the date of the occurrence of the transaction or event described in this Section </w:t>
      </w: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85445"/>
                <wp:effectExtent l="0" t="0" r="0" b="0"/>
                <wp:wrapNone/>
                <wp:docPr id="37" name="Frame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14.2 the Administrator determines in good faith that no amount would have been attained upon the exercise of such Award or realization of the Holder’s rights, then such Award may be terminated by the Company without payment) or (B) the replacement of such Award with other rights or property selected by the Administrator in its sole discretion having an aggregate value not exceeding the amount that could have been attained upon the exercise of such Award or realization of the Holder’s rights had such Award been currently exercisable or payable or fully vested;</w:t>
      </w:r>
    </w:p>
    <w:p>
      <w:pPr>
        <w:pStyle w:val="TextBody"/>
        <w:bidi w:val="0"/>
        <w:spacing w:lineRule="auto" w:line="288" w:before="0" w:after="240"/>
        <w:ind w:left="0" w:right="0" w:firstLine="1980"/>
        <w:jc w:val="both"/>
        <w:rPr>
          <w:rFonts w:ascii="Times New Roman;serif" w:hAnsi="Times New Roman;serif"/>
          <w:b w:val="false"/>
          <w:color w:val="000000"/>
          <w:sz w:val="24"/>
        </w:rPr>
      </w:pPr>
      <w:r>
        <w:rPr>
          <w:rFonts w:ascii="Times New Roman;serif" w:hAnsi="Times New Roman;serif"/>
          <w:b w:val="false"/>
          <w:color w:val="000000"/>
          <w:sz w:val="24"/>
        </w:rPr>
        <w:t>(ii)    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pStyle w:val="TextBody"/>
        <w:bidi w:val="0"/>
        <w:spacing w:lineRule="auto" w:line="288" w:before="0" w:after="240"/>
        <w:ind w:left="0" w:right="0" w:firstLine="1980"/>
        <w:jc w:val="both"/>
        <w:rPr>
          <w:rFonts w:ascii="Times New Roman;serif" w:hAnsi="Times New Roman;serif"/>
          <w:b w:val="false"/>
          <w:color w:val="000000"/>
          <w:sz w:val="24"/>
        </w:rPr>
      </w:pPr>
      <w:r>
        <w:rPr>
          <w:rFonts w:ascii="Times New Roman;serif" w:hAnsi="Times New Roman;serif"/>
          <w:b w:val="false"/>
          <w:color w:val="000000"/>
          <w:sz w:val="24"/>
        </w:rPr>
        <w:t xml:space="preserve">(iii)    To make adjustments in the number and type of Shares of the Company’s stock (or other securities or property) subject to outstanding Awards, and in the number and kind of outstanding Restricted Stock or Deferred Stock and/or in the terms and conditions of (including the grant or exercise price), and the criteria included in, outstanding Awards and Awards which may be granted in the future; </w:t>
      </w:r>
    </w:p>
    <w:p>
      <w:pPr>
        <w:pStyle w:val="TextBody"/>
        <w:bidi w:val="0"/>
        <w:spacing w:lineRule="auto" w:line="288" w:before="0" w:after="240"/>
        <w:ind w:left="0" w:right="0" w:firstLine="1980"/>
        <w:jc w:val="both"/>
        <w:rPr>
          <w:rFonts w:ascii="Times New Roman;serif" w:hAnsi="Times New Roman;serif"/>
          <w:b w:val="false"/>
          <w:color w:val="000000"/>
          <w:sz w:val="24"/>
        </w:rPr>
      </w:pPr>
      <w:r>
        <w:rPr>
          <w:rFonts w:ascii="Times New Roman;serif" w:hAnsi="Times New Roman;serif"/>
          <w:b w:val="false"/>
          <w:color w:val="000000"/>
          <w:sz w:val="24"/>
        </w:rPr>
        <w:t>(iv)    To provide that such Award shall be exercisable or payable or fully vested with respect to all Shares covered thereby, notwithstanding anything to the contrary in the Plan or the applicable Program or Award Agreement; and</w:t>
      </w:r>
    </w:p>
    <w:p>
      <w:pPr>
        <w:pStyle w:val="TextBody"/>
        <w:bidi w:val="0"/>
        <w:spacing w:lineRule="auto" w:line="288" w:before="0" w:after="240"/>
        <w:ind w:left="0" w:right="0" w:firstLine="1980"/>
        <w:jc w:val="both"/>
        <w:rPr>
          <w:rFonts w:ascii="Times New Roman;serif" w:hAnsi="Times New Roman;serif"/>
          <w:b w:val="false"/>
          <w:color w:val="000000"/>
          <w:sz w:val="24"/>
        </w:rPr>
      </w:pPr>
      <w:r>
        <w:rPr>
          <w:rFonts w:ascii="Times New Roman;serif" w:hAnsi="Times New Roman;serif"/>
          <w:b w:val="false"/>
          <w:color w:val="000000"/>
          <w:sz w:val="24"/>
        </w:rPr>
        <w:t>(v)    To provide that the Award cannot vest, be exercised or become payable after such event.</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(c)    In connection with the occurrence of any Equity Restructuring, and notwithstanding anything to the contrary in Sections 14.2(a) and 14.2(b):</w:t>
      </w:r>
    </w:p>
    <w:p>
      <w:pPr>
        <w:pStyle w:val="TextBody"/>
        <w:bidi w:val="0"/>
        <w:spacing w:lineRule="auto" w:line="288" w:before="0" w:after="240"/>
        <w:ind w:left="0" w:right="0" w:firstLine="1980"/>
        <w:jc w:val="both"/>
        <w:rPr>
          <w:rFonts w:ascii="Times New Roman;serif" w:hAnsi="Times New Roman;serif"/>
          <w:b w:val="false"/>
          <w:color w:val="000000"/>
          <w:sz w:val="24"/>
        </w:rPr>
      </w:pPr>
      <w:r>
        <w:rPr>
          <w:rFonts w:ascii="Times New Roman;serif" w:hAnsi="Times New Roman;serif"/>
          <w:b w:val="false"/>
          <w:color w:val="000000"/>
          <w:sz w:val="24"/>
        </w:rPr>
        <w:t>(i)    The number and type of securities subject to each outstanding Award and the exercise price or grant price thereof, if applicable, shall be equitably adjusted; and/or</w:t>
      </w:r>
    </w:p>
    <w:p>
      <w:pPr>
        <w:pStyle w:val="TextBody"/>
        <w:bidi w:val="0"/>
        <w:spacing w:lineRule="auto" w:line="288" w:before="0" w:after="240"/>
        <w:ind w:left="0" w:right="0" w:firstLine="1980"/>
        <w:jc w:val="both"/>
        <w:rPr>
          <w:rFonts w:ascii="Times New Roman;serif" w:hAnsi="Times New Roman;serif"/>
          <w:b w:val="false"/>
          <w:color w:val="000000"/>
          <w:sz w:val="24"/>
        </w:rPr>
      </w:pPr>
      <w:r>
        <w:rPr>
          <w:rFonts w:ascii="Times New Roman;serif" w:hAnsi="Times New Roman;serif"/>
          <w:b w:val="false"/>
          <w:color w:val="000000"/>
          <w:sz w:val="24"/>
        </w:rPr>
        <w:t>(ii)    The Administrator shall make such equitable adjustments, if any, as the Administrator in its discretion may deem appropriate to reflect such Equity Restructuring with respect to the aggregate number and kind of Shares that may be issued under the Plan (including, but not limited to, adjustments of the limitations in Sections 3.1 and 3.3 on the maximum number and kind of Shares which may be issued under the Plan, adjustments of the Award Limit). The adjustments provided under this Section 14.2(c) shall be nondiscretionary and shall be final and binding on the affected Holder and the Company.</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 xml:space="preserve">(d)    Upon a Change in Control, the Administrator, may, in its sole discretion, do one or more of the following: (i) shorten the period during which Options or Stock Appreciation Rights are exercisable (provided they remain exercisable for at least 30 days after the date notice of such shortening is given to the holders of the Options or Stock Appreciation </w:t>
      </w: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85445"/>
                <wp:effectExtent l="0" t="0" r="0" b="0"/>
                <wp:wrapNone/>
                <wp:docPr id="38" name="Frame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Rights); (ii) accelerate any vesting schedule to which an Award is subject; (iii) arrange to have the surviving or successor entity or any parent entity thereof assume the Awards; or (iv) cancel Awards upon payment to the holders of the Awards in cash, with respect to each Award to the extent then exercisable or vested (including, if applicable, any Awards as to which the vesting schedule has been accelerated as contemplated in clause (ii) above), of an amount that is the equivalent of the excess of the Fair Market Value of the Common Stock (at the effective time of the merger, reorganization, sale or other event) over (in the case of Options or Stock Appreciation Rights) the exercise price of the Option or Stock Appreciation Right. The Administrator may also provide for one or more of the foregoing alternatives in any particular Award Agreement. For the purposes of this Section 14.2(d), an Award shall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if such consideration received in the Change in Control was not solely common stock of the successor corporation or its parent, the Administrator may, with the consent of the successor corporation, provide for the consideration to be received upon the exercise of the Award, for each Share subject to an Award, to be solely common stock of the successor corporation or its parent equal in fair market value to the per share consideration received by holders of Common Stock in the Change in Control.</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(e)    The Administrator may, in its sole discretion, include such further provisions and limitations in any Award, agreement or certificate, as it may deem equitable and in the best interests of the Company that are not inconsistent with the provisions of the Plan.</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 xml:space="preserve">(f)    With respect to Awards which are granted to Covered Employees and are intended to qualify as Performance-Based Compensation, no adjustment or action described in this Section 14.2 or in any other provision of the Plan shall be authorized to the extent that such adjustment or action would cause such Award to fail to so qualify as Performance-Based Compensation, unless the Administrator determines that the Award should not so qualify. No adjustment or action described in this Section 14.2 or in any other provision of the Plan shall be authorized to the extent that such adjustment or action would cause the Plan to violate Section 422(b)(1) of the Code. Furthermore, no such adjustment or action shall be authorized to the extent such adjustment or action would result in short-swing profits liability under Section 16 or violate the exemptive conditions of Rule 16b-3 unless the Administrator determines that the Award is not to comply with such exemptive conditions. </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 xml:space="preserve">(g)    The existence of the Plan, the Program, the Award Agreement and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w:t>
      </w:r>
    </w:p>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85445"/>
                <wp:effectExtent l="0" t="0" r="0" b="0"/>
                <wp:wrapNone/>
                <wp:docPr id="39" name="Frame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(h)    No action shall be taken under this Section 14.2 which shall cause an Award to fail to comply with Section 409A of the Code or the Treasury Regulations thereunder, to the extent applicable to such Award.</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(i)    In the event of any pending stock dividend, stock split, combination or exchange of shares, merger, consolidation or other distribution (other than normal cash dividends) of Company assets to stockholders, or any other change affecting the Shares or the share price of the Common Stock including any Equity Restructuring, for reasons of administrative convenience, the Company in its sole discretion may refuse to permit the exercise of any Award during a period of thirty (30) days prior to the consummation of any such transaction.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14.3    </w:t>
      </w:r>
      <w:r>
        <w:rPr>
          <w:rFonts w:ascii="Times New Roman;serif" w:hAnsi="Times New Roman;serif"/>
          <w:b w:val="false"/>
          <w:color w:val="000000"/>
          <w:sz w:val="24"/>
          <w:u w:val="single"/>
        </w:rPr>
        <w:t>Approval of Plan by Stockholders</w:t>
      </w:r>
      <w:r>
        <w:rPr>
          <w:rFonts w:ascii="Times New Roman;serif" w:hAnsi="Times New Roman;serif"/>
          <w:b w:val="false"/>
          <w:color w:val="000000"/>
          <w:sz w:val="24"/>
        </w:rPr>
        <w:t xml:space="preserve">. The Plan will be submitted for the approval of the Company’s stockholders within twelve (12) months after the date of the Board’s initial adoption of the Plan. Awards may be granted or awarded prior to such stockholder approval;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Awards shall not be exercisable, shall not vest and the restrictions thereon shall not lapse and no Shares shall be issued pursuant thereto prior to the time when the Plan is approved by the stockholders; and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if such approval has not been obtained at the end of said twelve (12) month period, all Awards previously granted or awarded under the Plan shall thereupon be canceled and become null and void.</w:t>
      </w:r>
    </w:p>
    <w:p>
      <w:pPr>
        <w:pStyle w:val="TextBody"/>
        <w:bidi w:val="0"/>
        <w:spacing w:lineRule="auto" w:line="288" w:before="0" w:after="240"/>
        <w:ind w:left="0" w:right="0" w:firstLine="720"/>
        <w:jc w:val="both"/>
        <w:rPr/>
      </w:pPr>
      <w:r>
        <w:rPr>
          <w:rFonts w:ascii="Times New Roman;serif" w:hAnsi="Times New Roman;serif"/>
          <w:b w:val="false"/>
          <w:color w:val="000000"/>
          <w:sz w:val="24"/>
        </w:rPr>
        <w:t>14.4    </w:t>
      </w:r>
      <w:r>
        <w:rPr>
          <w:rFonts w:ascii="Times New Roman;serif" w:hAnsi="Times New Roman;serif"/>
          <w:b w:val="false"/>
          <w:color w:val="000000"/>
          <w:sz w:val="24"/>
          <w:u w:val="single"/>
        </w:rPr>
        <w:t>No Stockholders Rights</w:t>
      </w:r>
      <w:r>
        <w:rPr>
          <w:rFonts w:ascii="Times New Roman;serif" w:hAnsi="Times New Roman;serif"/>
          <w:b w:val="false"/>
          <w:color w:val="000000"/>
          <w:sz w:val="24"/>
        </w:rPr>
        <w:t>. Except as otherwise provided herein, a Holder shall have none of the rights of a stockholder with respect to Shares covered by any Award until the Holder becomes the record owner of such Shares.</w:t>
      </w:r>
    </w:p>
    <w:p>
      <w:pPr>
        <w:pStyle w:val="TextBody"/>
        <w:bidi w:val="0"/>
        <w:spacing w:lineRule="auto" w:line="288" w:before="0" w:after="240"/>
        <w:ind w:left="0" w:right="0" w:firstLine="720"/>
        <w:jc w:val="both"/>
        <w:rPr/>
      </w:pPr>
      <w:r>
        <w:rPr>
          <w:rFonts w:ascii="Times New Roman;serif" w:hAnsi="Times New Roman;serif"/>
          <w:b w:val="false"/>
          <w:color w:val="000000"/>
          <w:sz w:val="24"/>
        </w:rPr>
        <w:t>14.5    </w:t>
      </w:r>
      <w:r>
        <w:rPr>
          <w:rFonts w:ascii="Times New Roman;serif" w:hAnsi="Times New Roman;serif"/>
          <w:b w:val="false"/>
          <w:color w:val="000000"/>
          <w:sz w:val="24"/>
          <w:u w:val="single"/>
        </w:rPr>
        <w:t>Paperless Administration</w:t>
      </w:r>
      <w:r>
        <w:rPr>
          <w:rFonts w:ascii="Times New Roman;serif" w:hAnsi="Times New Roman;serif"/>
          <w:b w:val="false"/>
          <w:color w:val="000000"/>
          <w:sz w:val="24"/>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pStyle w:val="TextBody"/>
        <w:bidi w:val="0"/>
        <w:spacing w:lineRule="auto" w:line="288" w:before="0" w:after="240"/>
        <w:ind w:left="0" w:right="0" w:firstLine="720"/>
        <w:jc w:val="both"/>
        <w:rPr/>
      </w:pPr>
      <w:r>
        <w:rPr>
          <w:rFonts w:ascii="Times New Roman;serif" w:hAnsi="Times New Roman;serif"/>
          <w:b w:val="false"/>
          <w:color w:val="000000"/>
          <w:sz w:val="24"/>
        </w:rPr>
        <w:t>14.6    </w:t>
      </w:r>
      <w:r>
        <w:rPr>
          <w:rFonts w:ascii="Times New Roman;serif" w:hAnsi="Times New Roman;serif"/>
          <w:b w:val="false"/>
          <w:color w:val="000000"/>
          <w:sz w:val="24"/>
          <w:u w:val="single"/>
        </w:rPr>
        <w:t>Effect of Plan upon Other Compensation Plans</w:t>
      </w:r>
      <w:r>
        <w:rPr>
          <w:rFonts w:ascii="Times New Roman;serif" w:hAnsi="Times New Roman;serif"/>
          <w:b w:val="false"/>
          <w:color w:val="000000"/>
          <w:sz w:val="24"/>
        </w:rPr>
        <w:t>. The adoption of the Plan shall not affect any other compensation or incentive plans in effect for the Company or any Affiliate. Nothing in the Plan shall be construed to limit the right of the Company or any Affiliate: (a) to establish any other forms of incentives or compensation for Employees, Directors or Consultants of the Company or any Affiliate,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85445"/>
                <wp:effectExtent l="0" t="0" r="0" b="0"/>
                <wp:wrapNone/>
                <wp:docPr id="40" name="Frame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14.7    </w:t>
      </w:r>
      <w:r>
        <w:rPr>
          <w:rFonts w:ascii="Times New Roman;serif" w:hAnsi="Times New Roman;serif"/>
          <w:b w:val="false"/>
          <w:color w:val="000000"/>
          <w:sz w:val="24"/>
          <w:u w:val="single"/>
        </w:rPr>
        <w:t>Compliance with Laws</w:t>
      </w:r>
      <w:r>
        <w:rPr>
          <w:rFonts w:ascii="Times New Roman;serif" w:hAnsi="Times New Roman;serif"/>
          <w:b w:val="false"/>
          <w:color w:val="000000"/>
          <w:sz w:val="24"/>
        </w:rPr>
        <w:t>. The Plan, the granting and vesting of Awards under the Plan and the issuance and delivery of Shares and the payment of money under the Plan or under Awards granted or awarded hereunder are subject to compliance with all Applicable Law (including but not limited to state, federal and foreign securities law and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 To the extent permitted by Applicable Law, the Plan and Awards granted or awarded hereunder shall be deemed amended to the extent necessary to conform to such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14.8    </w:t>
      </w:r>
      <w:r>
        <w:rPr>
          <w:rFonts w:ascii="Times New Roman;serif" w:hAnsi="Times New Roman;serif"/>
          <w:b w:val="false"/>
          <w:color w:val="000000"/>
          <w:sz w:val="24"/>
          <w:u w:val="single"/>
        </w:rPr>
        <w:t>Titles and Headings, References to Sections of the Code or Exchange Act</w:t>
      </w:r>
      <w:r>
        <w:rPr>
          <w:rFonts w:ascii="Times New Roman;serif" w:hAnsi="Times New Roman;serif"/>
          <w:b w:val="false"/>
          <w:color w:val="000000"/>
          <w:sz w:val="24"/>
        </w:rPr>
        <w:t>. 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14.9    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The Plan and any agreements hereunder shall be administered, interpreted and enforced under the internal laws of the State of Nevada without regard to conflicts of laws thereof or of any other jurisdiction.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14.10    </w:t>
      </w:r>
      <w:r>
        <w:rPr>
          <w:rFonts w:ascii="Times New Roman;serif" w:hAnsi="Times New Roman;serif"/>
          <w:b w:val="false"/>
          <w:color w:val="000000"/>
          <w:sz w:val="24"/>
          <w:u w:val="single"/>
        </w:rPr>
        <w:t>Section 409A</w:t>
      </w:r>
      <w:r>
        <w:rPr>
          <w:rFonts w:ascii="Times New Roman;serif" w:hAnsi="Times New Roman;serif"/>
          <w:b w:val="false"/>
          <w:color w:val="000000"/>
          <w:sz w:val="24"/>
        </w:rPr>
        <w:t xml:space="preserve">. To the extent that the Administrator determines that any Award granted under the Plan is subject to Section 409A of the Code, the Program pursuant to which such Award is granted and the Award Agreement evidencing such Award shall incorporate the terms and conditions required by Section 409A of the Code. To the extent applicable, the Plan, the Program and any Award Agreements shall be interpreted in accordance with Section 409A of the Code and Department of Treasury regulations and other interpretive guidance issued thereunder, including without limitation any such regulations or other guidance that may be issued after the Effective Date. Notwithstanding any provision of the Plan to the contrary, in the event that following the Effective Date the Administrator determines that any Award may be subject to Section 409A of the Code and related Department of Treasury guidance (including such Department of Treasury guidance as may be issued after the Effective Date), the Administrator may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and thereby avoid the application of any penalty taxes under such Section. </w:t>
      </w:r>
    </w:p>
    <w:p>
      <w:pPr>
        <w:pStyle w:val="TextBody"/>
        <w:bidi w:val="0"/>
        <w:spacing w:lineRule="auto" w:line="288" w:before="0" w:after="240"/>
        <w:ind w:left="0" w:right="0" w:firstLine="720"/>
        <w:jc w:val="both"/>
        <w:rPr/>
      </w:pPr>
      <w:r>
        <w:rPr>
          <w:rFonts w:ascii="Times New Roman;serif" w:hAnsi="Times New Roman;serif"/>
          <w:b w:val="false"/>
          <w:color w:val="000000"/>
          <w:sz w:val="24"/>
        </w:rPr>
        <w:t>14.11    </w:t>
      </w:r>
      <w:r>
        <w:rPr>
          <w:rFonts w:ascii="Times New Roman;serif" w:hAnsi="Times New Roman;serif"/>
          <w:b w:val="false"/>
          <w:color w:val="000000"/>
          <w:sz w:val="24"/>
          <w:u w:val="single"/>
        </w:rPr>
        <w:t>No Rights to Awards</w:t>
      </w:r>
      <w:r>
        <w:rPr>
          <w:rFonts w:ascii="Times New Roman;serif" w:hAnsi="Times New Roman;serif"/>
          <w:b w:val="false"/>
          <w:color w:val="000000"/>
          <w:sz w:val="24"/>
        </w:rPr>
        <w:t>. No Eligible Individual or other person shall have any claim to be granted any Award pursuant to the Plan, and neither the Company nor the Administrator is obligated to treat Eligible Individuals, Holders or any other persons uniformly.</w:t>
      </w: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85445"/>
                <wp:effectExtent l="0" t="0" r="0" b="0"/>
                <wp:wrapNone/>
                <wp:docPr id="41" name="Frame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14.12    </w:t>
      </w:r>
      <w:r>
        <w:rPr>
          <w:rFonts w:ascii="Times New Roman;serif" w:hAnsi="Times New Roman;serif"/>
          <w:b w:val="false"/>
          <w:color w:val="000000"/>
          <w:sz w:val="24"/>
          <w:u w:val="single"/>
        </w:rPr>
        <w:t>Unfunded Status of Awards</w:t>
      </w:r>
      <w:r>
        <w:rPr>
          <w:rFonts w:ascii="Times New Roman;serif" w:hAnsi="Times New Roman;serif"/>
          <w:b w:val="false"/>
          <w:color w:val="000000"/>
          <w:sz w:val="24"/>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Affiliate.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14.13    </w:t>
      </w:r>
      <w:r>
        <w:rPr>
          <w:rFonts w:ascii="Times New Roman;serif" w:hAnsi="Times New Roman;serif"/>
          <w:b w:val="false"/>
          <w:color w:val="000000"/>
          <w:sz w:val="24"/>
          <w:u w:val="single"/>
        </w:rPr>
        <w:t>Indemnification</w:t>
      </w:r>
      <w:r>
        <w:rPr>
          <w:rFonts w:ascii="Times New Roman;serif" w:hAnsi="Times New Roman;serif"/>
          <w:b w:val="false"/>
          <w:color w:val="000000"/>
          <w:sz w:val="24"/>
        </w:rPr>
        <w:t xml:space="preserve">. To the extent allowable pursuant to Applicable Law,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articles of incorporation or bylaws, as a matter of law, or otherwise, or any power that the Company may have to indemnify them or hold them harmless.</w:t>
      </w:r>
    </w:p>
    <w:p>
      <w:pPr>
        <w:pStyle w:val="TextBody"/>
        <w:bidi w:val="0"/>
        <w:spacing w:lineRule="auto" w:line="288" w:before="0" w:after="240"/>
        <w:ind w:left="0" w:right="0" w:firstLine="720"/>
        <w:jc w:val="both"/>
        <w:rPr/>
      </w:pPr>
      <w:r>
        <w:rPr>
          <w:rFonts w:ascii="Times New Roman;serif" w:hAnsi="Times New Roman;serif"/>
          <w:b w:val="false"/>
          <w:color w:val="000000"/>
          <w:sz w:val="24"/>
        </w:rPr>
        <w:t>14.14    </w:t>
      </w:r>
      <w:r>
        <w:rPr>
          <w:rFonts w:ascii="Times New Roman;serif" w:hAnsi="Times New Roman;serif"/>
          <w:b w:val="false"/>
          <w:color w:val="000000"/>
          <w:sz w:val="24"/>
          <w:u w:val="single"/>
        </w:rPr>
        <w:t>Relationship to other Benefits</w:t>
      </w:r>
      <w:r>
        <w:rPr>
          <w:rFonts w:ascii="Times New Roman;serif" w:hAnsi="Times New Roman;serif"/>
          <w:b w:val="false"/>
          <w:color w:val="000000"/>
          <w:sz w:val="24"/>
        </w:rPr>
        <w:t>. 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14.15    </w:t>
      </w:r>
      <w:r>
        <w:rPr>
          <w:rFonts w:ascii="Times New Roman;serif" w:hAnsi="Times New Roman;serif"/>
          <w:b w:val="false"/>
          <w:color w:val="000000"/>
          <w:sz w:val="24"/>
          <w:u w:val="single"/>
        </w:rPr>
        <w:t>Expenses</w:t>
      </w:r>
      <w:r>
        <w:rPr>
          <w:rFonts w:ascii="Times New Roman;serif" w:hAnsi="Times New Roman;serif"/>
          <w:b w:val="false"/>
          <w:color w:val="000000"/>
          <w:sz w:val="24"/>
        </w:rPr>
        <w:t>. The expenses of administering the Plan shall be borne by the Company and its Affiliates.</w:t>
      </w:r>
    </w:p>
    <w:p>
      <w:pPr>
        <w:pStyle w:val="TextBody"/>
        <w:bidi w:val="0"/>
        <w:spacing w:before="0" w:after="2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85445"/>
                <wp:effectExtent l="0" t="0" r="0" b="0"/>
                <wp:wrapNone/>
                <wp:docPr id="42" name="Frame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consent to the incorporation by reference in the Registration Statement (Form S-8) pertaining to the Third Amended and Restated 2014 Omnibus Incentive Plan of Wynn Resorts, Limited of our reports dated March 2, 2026, with respect to the consolidated financial statements of Wynn Resorts, Limited, and the effectiveness of internal control over financial reporting of Wynn Resorts, Limited, included in its Annual Report (Form 10-K) for the year ended December 31, 2025 and the financial statement schedule of Wynn Resorts, Limited included therein, filed with the Securities and Exchange Commission.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Las Vegas, Nevada</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May 11, 2026</w:t>
      </w:r>
    </w:p>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74922/000117492215000044/ex-31.htm" TargetMode="External"/><Relationship Id="rId3" Type="http://schemas.openxmlformats.org/officeDocument/2006/relationships/hyperlink" Target="https://www.sec.gov/Archives/edgar/data/1174922/000117492220000024/ex32-bylaws.htm" TargetMode="External"/><Relationship Id="rId4" Type="http://schemas.openxmlformats.org/officeDocument/2006/relationships/hyperlink" Target="https://www.sec.gov/Archives/edgar/data/1174922/000117492220000024/ex32-bylaws.htm" TargetMode="Externa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43</Pages>
  <Words>20895</Words>
  <Characters>109311</Characters>
  <CharactersWithSpaces>130585</CharactersWithSpaces>
  <Paragraphs>569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