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285115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9, 2019</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74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000-50028</w:t>
            </w:r>
          </w:p>
        </w:tc>
        <w:tc>
          <w:tcPr>
            <w:tcW w:w="17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3131 Las Vegas Boulevard South</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740" w:type="dxa"/>
            <w:vAlign w:val="bottom"/>
          </w:tcPr>
          <w:p>
            <w:pPr>
              <w:spacing w:after="0"/>
              <w:rPr>
                <w:sz w:val="20"/>
                <w:szCs w:val="20"/>
                <w:color w:val="auto"/>
              </w:rPr>
            </w:pPr>
          </w:p>
        </w:tc>
        <w:tc>
          <w:tcPr>
            <w:tcW w:w="1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40" w:type="dxa"/>
            <w:vAlign w:val="bottom"/>
          </w:tcPr>
          <w:p>
            <w:pPr>
              <w:spacing w:after="0"/>
              <w:rPr>
                <w:sz w:val="19"/>
                <w:szCs w:val="19"/>
                <w:color w:val="auto"/>
              </w:rPr>
            </w:pPr>
          </w:p>
        </w:tc>
        <w:tc>
          <w:tcPr>
            <w:tcW w:w="1780" w:type="dxa"/>
            <w:vAlign w:val="bottom"/>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2820" w:type="dxa"/>
            <w:vAlign w:val="bottom"/>
          </w:tcPr>
          <w:p>
            <w:pPr>
              <w:spacing w:after="0"/>
              <w:rPr>
                <w:sz w:val="23"/>
                <w:szCs w:val="23"/>
                <w:color w:val="auto"/>
              </w:rPr>
            </w:pPr>
          </w:p>
        </w:tc>
        <w:tc>
          <w:tcPr>
            <w:tcW w:w="474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780" w:type="dxa"/>
            <w:vAlign w:val="bottom"/>
          </w:tcPr>
          <w:p>
            <w:pPr>
              <w:spacing w:after="0"/>
              <w:rPr>
                <w:sz w:val="23"/>
                <w:szCs w:val="23"/>
                <w:color w:val="auto"/>
              </w:rPr>
            </w:pPr>
          </w:p>
        </w:tc>
      </w:tr>
      <w:tr>
        <w:trPr>
          <w:trHeight w:val="164"/>
        </w:trPr>
        <w:tc>
          <w:tcPr>
            <w:tcW w:w="2820" w:type="dxa"/>
            <w:vAlign w:val="bottom"/>
          </w:tcPr>
          <w:p>
            <w:pPr>
              <w:spacing w:after="0"/>
              <w:rPr>
                <w:sz w:val="14"/>
                <w:szCs w:val="14"/>
                <w:color w:val="auto"/>
              </w:rPr>
            </w:pPr>
          </w:p>
        </w:tc>
        <w:tc>
          <w:tcPr>
            <w:tcW w:w="47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4"/>
                <w:szCs w:val="14"/>
                <w:color w:val="auto"/>
              </w:rPr>
            </w:pPr>
          </w:p>
        </w:tc>
      </w:tr>
      <w:tr>
        <w:trPr>
          <w:trHeight w:val="214"/>
        </w:trPr>
        <w:tc>
          <w:tcPr>
            <w:tcW w:w="2820" w:type="dxa"/>
            <w:vAlign w:val="bottom"/>
          </w:tcPr>
          <w:p>
            <w:pPr>
              <w:spacing w:after="0"/>
              <w:rPr>
                <w:sz w:val="18"/>
                <w:szCs w:val="18"/>
                <w:color w:val="auto"/>
              </w:rPr>
            </w:pPr>
          </w:p>
        </w:tc>
        <w:tc>
          <w:tcPr>
            <w:tcW w:w="474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80" w:type="dxa"/>
            <w:vAlign w:val="bottom"/>
          </w:tcPr>
          <w:p>
            <w:pPr>
              <w:spacing w:after="0"/>
              <w:rPr>
                <w:sz w:val="18"/>
                <w:szCs w:val="18"/>
                <w:color w:val="auto"/>
              </w:rPr>
            </w:pPr>
          </w:p>
        </w:tc>
      </w:tr>
      <w:tr>
        <w:trPr>
          <w:trHeight w:val="190"/>
        </w:trPr>
        <w:tc>
          <w:tcPr>
            <w:tcW w:w="2820" w:type="dxa"/>
            <w:vAlign w:val="bottom"/>
          </w:tcPr>
          <w:p>
            <w:pPr>
              <w:spacing w:after="0"/>
              <w:rPr>
                <w:sz w:val="16"/>
                <w:szCs w:val="16"/>
                <w:color w:val="auto"/>
              </w:rPr>
            </w:pPr>
          </w:p>
        </w:tc>
        <w:tc>
          <w:tcPr>
            <w:tcW w:w="47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0" w:lineRule="exact"/>
        <w:rPr>
          <w:sz w:val="24"/>
          <w:szCs w:val="24"/>
          <w:color w:val="auto"/>
        </w:rPr>
      </w:pPr>
    </w:p>
    <w:p>
      <w:pPr>
        <w:spacing w:after="0" w:line="21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1078" w:right="259" w:bottom="1440" w:gutter="0" w:footer="0" w:header="0"/>
        </w:sectPr>
      </w:pPr>
    </w:p>
    <w:bookmarkStart w:id="1" w:name="page2"/>
    <w:bookmarkEnd w:id="1"/>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On April 9, 2019, Wynn Resorts, Limited (“Wynn”) issued a press release announcing that, following the premature disclosure of preliminary discussions, Wynn has terminated all discussions with Crown Resorts Limited concerning any transaction.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copy of the press release described above is attached hereto and furnished as Exhibit 99.1.</w:t>
      </w:r>
    </w:p>
    <w:p>
      <w:pPr>
        <w:spacing w:after="0" w:line="22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4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April 9, 2019, of Wynn Resorts, Limited.</w:t>
              </w:r>
            </w:hyperlink>
          </w:p>
        </w:tc>
      </w:tr>
    </w:tbl>
    <w:p>
      <w:pPr>
        <w:sectPr>
          <w:pgSz w:w="11900" w:h="16838" w:orient="portrait"/>
          <w:cols w:equalWidth="0" w:num="1">
            <w:col w:w="11420"/>
          </w:cols>
          <w:pgMar w:left="240" w:top="522" w:right="239" w:bottom="1440" w:gutter="0" w:footer="0" w:header="0"/>
        </w:sectPr>
      </w:pPr>
    </w:p>
    <w:bookmarkStart w:id="2" w:name="page3"/>
    <w:bookmarkEnd w:id="2"/>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37" w:lineRule="exact"/>
        <w:rPr>
          <w:sz w:val="20"/>
          <w:szCs w:val="20"/>
          <w:color w:val="auto"/>
        </w:rPr>
      </w:pPr>
    </w:p>
    <w:p>
      <w:pPr>
        <w:ind w:left="40"/>
        <w:spacing w:after="0"/>
        <w:tabs>
          <w:tab w:leader="none" w:pos="6180" w:val="left"/>
          <w:tab w:leader="none" w:pos="6980" w:val="left"/>
        </w:tabs>
        <w:rPr>
          <w:sz w:val="20"/>
          <w:szCs w:val="20"/>
          <w:color w:val="auto"/>
        </w:rPr>
      </w:pPr>
      <w:r>
        <w:rPr>
          <w:rFonts w:ascii="Times New Roman" w:cs="Times New Roman" w:eastAsia="Times New Roman" w:hAnsi="Times New Roman"/>
          <w:sz w:val="18"/>
          <w:szCs w:val="18"/>
          <w:color w:val="auto"/>
        </w:rPr>
        <w:t>Dated: April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36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Terminates Preliminary Transaction Discussions with Crown Resorts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LAS VEGAS, April 9, 2019 </w:t>
      </w:r>
      <w:r>
        <w:rPr>
          <w:rFonts w:ascii="Times New Roman" w:cs="Times New Roman" w:eastAsia="Times New Roman" w:hAnsi="Times New Roman"/>
          <w:sz w:val="18"/>
          <w:szCs w:val="18"/>
          <w:color w:val="auto"/>
        </w:rPr>
        <w:t>/PRNewswire/ -- Wynn Resorts (NASDAQ: WYNN) released the following statement today: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premature disclosure of preliminary discussions, Wynn Resorts has terminated all discussions with Crown Resorts concerning any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Weaver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Michael.weaver@wynnlasvegas.com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2019-12-28T14:04:44Z</dcterms:created>
  <dcterms:modified xsi:type="dcterms:W3CDTF">2019-12-28T14:04:44Z</dcterms:modified>
</cp:coreProperties>
</file>