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January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6"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8660" w:space="720"/>
            <w:col w:w="1220"/>
          </w:cols>
          <w:pgMar w:left="240" w:top="314" w:right="1059" w:bottom="1440" w:gutter="0" w:footer="0" w:header="0"/>
          <w:type w:val="continuous"/>
        </w:sectPr>
      </w:pPr>
    </w:p>
    <w:p>
      <w:pPr>
        <w:ind w:left="220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32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00"/>
          </w:cols>
          <w:pgMar w:left="240" w:top="314" w:right="1059" w:bottom="1440" w:gutter="0" w:footer="0" w:header="0"/>
          <w:type w:val="continuous"/>
        </w:sectPr>
      </w:pP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31, 2013, Wynn Resorts, Limited issued a press release announcing its results of operations for the fourth quarter and year ended December 31, 2012.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January 31, 2013, the Board of Directors of Wynn Resorts, Limited approved a quarterly cash dividend of $1.00 per share of its outstanding common stock. This cash dividend will be payable on February 28, 2013 to stockholders of record on February 14, 2013.</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880" w:type="dxa"/>
            <w:vAlign w:val="bottom"/>
          </w:tcPr>
          <w:p>
            <w:pPr>
              <w:spacing w:after="0"/>
              <w:rPr>
                <w:sz w:val="14"/>
                <w:szCs w:val="14"/>
                <w:color w:val="auto"/>
              </w:rPr>
            </w:pPr>
          </w:p>
        </w:tc>
      </w:tr>
      <w:tr>
        <w:trPr>
          <w:trHeight w:val="316"/>
        </w:trPr>
        <w:tc>
          <w:tcPr>
            <w:tcW w:w="720" w:type="dxa"/>
            <w:vAlign w:val="bottom"/>
          </w:tcPr>
          <w:p>
            <w:pPr>
              <w:jc w:val="right"/>
              <w:ind w:right="322"/>
              <w:spacing w:after="0"/>
              <w:rPr>
                <w:sz w:val="20"/>
                <w:szCs w:val="20"/>
                <w:color w:val="auto"/>
              </w:rPr>
            </w:pPr>
            <w:r>
              <w:rPr>
                <w:rFonts w:ascii="Arial" w:cs="Arial" w:eastAsia="Arial" w:hAnsi="Arial"/>
                <w:sz w:val="18"/>
                <w:szCs w:val="18"/>
                <w:color w:val="auto"/>
                <w:w w:val="85"/>
              </w:rPr>
              <w:t>99.1</w:t>
            </w:r>
          </w:p>
        </w:tc>
        <w:tc>
          <w:tcPr>
            <w:tcW w:w="7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w w:val="86"/>
              </w:rPr>
              <w:t>Press release, dated January 31, 2013, of Wynn Resorts, Limited.</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Fourth Quarter and Year End 2012 Results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LAS VEGAS, January 31, 2013 (BUSINESS WIRE) — Wynn Resorts, Limited (Nasdaq: WYNN) today reported financial results for the fourth quarter and year ended December 31, 2012.</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Net revenues for the year ended December 31, 2012 declined 2.2% to $5,154.3 million, compared to $5,269.8 million in 2011. The revenue decrease was driven by a 3.2% decline in revenues from our Macau Operations, which was partially offset by a 0.4% increase in revenues from our Las Vegas Operations. Adjusted property EBITDA (1) in 2012 decreased 3.6% to $1,575.8 million, compared to $1,635.3 million for the year ended December 31, 2011. The EBITDA decline was driven by 2.4% lower EBITDA from our Macau Operations coupled with a 7.0% decline in EBITDA from our Las Vegas Operations.</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Net revenues for the fourth quarter of 2012 were $1,289.1 million, compared to $1,343.9 million in the fourth quarter of 2011. The revenue decline was driven by 9.7% lower revenues from our Macau Operations, which were partially offset by a 12.1% increase in revenues from our Las Vegas Operations. Adjusted property EBITDA was $398.5 million for the fourth quarter of 2012, down 0.9% compared to $402.2 million in the fourth quarter of 2011.</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 US GAAP (Generally Accepted Accounting Principles) basis, net income attributable to Wynn Resorts for the year ended December 31, 2012 was $502.0 million, or $4.82 per diluted share, compared to net income attributable to Wynn Resorts of $613.4 million, or $4.88 per diluted share in 2011. Adjusted net income attributable to Wynn Resorts in 2012 was $558.4 million, or $5.36 per diluted share (adjusted EPS) (2) compared to an adjusted net income attributable to Wynn Resorts of $701.1 million, or $5.58 per diluted share in 2011.</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a US GAAP basis, net income attributable to Wynn Resorts for the fourth quarter of 2012 was $111.4 million, or $1.10 per diluted share, compared to a net income attributable to Wynn Resorts of $190.5 million, or $1.52 per diluted share in the fourth quarter of 2011. Net income was negatively impacted by a $47.9 million increase in tax expenses due to the timing of the payment of dividends from Macau, stock option exercises and capital expenditures. Adjusted net income attributable to Wynn Resorts in the fourth quarter of 2012 was $118.2 million, or $1.17 per diluted share (adjusted EPS) compared to an adjusted net income attributable to Wynn Resorts of $194.4 million, or $1.55 per diluted share in the fourth quarter of 2011.</w:t>
      </w:r>
    </w:p>
    <w:p>
      <w:pPr>
        <w:spacing w:after="0" w:line="1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Wynn Resorts also announced today that it has approved a cash dividend for the quarter of $1.00 per common share. This dividend will be payable on February 28, 2013, to stockholders of record on February 14,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9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the fourth quarter of 2012, net revenues were $898.7 million, a 9.7% decrease from the $995.5 million generated in the fourth quarter of 2011. Adjusted property EBITDA in the fourth quarter of 2012 was $283.2 million, down 9.5% from $313.1 million in the fourth quarter of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Table games turnover in the VIP segment was $27.7 billion for the fourth quarter of 2012, a 6.6% decrease from $29.7 billion in the fourth quarter of 2011. VIP table games win as a percentage of turnover (calculated before discounts and commissions) for the quarter was 2.96%, within our expected range of 2.7% to 3.0% and lower than the 3.18% experienced in the fourth quarter of 2011.</w:t>
      </w:r>
    </w:p>
    <w:p>
      <w:pPr>
        <w:spacing w:after="0" w:line="14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Table games drop in the mass market category was $699.3 million during the period, a 1.0% increase from $692.3 million in the fourth quarter of 2011. Mass market table games win percentage (calculated before discounts) of 31.1% was higher than the 30.4% generated in the 2011 quarter.</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Slot machine handle decreased 16.4% to $1.1 billion as compared to the prior year quarter. Win per unit per day was 15.3% lower at $635, compared to $749 in the fourth quarter of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achieved an Average Daily Rate (ADR) of $314 for the fourth quarter of 2012, 2.6% below the $322 reported in the 2011 quarter while the property’s occupancy was 96.5%, compared to 94.2% during the prior year period, and revenue per available room (REVPAR) was $303 in the 2012 quarter versus $304 in the fourth quarter of 2011. Gross non-casino revenues decreased 1.6% during the quarter to $104.4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504 tables (289 VIP tables, 205 mass market tables and 10 poker tables) and 840 slot machines.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constructing a full scale integrated resort containing a casino, hotel, convention, retail, entertainment and food and beverage offerings on the Cotai land and currently estimates the project budget to be in the range of $3.5 billion to $4.0 billion. The Company expects to enter into a guaranteed maximum price contract for the project construction costs in the first half of 2013.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2012, we spent approximately $57.1 million on our Cotai project.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fourth quarter ended December 31, 2012, net revenues were $390.4 million, a 12.1% increase from the fourth quarter of 2011. Adjusted property EBITDA of $115.3 million was up 29.4% versus the $89.1 million generated in the comparable period in 2011. EBITDA margin on net revenues was 29.5% in the fourth quarter of 2012 compared to 25.6% in the fourth quarter of 2011.</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casino revenues in the fourth quarter of 2012 were $180.5 million, up 23.8% from the fourth quarter of 2011. Table games drop of $679.4 million was up 14.3% compared to $594.5 million in the 2011 quarter and table games win percentage of 26.8% was higher than the property’s expected range of 21% to 24% and above the 23.3% reported in the 2011 quarter. Slot machine handle of $758.4 million was 14.9% above the $660.1 million in the comparable period of 2011 and net slot win was up 11.1% to $47.6 million.</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Gross non-casino revenues for the quarter were $258.0 million, 4.6% higher than in the fourth quarter of 2011 due to increases in hotel, food and beverage and entertainment revenues, which were partially offset by slightly lower retail revenues.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Room revenues were up 2.9% to $87.8 million during the quarter, versus $85.3 million in the fourth quarter of 2011. Average Daily Rate (ADR) was up 1.6% to $254 while occupancy of 79.2% was flat with the 79.1% experienced in the fourth quarter of 2011. Revenue per available room (REVPAR) was $201 in the 2012 quarter, 1.8% above the $197 reported in the prior year quarter.</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Food and beverage revenues increased 7.6% to $111.1 million and retail revenues were $22.1 million in the quarter, only down 0.9% despite the reduction in retail square footage resulting from the reconfiguration of the Encore retail area. Entertainment revenues were up 1.6% to $21.0 million from the fourth quarter of 2011 due to strong revenues from Le Rêve.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total cash and investments at December 31, 2012 were $2.0 billion. Total debt outstanding at the end of the year was $5.8 billion, including $3.1 billion of Wynn Las Vegas debt, $749 million of Wynn Macau debt and $1.9 billion at the parent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will hold a conference call to discuss its results on Thursday, January 31, 2013 at 1:30 p.m. PT (4:30 p.m. ET). Interested parties are invited to join the call by accessing a live audio webcast at http://www.wynnresorts.com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adverse tourism trends, volatility and weakness in world-wide credit and financial markets, general global macroeconomic conditions, results of probity investigations, regulatory or enforcement actions, pending or future legal proceedings, our substantial indebtedness and leverage, our dependence on existing management, uncertainties over the development and success of new gaming projects, and changes in gaming laws or regulations. Additional information concerning potential factors that could affect the Company’s financial results is included in the Company’s Annual Report on Form 10-K for the year ended December 31, 2011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firstLine="8"/>
        <w:spacing w:after="0" w:line="28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23" w:lineRule="exact"/>
        <w:rPr>
          <w:rFonts w:ascii="Arial" w:cs="Arial" w:eastAsia="Arial" w:hAnsi="Arial"/>
          <w:sz w:val="16"/>
          <w:szCs w:val="16"/>
          <w:color w:val="auto"/>
        </w:rPr>
      </w:pPr>
    </w:p>
    <w:p>
      <w:pPr>
        <w:ind w:firstLine="8"/>
        <w:spacing w:after="0" w:line="290"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attributable to Wynn Resorts is net income before pre-opening costs, property charges and other, and other non-cash non-operating income and expenses. Adjusted net income attributable to Wynn Resorts and adjusted net income per share attributable to Wynn Resorts (“adjusted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and adjusted net income attributable to Wynn Resorts per share may be different from the calculation methods used by other companies and, therefore, comparability may be limited.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included schedules in the tables that accompany this release that reconcile (i) net income attributable to Wynn Resorts to adjusted net income attributable to Wynn Resorts, and (ii) operating income to adjusted property EBITDA and adjusted property EBITDA to net income attributable to Wynn Resorts.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1,019,249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1,081,954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4,034,759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4,190,507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479,983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135,592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128,193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588,437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417,209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1,381,617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1,434,615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5,520,388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5,625,102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(90,752)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(366,104)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(355,310)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1,289,084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1,343,863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5,154,284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5,269,792</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652,615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698,033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2,626,822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2,686,372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126,527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72,824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308,394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189,832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120,187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101,545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441,699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373,199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39,978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130,649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1,031,122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1,069,057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4,125,008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4,261,552</w:t>
            </w:r>
          </w:p>
        </w:tc>
        <w:tc>
          <w:tcPr>
            <w:tcW w:w="0" w:type="dxa"/>
            <w:vAlign w:val="bottom"/>
          </w:tcPr>
          <w:p>
            <w:pPr>
              <w:spacing w:after="0"/>
              <w:rPr>
                <w:sz w:val="1"/>
                <w:szCs w:val="1"/>
                <w:color w:val="auto"/>
              </w:rPr>
            </w:pPr>
          </w:p>
        </w:tc>
      </w:tr>
      <w:tr>
        <w:trPr>
          <w:trHeight w:val="431"/>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257,962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274,806</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1,029,276</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1,008,240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(55,962)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(288,759)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(75,354)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(47,697)</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(296,278)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(202,673)</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732,998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805,567</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(16,782)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31,153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19,546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728,699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825,113</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8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(54,453)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(67,789)</w:t>
            </w:r>
          </w:p>
        </w:tc>
        <w:tc>
          <w:tcPr>
            <w:tcW w:w="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(226,663)</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(211,742)</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502,036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613,371</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1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101,122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125,606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104,249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125,667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7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5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111,373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190,473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502,036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613,371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Adjustment for noncontrolling interest</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Wynn Resorts, Limited(2)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118,244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194,423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558,377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701,134</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5520" w:type="dxa"/>
            <w:vAlign w:val="bottom"/>
            <w:gridSpan w:val="2"/>
          </w:tcPr>
          <w:p>
            <w:pPr>
              <w:spacing w:after="0"/>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140" w:type="dxa"/>
            <w:vAlign w:val="bottom"/>
            <w:vMerge w:val="restart"/>
          </w:tcPr>
          <w:p>
            <w:pPr>
              <w:jc w:val="right"/>
              <w:ind w:right="1812"/>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15"/>
          </w:tcPr>
          <w:p>
            <w:pPr>
              <w:jc w:val="right"/>
              <w:ind w:right="720"/>
              <w:spacing w:after="0"/>
              <w:rPr>
                <w:sz w:val="20"/>
                <w:szCs w:val="20"/>
                <w:color w:val="auto"/>
              </w:rPr>
            </w:pPr>
            <w:r>
              <w:rPr>
                <w:rFonts w:ascii="Arial" w:cs="Arial" w:eastAsia="Arial" w:hAnsi="Arial"/>
                <w:sz w:val="14"/>
                <w:szCs w:val="14"/>
                <w:b w:val="1"/>
                <w:bCs w:val="1"/>
                <w:color w:val="auto"/>
              </w:rPr>
              <w:t>Three Months Ended December 31,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Macau</w:t>
            </w:r>
          </w:p>
        </w:tc>
        <w:tc>
          <w:tcPr>
            <w:tcW w:w="8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Las Vegas</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Corporate</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Operations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5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$206,374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37,749</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$ 13,839</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and royalty fees</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(41,950)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Corporate expense and other</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7,513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22,765</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283,196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115,279</w:t>
            </w: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gridSpan w:val="15"/>
          </w:tcPr>
          <w:p>
            <w:pPr>
              <w:jc w:val="right"/>
              <w:ind w:right="720"/>
              <w:spacing w:after="0"/>
              <w:rPr>
                <w:sz w:val="20"/>
                <w:szCs w:val="20"/>
                <w:color w:val="auto"/>
              </w:rPr>
            </w:pPr>
            <w:r>
              <w:rPr>
                <w:rFonts w:ascii="Arial" w:cs="Arial" w:eastAsia="Arial" w:hAnsi="Arial"/>
                <w:sz w:val="14"/>
                <w:szCs w:val="14"/>
                <w:b w:val="1"/>
                <w:bCs w:val="1"/>
                <w:color w:val="auto"/>
              </w:rPr>
              <w:t>Three Months Ended 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Macau</w:t>
            </w:r>
          </w:p>
        </w:tc>
        <w:tc>
          <w:tcPr>
            <w:tcW w:w="8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Las Vegas</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Corporate</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Operations</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Operations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and Other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6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$233,909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$ 36,946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660" w:type="dxa"/>
            <w:vAlign w:val="bottom"/>
            <w:gridSpan w:val="5"/>
          </w:tcPr>
          <w:p>
            <w:pPr>
              <w:jc w:val="right"/>
              <w:ind w:right="300"/>
              <w:spacing w:after="0"/>
              <w:rPr>
                <w:sz w:val="20"/>
                <w:szCs w:val="20"/>
                <w:color w:val="auto"/>
              </w:rPr>
            </w:pPr>
            <w:r>
              <w:rPr>
                <w:rFonts w:ascii="Arial" w:cs="Arial" w:eastAsia="Arial" w:hAnsi="Arial"/>
                <w:sz w:val="18"/>
                <w:szCs w:val="18"/>
                <w:color w:val="auto"/>
              </w:rPr>
              <w:t>28,377</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65,045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94,118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36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Management and royalty fees</w:t>
            </w:r>
          </w:p>
        </w:tc>
        <w:tc>
          <w:tcPr>
            <w:tcW w:w="3660" w:type="dxa"/>
            <w:vAlign w:val="bottom"/>
            <w:gridSpan w:val="5"/>
          </w:tcPr>
          <w:p>
            <w:pPr>
              <w:jc w:val="right"/>
              <w:ind w:right="300"/>
              <w:spacing w:after="0"/>
              <w:rPr>
                <w:sz w:val="20"/>
                <w:szCs w:val="20"/>
                <w:color w:val="auto"/>
              </w:rPr>
            </w:pPr>
            <w:r>
              <w:rPr>
                <w:rFonts w:ascii="Arial" w:cs="Arial" w:eastAsia="Arial" w:hAnsi="Arial"/>
                <w:sz w:val="18"/>
                <w:szCs w:val="18"/>
                <w:color w:val="auto"/>
              </w:rPr>
              <w:t>39,913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(45,138)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 and other</w:t>
            </w:r>
          </w:p>
        </w:tc>
        <w:tc>
          <w:tcPr>
            <w:tcW w:w="36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8,191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3660" w:type="dxa"/>
            <w:vAlign w:val="bottom"/>
            <w:gridSpan w:val="5"/>
          </w:tcPr>
          <w:p>
            <w:pPr>
              <w:jc w:val="right"/>
              <w:ind w:right="300"/>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680" w:type="dxa"/>
            <w:vAlign w:val="bottom"/>
            <w:gridSpan w:val="2"/>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3660" w:type="dxa"/>
            <w:vAlign w:val="bottom"/>
            <w:gridSpan w:val="5"/>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313,093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$ 89,082</w:t>
            </w:r>
          </w:p>
        </w:tc>
        <w:tc>
          <w:tcPr>
            <w:tcW w:w="16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$398,475</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(93,057)</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(3,431)</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(37,440)</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(5,944)</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(77,742)</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(16,782)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(54,453)</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$ 111,373</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60" w:type="dxa"/>
            <w:vAlign w:val="bottom"/>
            <w:vMerge w:val="restart"/>
          </w:tcPr>
          <w:p>
            <w:pPr>
              <w:jc w:val="right"/>
              <w:ind w:right="1852"/>
              <w:spacing w:after="0"/>
              <w:rPr>
                <w:sz w:val="20"/>
                <w:szCs w:val="20"/>
                <w:color w:val="auto"/>
              </w:rPr>
            </w:pPr>
            <w:r>
              <w:rPr>
                <w:rFonts w:ascii="Arial" w:cs="Arial" w:eastAsia="Arial" w:hAnsi="Arial"/>
                <w:sz w:val="18"/>
                <w:szCs w:val="18"/>
                <w:color w:val="auto"/>
              </w:rPr>
              <w:t>7</w:t>
            </w: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ADJUSTED PROPERTY EBITDA TO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2"/>
              </w:rPr>
              <w:t>Year Ended December 31, 2012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Macau</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Las Vegas</w:t>
            </w:r>
          </w:p>
        </w:tc>
        <w:tc>
          <w:tcPr>
            <w:tcW w:w="80" w:type="dxa"/>
            <w:vAlign w:val="bottom"/>
          </w:tcPr>
          <w:p>
            <w:pPr>
              <w:spacing w:after="0"/>
              <w:rPr>
                <w:sz w:val="11"/>
                <w:szCs w:val="11"/>
                <w:color w:val="auto"/>
              </w:rPr>
            </w:pPr>
          </w:p>
        </w:tc>
        <w:tc>
          <w:tcPr>
            <w:tcW w:w="104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$ 74,027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1,029,276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119,620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250,153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10,382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29,563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Management and royalty fees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147,101</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(169,419)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Corporate expense and 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29,177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26,809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2,463</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1,167,340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408,472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2"/>
              </w:rPr>
              <w:t>Year Ended December 31, 2011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Macau</w:t>
            </w:r>
          </w:p>
        </w:tc>
        <w:tc>
          <w:tcPr>
            <w:tcW w:w="16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Las Vegas</w:t>
            </w:r>
          </w:p>
        </w:tc>
        <w:tc>
          <w:tcPr>
            <w:tcW w:w="80" w:type="dxa"/>
            <w:vAlign w:val="bottom"/>
          </w:tcPr>
          <w:p>
            <w:pPr>
              <w:spacing w:after="0"/>
              <w:rPr>
                <w:sz w:val="11"/>
                <w:szCs w:val="11"/>
                <w:color w:val="auto"/>
              </w:rPr>
            </w:pPr>
          </w:p>
        </w:tc>
        <w:tc>
          <w:tcPr>
            <w:tcW w:w="104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Operations</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Operations</w:t>
            </w:r>
          </w:p>
        </w:tc>
        <w:tc>
          <w:tcPr>
            <w:tcW w:w="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and 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765,142</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$101,319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$ 141,779</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1,008,240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131,706</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263,639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398,039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114,020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Management and royalty fees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152,463</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22,229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(174,692)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 and 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27,119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27,493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5,782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7,437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10,662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1,196,232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439,036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1"/>
                <w:szCs w:val="11"/>
                <w:b w:val="1"/>
                <w:bCs w:val="1"/>
                <w:color w:val="auto"/>
              </w:rPr>
              <w:t>(1)</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$1,575,812</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$1,635,268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(373,199)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(39,978)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expense and 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(112,159)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(19,648)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(288,759)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(4,299)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728,699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(226,663)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(211,742)</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502,036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340" w:type="dxa"/>
            <w:vAlign w:val="bottom"/>
            <w:vMerge w:val="restart"/>
          </w:tcPr>
          <w:p>
            <w:pPr>
              <w:jc w:val="right"/>
              <w:ind w:right="15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ind w:left="6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2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Room Statistics for Macau Operations: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Occupancy %</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303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 for Macau Operations: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23,210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25,769</w:t>
            </w:r>
          </w:p>
        </w:tc>
        <w:tc>
          <w:tcPr>
            <w:tcW w:w="3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23,654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Average number of table games</w:t>
            </w: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slot machines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431"/>
        </w:trPr>
        <w:tc>
          <w:tcPr>
            <w:tcW w:w="6120" w:type="dxa"/>
            <w:vAlign w:val="bottom"/>
            <w:gridSpan w:val="2"/>
          </w:tcPr>
          <w:p>
            <w:pPr>
              <w:spacing w:after="0"/>
              <w:rPr>
                <w:sz w:val="20"/>
                <w:szCs w:val="20"/>
                <w:color w:val="auto"/>
              </w:rPr>
            </w:pPr>
            <w:r>
              <w:rPr>
                <w:rFonts w:ascii="Arial" w:cs="Arial" w:eastAsia="Arial" w:hAnsi="Arial"/>
                <w:sz w:val="18"/>
                <w:szCs w:val="18"/>
                <w:color w:val="auto"/>
              </w:rPr>
              <w:t>Room Statistics for Las Vegas Operations: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Average Daily Rate (ADR)</w:t>
            </w:r>
            <w:r>
              <w:rPr>
                <w:rFonts w:ascii="Arial" w:cs="Arial" w:eastAsia="Arial" w:hAnsi="Arial"/>
                <w:sz w:val="11"/>
                <w:szCs w:val="1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254</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per available room (REVPAR)</w:t>
            </w:r>
            <w:r>
              <w:rPr>
                <w:rFonts w:ascii="Arial" w:cs="Arial" w:eastAsia="Arial" w:hAnsi="Arial"/>
                <w:sz w:val="11"/>
                <w:szCs w:val="11"/>
                <w:color w:val="auto"/>
              </w:rPr>
              <w:t>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431"/>
        </w:trPr>
        <w:tc>
          <w:tcPr>
            <w:tcW w:w="6120" w:type="dxa"/>
            <w:vAlign w:val="bottom"/>
            <w:gridSpan w:val="2"/>
          </w:tcPr>
          <w:p>
            <w:pPr>
              <w:spacing w:after="0"/>
              <w:rPr>
                <w:sz w:val="20"/>
                <w:szCs w:val="20"/>
                <w:color w:val="auto"/>
              </w:rPr>
            </w:pPr>
            <w:r>
              <w:rPr>
                <w:rFonts w:ascii="Arial" w:cs="Arial" w:eastAsia="Arial" w:hAnsi="Arial"/>
                <w:sz w:val="18"/>
                <w:szCs w:val="18"/>
                <w:color w:val="auto"/>
              </w:rPr>
              <w:t>Other information for Las Vegas Operations: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Table games win per unit per day</w:t>
            </w:r>
            <w:r>
              <w:rPr>
                <w:rFonts w:ascii="Arial" w:cs="Arial" w:eastAsia="Arial" w:hAnsi="Arial"/>
                <w:sz w:val="11"/>
                <w:szCs w:val="11"/>
                <w:color w:val="auto"/>
              </w:rPr>
              <w:t>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8,896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Table Win %</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Slot machine win per unit per day</w:t>
            </w:r>
            <w:r>
              <w:rPr>
                <w:rFonts w:ascii="Arial" w:cs="Arial" w:eastAsia="Arial" w:hAnsi="Arial"/>
                <w:sz w:val="11"/>
                <w:szCs w:val="11"/>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Average number of table games</w:t>
            </w:r>
          </w:p>
        </w:tc>
        <w:tc>
          <w:tcPr>
            <w:tcW w:w="1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number of slot machines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ind w:left="460" w:right="50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2019-12-07T04:33:07Z</dcterms:created>
  <dcterms:modified xsi:type="dcterms:W3CDTF">2019-12-07T04:33:07Z</dcterms:modified>
</cp:coreProperties>
</file>