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365125</wp:posOffset>
            </wp:positionV>
            <wp:extent cx="2847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20"/>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91440</wp:posOffset>
            </wp:positionV>
            <wp:extent cx="28479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247015</wp:posOffset>
            </wp:positionV>
            <wp:extent cx="2847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62" w:lineRule="exact"/>
        <w:rPr>
          <w:sz w:val="24"/>
          <w:szCs w:val="24"/>
          <w:color w:val="auto"/>
        </w:rPr>
      </w:pPr>
    </w:p>
    <w:tbl>
      <w:tblPr>
        <w:tblLayout w:type="fixed"/>
        <w:tblInd w:w="1380" w:type="dxa"/>
        <w:tblCellMar>
          <w:top w:w="0" w:type="dxa"/>
          <w:left w:w="0" w:type="dxa"/>
          <w:bottom w:w="0" w:type="dxa"/>
          <w:right w:w="0" w:type="dxa"/>
        </w:tblCellMar>
      </w:tblPr>
      <w:tr>
        <w:trPr>
          <w:trHeight w:val="228"/>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2"/>
              </w:rPr>
              <w:t>Nevada</w:t>
            </w:r>
          </w:p>
        </w:tc>
        <w:tc>
          <w:tcPr>
            <w:tcW w:w="3680" w:type="dxa"/>
            <w:vAlign w:val="bottom"/>
          </w:tcPr>
          <w:p>
            <w:pPr>
              <w:ind w:left="1240"/>
              <w:spacing w:after="0"/>
              <w:rPr>
                <w:sz w:val="20"/>
                <w:szCs w:val="20"/>
                <w:color w:val="auto"/>
              </w:rPr>
            </w:pPr>
            <w:r>
              <w:rPr>
                <w:rFonts w:ascii="Arial" w:cs="Arial" w:eastAsia="Arial" w:hAnsi="Arial"/>
                <w:sz w:val="17"/>
                <w:szCs w:val="17"/>
                <w:b w:val="1"/>
                <w:bCs w:val="1"/>
                <w:color w:val="auto"/>
              </w:rPr>
              <w:t>000-50028</w:t>
            </w:r>
          </w:p>
        </w:tc>
        <w:tc>
          <w:tcPr>
            <w:tcW w:w="1500" w:type="dxa"/>
            <w:vAlign w:val="bottom"/>
          </w:tcPr>
          <w:p>
            <w:pPr>
              <w:jc w:val="right"/>
              <w:ind w:right="43"/>
              <w:spacing w:after="0"/>
              <w:rPr>
                <w:sz w:val="20"/>
                <w:szCs w:val="20"/>
                <w:color w:val="auto"/>
              </w:rPr>
            </w:pPr>
            <w:r>
              <w:rPr>
                <w:rFonts w:ascii="Arial" w:cs="Arial" w:eastAsia="Arial" w:hAnsi="Arial"/>
                <w:sz w:val="17"/>
                <w:szCs w:val="17"/>
                <w:b w:val="1"/>
                <w:bCs w:val="1"/>
                <w:color w:val="auto"/>
              </w:rPr>
              <w:t>46-0484987</w:t>
            </w:r>
          </w:p>
        </w:tc>
      </w:tr>
      <w:tr>
        <w:trPr>
          <w:trHeight w:val="197"/>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(State or other jurisdiction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1"/>
              </w:rPr>
              <w:t>Identification No.)</w:t>
            </w:r>
          </w:p>
        </w:tc>
      </w:tr>
      <w:tr>
        <w:trPr>
          <w:trHeight w:val="245"/>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1"/>
              </w:rPr>
              <w:t>3131 Las Vegas Boulevard South</w:t>
            </w:r>
          </w:p>
        </w:tc>
        <w:tc>
          <w:tcPr>
            <w:tcW w:w="36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9"/>
        </w:trPr>
        <w:tc>
          <w:tcPr>
            <w:tcW w:w="2560" w:type="dxa"/>
            <w:vAlign w:val="bottom"/>
          </w:tcPr>
          <w:p>
            <w:pPr>
              <w:ind w:left="400"/>
              <w:spacing w:after="0"/>
              <w:rPr>
                <w:sz w:val="20"/>
                <w:szCs w:val="20"/>
                <w:color w:val="auto"/>
              </w:rPr>
            </w:pPr>
            <w:r>
              <w:rPr>
                <w:rFonts w:ascii="Arial" w:cs="Arial" w:eastAsia="Arial" w:hAnsi="Arial"/>
                <w:sz w:val="17"/>
                <w:szCs w:val="17"/>
                <w:b w:val="1"/>
                <w:bCs w:val="1"/>
                <w:color w:val="auto"/>
              </w:rPr>
              <w:t>Las Vegas, Nevada</w:t>
            </w:r>
          </w:p>
        </w:tc>
        <w:tc>
          <w:tcPr>
            <w:tcW w:w="3680" w:type="dxa"/>
            <w:vAlign w:val="bottom"/>
          </w:tcPr>
          <w:p>
            <w:pPr>
              <w:spacing w:after="0"/>
              <w:rPr>
                <w:sz w:val="19"/>
                <w:szCs w:val="19"/>
                <w:color w:val="auto"/>
              </w:rPr>
            </w:pPr>
          </w:p>
        </w:tc>
        <w:tc>
          <w:tcPr>
            <w:tcW w:w="1500" w:type="dxa"/>
            <w:vAlign w:val="bottom"/>
          </w:tcPr>
          <w:p>
            <w:pPr>
              <w:jc w:val="right"/>
              <w:ind w:right="243"/>
              <w:spacing w:after="0"/>
              <w:rPr>
                <w:sz w:val="20"/>
                <w:szCs w:val="20"/>
                <w:color w:val="auto"/>
              </w:rPr>
            </w:pPr>
            <w:r>
              <w:rPr>
                <w:rFonts w:ascii="Arial" w:cs="Arial" w:eastAsia="Arial" w:hAnsi="Arial"/>
                <w:sz w:val="17"/>
                <w:szCs w:val="17"/>
                <w:b w:val="1"/>
                <w:bCs w:val="1"/>
                <w:color w:val="auto"/>
              </w:rPr>
              <w:t>89109</w:t>
            </w:r>
          </w:p>
        </w:tc>
      </w:tr>
      <w:tr>
        <w:trPr>
          <w:trHeight w:val="209"/>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680" w:type="dxa"/>
            <w:vAlign w:val="bottom"/>
          </w:tcPr>
          <w:p>
            <w:pPr>
              <w:spacing w:after="0"/>
              <w:rPr>
                <w:sz w:val="18"/>
                <w:szCs w:val="18"/>
                <w:color w:val="auto"/>
              </w:rPr>
            </w:pP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(Zip Code)</w:t>
            </w:r>
          </w:p>
        </w:tc>
      </w:tr>
      <w:tr>
        <w:trPr>
          <w:trHeight w:val="709"/>
        </w:trPr>
        <w:tc>
          <w:tcPr>
            <w:tcW w:w="2560" w:type="dxa"/>
            <w:vAlign w:val="bottom"/>
          </w:tcPr>
          <w:p>
            <w:pPr>
              <w:spacing w:after="0"/>
              <w:rPr>
                <w:sz w:val="24"/>
                <w:szCs w:val="24"/>
                <w:color w:val="auto"/>
              </w:rPr>
            </w:pPr>
          </w:p>
        </w:tc>
        <w:tc>
          <w:tcPr>
            <w:tcW w:w="3680" w:type="dxa"/>
            <w:vAlign w:val="bottom"/>
          </w:tcPr>
          <w:p>
            <w:pPr>
              <w:jc w:val="center"/>
              <w:ind w:right="221"/>
              <w:spacing w:after="0"/>
              <w:rPr>
                <w:sz w:val="20"/>
                <w:szCs w:val="20"/>
                <w:color w:val="auto"/>
              </w:rPr>
            </w:pPr>
            <w:r>
              <w:rPr>
                <w:rFonts w:ascii="Arial" w:cs="Arial" w:eastAsia="Arial" w:hAnsi="Arial"/>
                <w:sz w:val="17"/>
                <w:szCs w:val="17"/>
                <w:b w:val="1"/>
                <w:bCs w:val="1"/>
                <w:color w:val="auto"/>
                <w:w w:val="94"/>
              </w:rPr>
              <w:t>(702) 770-7555</w:t>
            </w:r>
          </w:p>
        </w:tc>
        <w:tc>
          <w:tcPr>
            <w:tcW w:w="150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680" w:type="dxa"/>
            <w:vAlign w:val="bottom"/>
          </w:tcPr>
          <w:p>
            <w:pPr>
              <w:jc w:val="center"/>
              <w:ind w:right="241"/>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00" w:type="dxa"/>
            <w:vAlign w:val="bottom"/>
          </w:tcPr>
          <w:p>
            <w:pPr>
              <w:spacing w:after="0"/>
              <w:rPr>
                <w:sz w:val="15"/>
                <w:szCs w:val="15"/>
                <w:color w:val="auto"/>
              </w:rPr>
            </w:pPr>
          </w:p>
        </w:tc>
      </w:tr>
      <w:tr>
        <w:trPr>
          <w:trHeight w:val="410"/>
        </w:trPr>
        <w:tc>
          <w:tcPr>
            <w:tcW w:w="2560" w:type="dxa"/>
            <w:vAlign w:val="bottom"/>
          </w:tcPr>
          <w:p>
            <w:pPr>
              <w:spacing w:after="0"/>
              <w:rPr>
                <w:sz w:val="24"/>
                <w:szCs w:val="24"/>
                <w:color w:val="auto"/>
              </w:rPr>
            </w:pPr>
          </w:p>
        </w:tc>
        <w:tc>
          <w:tcPr>
            <w:tcW w:w="3680" w:type="dxa"/>
            <w:vAlign w:val="bottom"/>
          </w:tcPr>
          <w:p>
            <w:pPr>
              <w:jc w:val="center"/>
              <w:ind w:right="241"/>
              <w:spacing w:after="0"/>
              <w:rPr>
                <w:sz w:val="20"/>
                <w:szCs w:val="20"/>
                <w:color w:val="auto"/>
              </w:rPr>
            </w:pPr>
            <w:r>
              <w:rPr>
                <w:rFonts w:ascii="Arial" w:cs="Arial" w:eastAsia="Arial" w:hAnsi="Arial"/>
                <w:sz w:val="17"/>
                <w:szCs w:val="17"/>
                <w:b w:val="1"/>
                <w:bCs w:val="1"/>
                <w:color w:val="auto"/>
                <w:w w:val="94"/>
              </w:rPr>
              <w:t>Not Applicable</w:t>
            </w:r>
          </w:p>
        </w:tc>
        <w:tc>
          <w:tcPr>
            <w:tcW w:w="15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2151380</wp:posOffset>
            </wp:positionH>
            <wp:positionV relativeFrom="paragraph">
              <wp:posOffset>76835</wp:posOffset>
            </wp:positionV>
            <wp:extent cx="2847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7975"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3020" w:type="dxa"/>
            <w:vAlign w:val="bottom"/>
            <w:gridSpan w:val="2"/>
          </w:tcPr>
          <w:p>
            <w:pPr>
              <w:jc w:val="center"/>
              <w:ind w:right="1680"/>
              <w:spacing w:after="0"/>
              <w:rPr>
                <w:sz w:val="20"/>
                <w:szCs w:val="20"/>
                <w:color w:val="auto"/>
              </w:rPr>
            </w:pPr>
            <w:r>
              <w:rPr>
                <w:rFonts w:ascii="Arial" w:cs="Arial" w:eastAsia="Arial" w:hAnsi="Arial"/>
                <w:sz w:val="17"/>
                <w:szCs w:val="17"/>
                <w:b w:val="1"/>
                <w:bCs w:val="1"/>
                <w:color w:val="auto"/>
                <w:w w:val="88"/>
              </w:rPr>
              <w:t>Title of each class</w:t>
            </w:r>
          </w:p>
        </w:tc>
        <w:tc>
          <w:tcPr>
            <w:tcW w:w="2280" w:type="dxa"/>
            <w:vAlign w:val="bottom"/>
            <w:gridSpan w:val="2"/>
          </w:tcPr>
          <w:p>
            <w:pPr>
              <w:jc w:val="center"/>
              <w:ind w:right="880"/>
              <w:spacing w:after="0"/>
              <w:rPr>
                <w:sz w:val="20"/>
                <w:szCs w:val="20"/>
                <w:color w:val="auto"/>
              </w:rPr>
            </w:pPr>
            <w:r>
              <w:rPr>
                <w:rFonts w:ascii="Arial" w:cs="Arial" w:eastAsia="Arial" w:hAnsi="Arial"/>
                <w:sz w:val="17"/>
                <w:szCs w:val="17"/>
                <w:b w:val="1"/>
                <w:bCs w:val="1"/>
                <w:color w:val="auto"/>
                <w:w w:val="93"/>
              </w:rPr>
              <w:t>Trading Symbol(s)</w:t>
            </w:r>
          </w:p>
        </w:tc>
        <w:tc>
          <w:tcPr>
            <w:tcW w:w="4140" w:type="dxa"/>
            <w:vAlign w:val="bottom"/>
            <w:gridSpan w:val="2"/>
          </w:tcPr>
          <w:p>
            <w:pPr>
              <w:jc w:val="center"/>
              <w:ind w:left="813"/>
              <w:spacing w:after="0"/>
              <w:rPr>
                <w:sz w:val="20"/>
                <w:szCs w:val="20"/>
                <w:color w:val="auto"/>
              </w:rPr>
            </w:pPr>
            <w:r>
              <w:rPr>
                <w:rFonts w:ascii="Arial" w:cs="Arial" w:eastAsia="Arial" w:hAnsi="Arial"/>
                <w:sz w:val="17"/>
                <w:szCs w:val="17"/>
                <w:b w:val="1"/>
                <w:bCs w:val="1"/>
                <w:color w:val="auto"/>
                <w:w w:val="90"/>
              </w:rPr>
              <w:t>Name of each exchange on which registered</w:t>
            </w:r>
          </w:p>
        </w:tc>
        <w:tc>
          <w:tcPr>
            <w:tcW w:w="94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42"/>
        </w:trPr>
        <w:tc>
          <w:tcPr>
            <w:tcW w:w="3880" w:type="dxa"/>
            <w:vAlign w:val="bottom"/>
            <w:gridSpan w:val="3"/>
          </w:tcPr>
          <w:p>
            <w:pPr>
              <w:jc w:val="center"/>
              <w:ind w:right="840"/>
              <w:spacing w:after="0"/>
              <w:rPr>
                <w:sz w:val="20"/>
                <w:szCs w:val="20"/>
                <w:color w:val="auto"/>
              </w:rPr>
            </w:pPr>
            <w:r>
              <w:rPr>
                <w:rFonts w:ascii="Arial" w:cs="Arial" w:eastAsia="Arial" w:hAnsi="Arial"/>
                <w:sz w:val="17"/>
                <w:szCs w:val="17"/>
                <w:color w:val="auto"/>
                <w:w w:val="93"/>
              </w:rPr>
              <w:t>Common stock, par value $0.01</w:t>
            </w:r>
          </w:p>
        </w:tc>
        <w:tc>
          <w:tcPr>
            <w:tcW w:w="2280" w:type="dxa"/>
            <w:vAlign w:val="bottom"/>
            <w:gridSpan w:val="2"/>
          </w:tcPr>
          <w:p>
            <w:pPr>
              <w:jc w:val="center"/>
              <w:ind w:right="900"/>
              <w:spacing w:after="0"/>
              <w:rPr>
                <w:sz w:val="20"/>
                <w:szCs w:val="20"/>
                <w:color w:val="auto"/>
              </w:rPr>
            </w:pPr>
            <w:r>
              <w:rPr>
                <w:rFonts w:ascii="Arial" w:cs="Arial" w:eastAsia="Arial" w:hAnsi="Arial"/>
                <w:sz w:val="17"/>
                <w:szCs w:val="17"/>
                <w:color w:val="auto"/>
              </w:rPr>
              <w:t>WYNN</w:t>
            </w:r>
          </w:p>
        </w:tc>
        <w:tc>
          <w:tcPr>
            <w:tcW w:w="9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Arial" w:cs="Arial" w:eastAsia="Arial" w:hAnsi="Arial"/>
                <w:sz w:val="17"/>
                <w:szCs w:val="17"/>
                <w:color w:val="auto"/>
                <w:w w:val="94"/>
              </w:rPr>
              <w:t>Nasdaq Global Select Market</w:t>
            </w:r>
          </w:p>
        </w:tc>
        <w:tc>
          <w:tcPr>
            <w:tcW w:w="940" w:type="dxa"/>
            <w:vAlign w:val="bottom"/>
          </w:tcPr>
          <w:p>
            <w:pPr>
              <w:spacing w:after="0"/>
              <w:rPr>
                <w:sz w:val="21"/>
                <w:szCs w:val="21"/>
                <w:color w:val="auto"/>
              </w:rPr>
            </w:pPr>
          </w:p>
        </w:tc>
      </w:tr>
      <w:tr>
        <w:trPr>
          <w:trHeight w:val="203"/>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bl>
    <w:p>
      <w:pPr>
        <w:spacing w:after="0" w:line="315" w:lineRule="exact"/>
        <w:rPr>
          <w:sz w:val="24"/>
          <w:szCs w:val="24"/>
          <w:color w:val="auto"/>
        </w:rPr>
      </w:pPr>
    </w:p>
    <w:p>
      <w:pPr>
        <w:jc w:val="both"/>
        <w:spacing w:after="0" w:line="26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8"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7"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4"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7" w:lineRule="exact"/>
        <w:rPr>
          <w:sz w:val="24"/>
          <w:szCs w:val="24"/>
          <w:color w:val="auto"/>
        </w:rPr>
      </w:pPr>
    </w:p>
    <w:p>
      <w:pPr>
        <w:spacing w:after="0" w:line="25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 w:lineRule="exact"/>
        <w:rPr>
          <w:sz w:val="24"/>
          <w:szCs w:val="24"/>
          <w:color w:val="auto"/>
        </w:rPr>
      </w:pPr>
    </w:p>
    <w:p>
      <w:pPr>
        <w:ind w:right="360"/>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ind w:left="2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60"/>
        <w:spacing w:after="0" w:line="281" w:lineRule="auto"/>
        <w:rPr>
          <w:sz w:val="20"/>
          <w:szCs w:val="20"/>
          <w:color w:val="auto"/>
        </w:rPr>
      </w:pPr>
      <w:r>
        <w:rPr>
          <w:rFonts w:ascii="Arial" w:cs="Arial" w:eastAsia="Arial" w:hAnsi="Arial"/>
          <w:sz w:val="17"/>
          <w:szCs w:val="17"/>
          <w:b w:val="1"/>
          <w:bCs w:val="1"/>
          <w:color w:val="auto"/>
        </w:rPr>
        <w:t>Departure of Directors or Certain Officers; Election of Directors; Appointment of Certain Officers; Compensatory Arrangements of Certain Officers.</w:t>
      </w:r>
    </w:p>
    <w:p>
      <w:pPr>
        <w:spacing w:after="0" w:line="60" w:lineRule="exact"/>
        <w:rPr>
          <w:sz w:val="20"/>
          <w:szCs w:val="20"/>
          <w:color w:val="auto"/>
        </w:rPr>
      </w:pPr>
    </w:p>
    <w:p>
      <w:pPr>
        <w:sectPr>
          <w:pgSz w:w="11900" w:h="16838" w:orient="portrait"/>
          <w:cols w:equalWidth="0" w:num="2">
            <w:col w:w="720" w:space="620"/>
            <w:col w:w="9900"/>
          </w:cols>
          <w:pgMar w:left="320" w:top="908" w:right="339" w:bottom="1440" w:gutter="0" w:footer="0" w:header="0"/>
        </w:sectPr>
      </w:pPr>
    </w:p>
    <w:p>
      <w:pPr>
        <w:jc w:val="both"/>
        <w:ind w:firstLine="393"/>
        <w:spacing w:after="0" w:line="290" w:lineRule="auto"/>
        <w:rPr>
          <w:sz w:val="20"/>
          <w:szCs w:val="20"/>
          <w:color w:val="auto"/>
        </w:rPr>
      </w:pPr>
      <w:r>
        <w:rPr>
          <w:rFonts w:ascii="Arial" w:cs="Arial" w:eastAsia="Arial" w:hAnsi="Arial"/>
          <w:sz w:val="16"/>
          <w:szCs w:val="16"/>
          <w:color w:val="auto"/>
        </w:rPr>
        <w:t>On November 9, 2021, Wynn Resorts, Limited (the “Company”) announced that Matt Maddox, CEO of the Company, will be leaving the Company as of January 31, 2022. Following a unanimous request by the Board of Directors, Mr. Maddox agreed to remain on the Wynn Macau, Limited and Wynn Interactive Ltd. Boards through the end of 2022. Craig Billings, who has served as Chief Financial Officer of the Company since March 2017, and also served as President of the Company from May 2019 to May 2021, will become CEO of the Company and a member of the Board effective February 1, 2022.</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Maddox Transition Agreement</w:t>
      </w:r>
    </w:p>
    <w:p>
      <w:pPr>
        <w:spacing w:after="0" w:line="250"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On November 9, 2021, the Company entered into an agreement with Mr. Maddox (the "Maddox Agreement") to finalize the terms of his transition and departure.</w:t>
      </w:r>
    </w:p>
    <w:p>
      <w:pPr>
        <w:spacing w:after="0" w:line="18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Maddox Agreement terminates Mr. Maddox’s existing employment agreement with the Company as of January 31, 2022 and provides that through January 31, 2022, Mr. Maddox will continue to serve as a Director and as the CEO of the Company, and he will continue to receive compensation per the terms of his existing employment agreement.</w:t>
      </w:r>
    </w:p>
    <w:p>
      <w:pPr>
        <w:spacing w:after="0" w:line="198"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color w:val="auto"/>
        </w:rPr>
        <w:t>In consideration of the terms set forth in the Maddox Agreement, consistent with the separation terms in Mr. Maddox’s existing employment agreement, the Maddox Agreement provides to Mr. Maddox the following: (1) a cash payment equal to $3 million, which is equivalent to eighteen months’ salary; (2) continued participation in the Company’s senior executive health program through December 31, 2022; (3) a payment equal to 11/12ths of the greater of Mr. Maddox’s annual bonus for 2020 and 2021, and (4) health care benefits coverage for Mr. Maddox and his dependents which shall be paid for by the Company until the expiration of Mr. Maddox’s continuation coverage under the Consolidated Omnibus Budget Reconciliation Act of 1985. In addition, pursuant to Mr. Maddox’s existing restricted stock agreements, 82,238 unvested shares granted to Mr. Maddox shall vest on January 31, 2022, representing a pro rata share of restricted stock previously granted to Mr. Maddox. Pursuant to the Maddox Agreement, Mr. Maddox will continue to serve on the boards of Wynn Interactive Ltd. and Wynn Macau, Limited, each subsidiaries of the Company, until December 31, 2022, and will remain available to the CEO of the Company for the remainder of 2022 on an as needed basis. Under the Maddox Agreement, Mr. Maddox grants a waiver and release of claims to the Company and agrees to certain non-competition, non-solicitation and confidentiality provisions.</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Billings Employment Agreement</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On November 9, 2021, the Company entered into an agreement with Mr. Billings (the “Billings Agreement”).</w:t>
      </w:r>
    </w:p>
    <w:p>
      <w:pPr>
        <w:spacing w:after="0" w:line="250"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color w:val="auto"/>
        </w:rPr>
        <w:t>Pursuant to the Billings Agreement, upon transition to the role of CEO, Mr. Billings will receive: (1) a base salary of $1,800,000, (2) an annual target bonus under the Company’s incentive plan of not less than 200% of the base salary, (3) an annual target equity grant of restricted stock equal to 375% of Mr. Billings’ base salary ($6.8 million in 2022), and (4) an initial grant of restricted stock equal to $5.0 million, vesting ratably over three years on each anniversary of the service commencement date as CEO. Equity awards granted to Mr. Billings previously under his existing agreement with the Company pursuant to the 2014 Omnibus Incentive Plan remain unchanged. The Billings Agreement provides the same severance benefits that were provided under Mr. Billings’ prior employment agreement, except that the portion attributable to base salary severance payments will be an amount equal to Mr. Billings’ base salary for the remainder of the term of the Billings Agreement, but not less than 18 months. The Billings Agreement also contains certain non-competition, non-solicitation and confidentiality provisions and has a term that ends on February 15, 2025.</w:t>
      </w:r>
    </w:p>
    <w:p>
      <w:pPr>
        <w:spacing w:after="0" w:line="207" w:lineRule="exact"/>
        <w:rPr>
          <w:sz w:val="20"/>
          <w:szCs w:val="20"/>
          <w:color w:val="auto"/>
        </w:rPr>
      </w:pPr>
    </w:p>
    <w:p>
      <w:pPr>
        <w:jc w:val="both"/>
        <w:ind w:firstLine="393"/>
        <w:spacing w:after="0" w:line="322" w:lineRule="auto"/>
        <w:rPr>
          <w:sz w:val="20"/>
          <w:szCs w:val="20"/>
          <w:color w:val="auto"/>
        </w:rPr>
      </w:pPr>
      <w:r>
        <w:rPr>
          <w:rFonts w:ascii="Arial" w:cs="Arial" w:eastAsia="Arial" w:hAnsi="Arial"/>
          <w:sz w:val="16"/>
          <w:szCs w:val="16"/>
          <w:color w:val="auto"/>
        </w:rPr>
        <w:t>The foregoing summaries of the Maddox Agreement and the Billings Agreement are qualified by reference to each of the Maddox Agreement and the Billings Agreement, copies of which will be filed as exhibits to the Company's Quarterly Report on Form 10-Q for the quarter ended September 30, 2021.</w:t>
      </w:r>
    </w:p>
    <w:p>
      <w:pPr>
        <w:spacing w:after="0" w:line="19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9"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On November 9, 2021, the Company issued a press release relating to the change in management. This press release is attached as Exhibit 99.1 to this Current Report on Form 8-K and is incorporated herein by reference. This information shall not be deemed “filed” for purposes of Section 18 of the Securities Exchange Act of 1934 (the “Exchange Act”), or incorporated by reference in any other filing under the Securities Act of 1933, as amended,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964565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9900" w:type="dxa"/>
            <w:vAlign w:val="bottom"/>
            <w:gridSpan w:val="3"/>
          </w:tcPr>
          <w:p>
            <w:pPr>
              <w:spacing w:after="0"/>
              <w:rPr>
                <w:sz w:val="20"/>
                <w:szCs w:val="20"/>
                <w:color w:val="auto"/>
              </w:rPr>
            </w:pPr>
            <w:r>
              <w:rPr>
                <w:rFonts w:ascii="Arial" w:cs="Arial" w:eastAsia="Arial" w:hAnsi="Arial"/>
                <w:sz w:val="17"/>
                <w:szCs w:val="17"/>
                <w:b w:val="1"/>
                <w:bCs w:val="1"/>
                <w:color w:val="auto"/>
              </w:rPr>
              <w:t>Financial Statements and Exhibits.</w:t>
            </w:r>
          </w:p>
        </w:tc>
      </w:tr>
      <w:tr>
        <w:trPr>
          <w:trHeight w:val="302"/>
        </w:trPr>
        <w:tc>
          <w:tcPr>
            <w:tcW w:w="20" w:type="dxa"/>
            <w:vAlign w:val="bottom"/>
          </w:tcPr>
          <w:p>
            <w:pPr>
              <w:spacing w:after="0"/>
              <w:rPr>
                <w:sz w:val="24"/>
                <w:szCs w:val="24"/>
                <w:color w:val="auto"/>
              </w:rPr>
            </w:pPr>
          </w:p>
        </w:tc>
        <w:tc>
          <w:tcPr>
            <w:tcW w:w="1320" w:type="dxa"/>
            <w:vAlign w:val="bottom"/>
            <w:gridSpan w:val="2"/>
          </w:tcPr>
          <w:p>
            <w:pPr>
              <w:ind w:left="220"/>
              <w:spacing w:after="0"/>
              <w:rPr>
                <w:sz w:val="20"/>
                <w:szCs w:val="20"/>
                <w:color w:val="auto"/>
              </w:rPr>
            </w:pPr>
            <w:r>
              <w:rPr>
                <w:rFonts w:ascii="Arial" w:cs="Arial" w:eastAsia="Arial" w:hAnsi="Arial"/>
                <w:sz w:val="17"/>
                <w:szCs w:val="17"/>
                <w:color w:val="auto"/>
              </w:rPr>
              <w:t>(d) Exhibits.</w:t>
            </w:r>
          </w:p>
        </w:tc>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90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17"/>
                <w:szCs w:val="17"/>
                <w:color w:val="auto"/>
              </w:rPr>
              <w:t>99.1</w:t>
            </w:r>
          </w:p>
        </w:tc>
        <w:tc>
          <w:tcPr>
            <w:tcW w:w="640" w:type="dxa"/>
            <w:vAlign w:val="bottom"/>
          </w:tcPr>
          <w:p>
            <w:pPr>
              <w:spacing w:after="0"/>
              <w:rPr>
                <w:sz w:val="22"/>
                <w:szCs w:val="22"/>
                <w:color w:val="auto"/>
              </w:rPr>
            </w:pPr>
          </w:p>
        </w:tc>
        <w:tc>
          <w:tcPr>
            <w:tcW w:w="9900" w:type="dxa"/>
            <w:vAlign w:val="bottom"/>
            <w:gridSpan w:val="3"/>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Press release, dated November 9, 2021, of Wynn Resorts, Limited.</w:t>
              </w:r>
            </w:hyperlink>
          </w:p>
        </w:tc>
      </w:tr>
      <w:tr>
        <w:trPr>
          <w:trHeight w:val="20"/>
        </w:trPr>
        <w:tc>
          <w:tcPr>
            <w:tcW w:w="7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42"/>
        </w:trPr>
        <w:tc>
          <w:tcPr>
            <w:tcW w:w="700" w:type="dxa"/>
            <w:vAlign w:val="bottom"/>
            <w:gridSpan w:val="2"/>
          </w:tcPr>
          <w:p>
            <w:pPr>
              <w:ind w:left="20"/>
              <w:spacing w:after="0"/>
              <w:rPr>
                <w:sz w:val="20"/>
                <w:szCs w:val="20"/>
                <w:color w:val="auto"/>
              </w:rPr>
            </w:pPr>
            <w:r>
              <w:rPr>
                <w:rFonts w:ascii="Arial" w:cs="Arial" w:eastAsia="Arial" w:hAnsi="Arial"/>
                <w:sz w:val="17"/>
                <w:szCs w:val="17"/>
                <w:color w:val="auto"/>
              </w:rPr>
              <w:t>104</w:t>
            </w:r>
          </w:p>
        </w:tc>
        <w:tc>
          <w:tcPr>
            <w:tcW w:w="640" w:type="dxa"/>
            <w:vAlign w:val="bottom"/>
          </w:tcPr>
          <w:p>
            <w:pPr>
              <w:spacing w:after="0"/>
              <w:rPr>
                <w:sz w:val="21"/>
                <w:szCs w:val="21"/>
                <w:color w:val="auto"/>
              </w:rPr>
            </w:pPr>
          </w:p>
        </w:tc>
        <w:tc>
          <w:tcPr>
            <w:tcW w:w="9900" w:type="dxa"/>
            <w:vAlign w:val="bottom"/>
            <w:gridSpan w:val="3"/>
          </w:tcPr>
          <w:p>
            <w:pPr>
              <w:spacing w:after="0"/>
              <w:rPr>
                <w:sz w:val="20"/>
                <w:szCs w:val="20"/>
                <w:color w:val="auto"/>
              </w:rPr>
            </w:pPr>
            <w:r>
              <w:rPr>
                <w:rFonts w:ascii="Arial" w:cs="Arial" w:eastAsia="Arial" w:hAnsi="Arial"/>
                <w:sz w:val="17"/>
                <w:szCs w:val="17"/>
                <w:color w:val="auto"/>
              </w:rPr>
              <w:t>Cover Page Interactive Data File - the cover page XBRL tags are embedded within the Inline XBRL document</w:t>
            </w:r>
          </w:p>
        </w:tc>
      </w:tr>
      <w:tr>
        <w:trPr>
          <w:trHeight w:val="1620"/>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10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tbl>
      <w:tblPr>
        <w:tblLayout w:type="fixed"/>
        <w:tblInd w:w="880" w:type="dxa"/>
        <w:tblCellMar>
          <w:top w:w="0" w:type="dxa"/>
          <w:left w:w="0" w:type="dxa"/>
          <w:bottom w:w="0" w:type="dxa"/>
          <w:right w:w="0" w:type="dxa"/>
        </w:tblCellMar>
      </w:tblPr>
      <w:tr>
        <w:trPr>
          <w:trHeight w:val="228"/>
        </w:trPr>
        <w:tc>
          <w:tcPr>
            <w:tcW w:w="38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680" w:type="dxa"/>
            <w:vAlign w:val="bottom"/>
          </w:tcPr>
          <w:p>
            <w:pPr>
              <w:ind w:left="560"/>
              <w:spacing w:after="0"/>
              <w:rPr>
                <w:sz w:val="20"/>
                <w:szCs w:val="20"/>
                <w:color w:val="auto"/>
              </w:rPr>
            </w:pPr>
            <w:r>
              <w:rPr>
                <w:rFonts w:ascii="Arial" w:cs="Arial" w:eastAsia="Arial" w:hAnsi="Arial"/>
                <w:sz w:val="17"/>
                <w:szCs w:val="17"/>
                <w:b w:val="1"/>
                <w:bCs w:val="1"/>
                <w:color w:val="auto"/>
              </w:rPr>
              <w:t>WYNN RESORTS, LIMITED</w:t>
            </w:r>
          </w:p>
        </w:tc>
      </w:tr>
      <w:tr>
        <w:trPr>
          <w:trHeight w:val="276"/>
        </w:trPr>
        <w:tc>
          <w:tcPr>
            <w:tcW w:w="3820" w:type="dxa"/>
            <w:vAlign w:val="bottom"/>
          </w:tcPr>
          <w:p>
            <w:pPr>
              <w:spacing w:after="0"/>
              <w:rPr>
                <w:sz w:val="20"/>
                <w:szCs w:val="20"/>
                <w:color w:val="auto"/>
              </w:rPr>
            </w:pPr>
            <w:r>
              <w:rPr>
                <w:rFonts w:ascii="Arial" w:cs="Arial" w:eastAsia="Arial" w:hAnsi="Arial"/>
                <w:sz w:val="17"/>
                <w:szCs w:val="17"/>
                <w:color w:val="auto"/>
              </w:rPr>
              <w:t>Dated: November 9, 2021</w:t>
            </w:r>
          </w:p>
        </w:tc>
        <w:tc>
          <w:tcPr>
            <w:tcW w:w="2960" w:type="dxa"/>
            <w:vAlign w:val="bottom"/>
          </w:tcPr>
          <w:p>
            <w:pPr>
              <w:ind w:left="2000"/>
              <w:spacing w:after="0"/>
              <w:rPr>
                <w:sz w:val="20"/>
                <w:szCs w:val="20"/>
                <w:color w:val="auto"/>
              </w:rPr>
            </w:pPr>
            <w:r>
              <w:rPr>
                <w:rFonts w:ascii="Arial" w:cs="Arial" w:eastAsia="Arial" w:hAnsi="Arial"/>
                <w:sz w:val="17"/>
                <w:szCs w:val="17"/>
                <w:color w:val="auto"/>
              </w:rPr>
              <w:t>By:</w:t>
            </w:r>
          </w:p>
        </w:tc>
        <w:tc>
          <w:tcPr>
            <w:tcW w:w="368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/s/ Ellen F. Whittemore</w:t>
            </w:r>
          </w:p>
        </w:tc>
      </w:tr>
      <w:tr>
        <w:trPr>
          <w:trHeight w:val="204"/>
        </w:trPr>
        <w:tc>
          <w:tcPr>
            <w:tcW w:w="3820" w:type="dxa"/>
            <w:vAlign w:val="bottom"/>
          </w:tcPr>
          <w:p>
            <w:pPr>
              <w:spacing w:after="0"/>
              <w:rPr>
                <w:sz w:val="17"/>
                <w:szCs w:val="17"/>
                <w:color w:val="auto"/>
              </w:rPr>
            </w:pPr>
          </w:p>
        </w:tc>
        <w:tc>
          <w:tcPr>
            <w:tcW w:w="6640" w:type="dxa"/>
            <w:vAlign w:val="bottom"/>
            <w:gridSpan w:val="2"/>
          </w:tcPr>
          <w:p>
            <w:pPr>
              <w:ind w:left="2120"/>
              <w:spacing w:after="0"/>
              <w:rPr>
                <w:sz w:val="20"/>
                <w:szCs w:val="20"/>
                <w:color w:val="auto"/>
              </w:rPr>
            </w:pPr>
            <w:r>
              <w:rPr>
                <w:rFonts w:ascii="Arial" w:cs="Arial" w:eastAsia="Arial" w:hAnsi="Arial"/>
                <w:sz w:val="17"/>
                <w:szCs w:val="17"/>
                <w:color w:val="auto"/>
              </w:rPr>
              <w:t>Ellen F. Whittemore</w:t>
            </w:r>
          </w:p>
        </w:tc>
      </w:tr>
      <w:tr>
        <w:trPr>
          <w:trHeight w:val="222"/>
        </w:trPr>
        <w:tc>
          <w:tcPr>
            <w:tcW w:w="3820" w:type="dxa"/>
            <w:vAlign w:val="bottom"/>
          </w:tcPr>
          <w:p>
            <w:pPr>
              <w:spacing w:after="0"/>
              <w:rPr>
                <w:sz w:val="19"/>
                <w:szCs w:val="19"/>
                <w:color w:val="auto"/>
              </w:rPr>
            </w:pPr>
          </w:p>
        </w:tc>
        <w:tc>
          <w:tcPr>
            <w:tcW w:w="6640" w:type="dxa"/>
            <w:vAlign w:val="bottom"/>
            <w:gridSpan w:val="2"/>
          </w:tcPr>
          <w:p>
            <w:pPr>
              <w:ind w:left="2120"/>
              <w:spacing w:after="0"/>
              <w:rPr>
                <w:sz w:val="20"/>
                <w:szCs w:val="20"/>
                <w:color w:val="auto"/>
              </w:rPr>
            </w:pPr>
            <w:r>
              <w:rPr>
                <w:rFonts w:ascii="Arial" w:cs="Arial" w:eastAsia="Arial" w:hAnsi="Arial"/>
                <w:sz w:val="17"/>
                <w:szCs w:val="17"/>
                <w:color w:val="auto"/>
              </w:rPr>
              <w:t>Executive Vice President, General Counsel &amp; Secretary</w:t>
            </w:r>
          </w:p>
        </w:tc>
      </w:tr>
    </w:tbl>
    <w:p>
      <w:pPr>
        <w:sectPr>
          <w:pgSz w:w="11900" w:h="16838" w:orient="portrait"/>
          <w:cols w:equalWidth="0" w:num="1">
            <w:col w:w="11340"/>
          </w:cols>
          <w:pgMar w:left="320" w:top="86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380"/>
        <w:spacing w:after="0"/>
        <w:rPr>
          <w:sz w:val="20"/>
          <w:szCs w:val="20"/>
          <w:color w:val="auto"/>
        </w:rPr>
      </w:pPr>
      <w:r>
        <w:rPr>
          <w:rFonts w:ascii="Arial" w:cs="Arial" w:eastAsia="Arial" w:hAnsi="Arial"/>
          <w:sz w:val="17"/>
          <w:szCs w:val="17"/>
          <w:b w:val="1"/>
          <w:bCs w:val="1"/>
          <w:color w:val="auto"/>
        </w:rPr>
        <w:t>Statement from Wynn Resorts Regarding Chief Executive Officer Transition</w:t>
      </w:r>
    </w:p>
    <w:p>
      <w:pPr>
        <w:spacing w:after="0" w:line="237"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b w:val="1"/>
          <w:bCs w:val="1"/>
          <w:color w:val="auto"/>
        </w:rPr>
        <w:t xml:space="preserve">LAS VEGAS (November 9, 2021) </w:t>
      </w:r>
      <w:r>
        <w:rPr>
          <w:rFonts w:ascii="Arial" w:cs="Arial" w:eastAsia="Arial" w:hAnsi="Arial"/>
          <w:sz w:val="17"/>
          <w:szCs w:val="17"/>
          <w:color w:val="auto"/>
        </w:rPr>
        <w:t>— Matt Maddox, CEO of Wynn Resorts, announced today that he will be leaving the Company January 31, 2022.</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a unanimous request by the Board of Directors, Mr. Maddox agreed to remain on the Wynn Macau Limited and Wynn Interactive Limited Boards through the end of 2022. Craig Billings, CEO of Wynn Interactive and who has served as President and CFO of Wynn Resorts, was unanimously selected by the Board to become CEO of Wynn Resorts and a member of the Board effective February 1, 2022.</w:t>
      </w:r>
    </w:p>
    <w:p>
      <w:pPr>
        <w:spacing w:after="0" w:line="20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Philip G. Satre, Chairman of the Board for Wynn Resorts said, “Matt has done an incredible job as CEO since his appointment four years ago. He very successfully led the Company through what could have been one of the most disruptive business transitions in decades. He ensured a swift refreshment and remaking of the Board of Directors and senior management, resulting in increased diversity and Wynn being recognized as having one of the most diverse Boards of Directors in the country.</w:t>
      </w:r>
    </w:p>
    <w:p>
      <w:pPr>
        <w:spacing w:after="0" w:line="20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“Matt’s strategy to confront the pandemic and its economic impact on the Company proved to be the correct one: make decisions focused on the welfare of employees, guests and communities, and invariably the business and its shareholders will reap the rewards. He was a leader in the recovery of the Nevada hospitality industry, and his leadership in this area was recognized nationally as well.</w:t>
      </w:r>
    </w:p>
    <w:p>
      <w:pPr>
        <w:spacing w:after="0" w:line="198"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“Our culture and operations have never been stronger. Matt led the successful licensure and opening of Encore Boston Harbor, which is now a high-performing part of the Wynn portfolio and a major source of economic growth for the greater Boston area. In addition to our assets in North America setting new records, our position in Macau as a premium operator is unrivaled.</w:t>
      </w:r>
    </w:p>
    <w:p>
      <w:pPr>
        <w:spacing w:after="0" w:line="198"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auto"/>
        </w:rPr>
        <w:t>Mr. Satre continued, “The entire board of directors is grateful for Matt’s dedication and leadership of the company and thanks him for all that he has done. We are very fortunate to have a talented executive in Craig Billings who will assume the role of CEO and join the Board in February 2022. The Board and I have worked with Craig for five years, as CFO and President of the company. He has our confidence and trust as he begins his new role.”</w:t>
      </w:r>
    </w:p>
    <w:p>
      <w:pPr>
        <w:spacing w:after="0" w:line="180"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Mr. Maddox has been with Wynn Resorts for two decades and has been its CEO since February 2018, as well as a member of the Board of Directors. He led Wynn Resorts through its most difficult period, following the resignation of the Company’s founder in 2018 and then the global pandemic in 2020. During Mr. Maddox’s tenure as CEO, he successfully rebuilt the company’s culture and reestablished Wynn Resorts as one of the world’s leading luxury brands. Wynn Resorts was recently recognized by Forbes Travel Guide as being the highest ranked luxury hotel brand in the world. The Las Vegas resort won the “Best Place to Work” accreditation.</w:t>
      </w:r>
    </w:p>
    <w:p>
      <w:pPr>
        <w:spacing w:after="0" w:line="206"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Mr. Maddox commented, “This has not been an easy decision. I am leaving a company that I love and that’s full of people I admire. But I believe now is the right time for me and for the business.</w:t>
      </w:r>
    </w:p>
    <w:p>
      <w:pPr>
        <w:spacing w:after="0" w:line="185"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“The last four years have been challenging but extremely rewarding, and I am incredibly proud that we accomplished so much. We quickly resolved litigation that had distracted the company for seven years. We reorganized the company’s leadership team and focused on our 28,000 employees, rebuilding and strengthening our powerful culture to focus on a common purpose: create and deliver the best guest experiences.</w:t>
      </w:r>
    </w:p>
    <w:p>
      <w:pPr>
        <w:spacing w:after="0" w:line="198"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“We led the industry with our response to the pandemic; many other industries looked to us for advice, guidance, and leadership as a result. I knew our biggest asset is our people, which is why we paid them throughout the shut down and why our culture has never been stronger. That investment is now paying off as Wynn Las Vegas and Encore Boston Harbor are generating more profit and market share since we opened our resorts, all while maintaining five-star service levels. I also look forward to serving on the Wynn Macau Board throughout 2022 to assist with the concession renewal and help solidify our place as the premium operator in the region.</w:t>
      </w:r>
    </w:p>
    <w:p>
      <w:pPr>
        <w:sectPr>
          <w:pgSz w:w="11900" w:h="16838" w:orient="portrait"/>
          <w:cols w:equalWidth="0" w:num="1">
            <w:col w:w="11240"/>
          </w:cols>
          <w:pgMar w:left="320" w:top="357" w:right="339" w:bottom="1440" w:gutter="0" w:footer="0" w:header="0"/>
        </w:sectPr>
      </w:pPr>
    </w:p>
    <w:bookmarkStart w:id="5" w:name="page6"/>
    <w:bookmarkEnd w:id="5"/>
    <w:p>
      <w:pPr>
        <w:jc w:val="both"/>
        <w:ind w:firstLine="393"/>
        <w:spacing w:after="0" w:line="289" w:lineRule="auto"/>
        <w:rPr>
          <w:sz w:val="20"/>
          <w:szCs w:val="20"/>
          <w:color w:val="auto"/>
        </w:rPr>
      </w:pPr>
      <w:r>
        <w:rPr>
          <w:rFonts w:ascii="Arial" w:cs="Arial" w:eastAsia="Arial" w:hAnsi="Arial"/>
          <w:sz w:val="17"/>
          <w:szCs w:val="17"/>
          <w:color w:val="auto"/>
        </w:rPr>
        <w:t>“I am grateful to the Board for their faith in me and the support and insight they have offered me as CEO. I am very pleased with the Board’s decision and know I am leaving Wynn Resorts in great hands with Craig, as well as the entire management team,” Mr. Maddox said.</w:t>
      </w:r>
    </w:p>
    <w:p>
      <w:pPr>
        <w:spacing w:after="0" w:line="185"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Mr. Billings joined Wynn Resorts as Chief Financial Officer in March 2017, also served as the President of the company, and most recently has served as the CEO of Wynn Interactive. Mr. Billings has been a board member of Wynn Macau Limited since August 2018. Mr. Billings has a history of leadership and innovation in the gaming industry, both domestically and internationally. He has held executive and board positions at Goldman Sachs, where he covered the industry globally, Aristocrat Leisure Limited, NYX Gaming Group, and International Game Technology.</w:t>
      </w:r>
    </w:p>
    <w:p>
      <w:pPr>
        <w:spacing w:after="0" w:line="202"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Prior to joining Wynn Resorts, Mr. Billings honed a global perspective with senior executive positions in both Australia and the United Kingdom during his time as Chief Digital Officer and Managing Director of Strategy and Business Development at Aristocrat Leisure. He is also the Lead Independent Director and Audit Committee Chair for Applovin Corporation (NASDAQ: APP).</w:t>
      </w:r>
    </w:p>
    <w:p>
      <w:pPr>
        <w:spacing w:after="0" w:line="198" w:lineRule="exact"/>
        <w:rPr>
          <w:sz w:val="20"/>
          <w:szCs w:val="20"/>
          <w:color w:val="auto"/>
        </w:rPr>
      </w:pPr>
    </w:p>
    <w:p>
      <w:pPr>
        <w:jc w:val="both"/>
        <w:ind w:firstLine="393"/>
        <w:spacing w:after="0" w:line="289" w:lineRule="auto"/>
        <w:rPr>
          <w:sz w:val="20"/>
          <w:szCs w:val="20"/>
          <w:color w:val="auto"/>
        </w:rPr>
      </w:pPr>
      <w:r>
        <w:rPr>
          <w:rFonts w:ascii="Arial" w:cs="Arial" w:eastAsia="Arial" w:hAnsi="Arial"/>
          <w:sz w:val="17"/>
          <w:szCs w:val="17"/>
          <w:color w:val="auto"/>
        </w:rPr>
        <w:t>Mr. Billings commented, “Having worked so closely with Matt and the Board, I appreciate the confidence they have placed in me and look forward to building upon the legacy of excellence we’ve established.”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Wynn Resorts</w:t>
      </w:r>
    </w:p>
    <w:p>
      <w:pPr>
        <w:spacing w:after="0" w:line="256" w:lineRule="exact"/>
        <w:rPr>
          <w:sz w:val="20"/>
          <w:szCs w:val="20"/>
          <w:color w:val="auto"/>
        </w:rPr>
      </w:pPr>
    </w:p>
    <w:p>
      <w:pPr>
        <w:jc w:val="both"/>
        <w:ind w:firstLine="393"/>
        <w:spacing w:after="0" w:line="273" w:lineRule="auto"/>
        <w:rPr>
          <w:sz w:val="20"/>
          <w:szCs w:val="20"/>
          <w:color w:val="auto"/>
        </w:rPr>
      </w:pPr>
      <w:r>
        <w:rPr>
          <w:rFonts w:ascii="Arial" w:cs="Arial" w:eastAsia="Arial" w:hAnsi="Arial"/>
          <w:sz w:val="17"/>
          <w:szCs w:val="17"/>
          <w:color w:val="auto"/>
        </w:rPr>
        <w:t>Wynn Resorts, Limited is traded on the Nasdaq Global Select Market under the ticker symbol WYNN and is part of the S&amp;P 500 Index. Wynn Resorts owns and operates Wynn Las Vegas (wynnlasvegas.com), Encore Boston Harbor (encorebostonharbor.com), Wynn Macau (wynnmacau.com), and Wynn Palace, Cotai (wynnpalace.com).</w:t>
      </w:r>
    </w:p>
    <w:p>
      <w:pPr>
        <w:spacing w:after="0" w:line="198"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Wynn and Encore Las Vegas feature two luxury hotel towers with a total of 4,748 spacious hotel rooms, suites and villas, approximately 194,000 square feet of casino space, 22 dining experiences featuring signature chefs and 11 bars, two award-winning spas, approximately 560,000 rentable square feet of meeting and convention space, approximately 160,000 square feet of retail space as well as two showrooms, two nightclubs, a beach club and recreation and leisure facilities. Wynn Las Vegas recently unveiled the new Wynn Golf Club and 18-hole, 129-acre championship golf course, and in February 2020 debuted a 430,000-square-foot meeting and convention space expansion powered by 100 percent renewable energy.</w:t>
      </w:r>
    </w:p>
    <w:p>
      <w:pPr>
        <w:spacing w:after="0" w:line="206"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Encore Boston Harbor is a luxury resort destination featuring a 210,000 square foot casino, 671 hotel rooms, an ultra-premium spa, specialty retail, 16 dining and lounge venues, and approximately 71,000 square feet of state-of-the-art ballroom and meeting spaces. Situated on the waterfront along the Mystic River in Everett, Massachusetts, the resort has created a six-acre public park and Harborwalk along the shoreline. It is the largest private, single-phase development in the history of the Commonwealth of Massachusetts.</w:t>
      </w:r>
    </w:p>
    <w:p>
      <w:pPr>
        <w:spacing w:after="0" w:line="20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Wynn Macau is a luxury hotel and casino resort located in the Macau Special Administrative Region of the People's Republic of China with two luxury hotel towers with a total of 1,010 spacious rooms and suites, approximately 252,000 square feet of casino space, 12 food and beverage outlets, approximately 31,000 square feet of meeting and convention space, approximately 59,000 square feet of retail space, and recreation and leisure facilities including two opulent spas, a salon and a rotunda show.</w:t>
      </w:r>
    </w:p>
    <w:p>
      <w:pPr>
        <w:spacing w:after="0" w:line="202" w:lineRule="exact"/>
        <w:rPr>
          <w:sz w:val="20"/>
          <w:szCs w:val="20"/>
          <w:color w:val="auto"/>
        </w:rPr>
      </w:pPr>
    </w:p>
    <w:p>
      <w:pPr>
        <w:jc w:val="both"/>
        <w:ind w:firstLine="393"/>
        <w:spacing w:after="0" w:line="268" w:lineRule="auto"/>
        <w:rPr>
          <w:sz w:val="20"/>
          <w:szCs w:val="20"/>
          <w:color w:val="auto"/>
        </w:rPr>
      </w:pPr>
      <w:r>
        <w:rPr>
          <w:rFonts w:ascii="Arial" w:cs="Arial" w:eastAsia="Arial" w:hAnsi="Arial"/>
          <w:sz w:val="17"/>
          <w:szCs w:val="17"/>
          <w:color w:val="auto"/>
        </w:rPr>
        <w:t>Wynn Palace is a luxury integrated resort in Macau. Designed as a floral-themed destination, it boasts 1,706 exquisite rooms, suites and villas, approximately 424,000 square feet of casino space, 14 food and beverage outlets, approximately 37,000 square feet of meeting and convention space, approximately 106,000 square feet of designer retail, SkyCabs that traverse an eight-acre Performance Lake, an extensive collection of rare art, a lush spa, salon and recreation and leisure facilities.</w:t>
      </w:r>
    </w:p>
    <w:p>
      <w:pPr>
        <w:sectPr>
          <w:pgSz w:w="11900" w:h="16838" w:orient="portrait"/>
          <w:cols w:equalWidth="0" w:num="1">
            <w:col w:w="11240"/>
          </w:cols>
          <w:pgMar w:left="320" w:top="1386"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Contact:</w:t>
      </w:r>
    </w:p>
    <w:p>
      <w:pPr>
        <w:spacing w:after="0" w:line="228" w:lineRule="auto"/>
        <w:rPr>
          <w:sz w:val="20"/>
          <w:szCs w:val="20"/>
          <w:color w:val="auto"/>
        </w:rPr>
      </w:pPr>
      <w:r>
        <w:rPr>
          <w:rFonts w:ascii="Arial" w:cs="Arial" w:eastAsia="Arial" w:hAnsi="Arial"/>
          <w:sz w:val="17"/>
          <w:szCs w:val="17"/>
          <w:color w:val="auto"/>
        </w:rPr>
        <w:t>Michael Weaver, Wynn Resorts</w:t>
      </w:r>
    </w:p>
    <w:p>
      <w:pPr>
        <w:spacing w:after="0" w:line="225" w:lineRule="auto"/>
        <w:rPr>
          <w:sz w:val="20"/>
          <w:szCs w:val="20"/>
          <w:color w:val="auto"/>
        </w:rPr>
      </w:pPr>
      <w:r>
        <w:rPr>
          <w:rFonts w:ascii="Arial" w:cs="Arial" w:eastAsia="Arial" w:hAnsi="Arial"/>
          <w:sz w:val="17"/>
          <w:szCs w:val="17"/>
          <w:color w:val="auto"/>
        </w:rPr>
        <w:t>702-770-7501</w:t>
      </w:r>
    </w:p>
    <w:p>
      <w:pPr>
        <w:spacing w:after="0"/>
        <w:rPr>
          <w:sz w:val="20"/>
          <w:szCs w:val="20"/>
          <w:color w:val="auto"/>
        </w:rPr>
      </w:pPr>
      <w:r>
        <w:rPr>
          <w:rFonts w:ascii="Arial" w:cs="Arial" w:eastAsia="Arial" w:hAnsi="Arial"/>
          <w:sz w:val="17"/>
          <w:szCs w:val="17"/>
          <w:color w:val="auto"/>
        </w:rPr>
        <w:t>michael.weaver@wynnresorts.com</w:t>
      </w: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color w:val="auto"/>
        </w:rPr>
        <w:t>Deanna Pettit-Irestone, Wynn Las Vegas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702-770-2121</w:t>
      </w:r>
    </w:p>
    <w:p>
      <w:pPr>
        <w:spacing w:after="0"/>
        <w:rPr>
          <w:sz w:val="20"/>
          <w:szCs w:val="20"/>
          <w:color w:val="auto"/>
        </w:rPr>
      </w:pPr>
      <w:r>
        <w:rPr>
          <w:rFonts w:ascii="Arial" w:cs="Arial" w:eastAsia="Arial" w:hAnsi="Arial"/>
          <w:sz w:val="17"/>
          <w:szCs w:val="17"/>
          <w:color w:val="auto"/>
        </w:rPr>
        <w:t>deanna.pettit@wynnlasvegas.com</w:t>
      </w:r>
    </w:p>
    <w:sectPr>
      <w:pgSz w:w="11900" w:h="16838" w:orient="portrait"/>
      <w:cols w:equalWidth="0" w:num="1">
        <w:col w:w="10139"/>
      </w:cols>
      <w:pgMar w:left="320" w:top="13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2021-11-09T15:30:19Z</dcterms:created>
  <dcterms:modified xsi:type="dcterms:W3CDTF">2021-11-09T15:30:19Z</dcterms:modified>
</cp:coreProperties>
</file>