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jc w:val="center"/>
        <w:ind w:right="-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26" w:lineRule="auto"/>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8"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186" w:lineRule="exact"/>
        <w:rPr>
          <w:sz w:val="24"/>
          <w:szCs w:val="24"/>
          <w:color w:val="auto"/>
        </w:rPr>
      </w:pPr>
    </w:p>
    <w:p>
      <w:pPr>
        <w:ind w:left="3200"/>
        <w:spacing w:after="0"/>
        <w:rPr>
          <w:sz w:val="20"/>
          <w:szCs w:val="20"/>
          <w:color w:val="auto"/>
        </w:rPr>
      </w:pPr>
      <w:r>
        <w:rPr>
          <w:rFonts w:ascii="Arial" w:cs="Arial" w:eastAsia="Arial" w:hAnsi="Arial"/>
          <w:sz w:val="20"/>
          <w:szCs w:val="20"/>
          <w:color w:val="auto"/>
        </w:rPr>
        <w:t>Date of Report (Date of earliest event reported): April 29, 2010</w:t>
      </w:r>
    </w:p>
    <w:p>
      <w:pPr>
        <w:spacing w:after="0" w:line="196"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172" w:lineRule="exact"/>
        <w:rPr>
          <w:sz w:val="24"/>
          <w:szCs w:val="24"/>
          <w:color w:val="auto"/>
        </w:rPr>
      </w:pPr>
    </w:p>
    <w:tbl>
      <w:tblPr>
        <w:tblLayout w:type="fixed"/>
        <w:tblInd w:w="840" w:type="dxa"/>
        <w:tblCellMar>
          <w:top w:w="0" w:type="dxa"/>
          <w:left w:w="0" w:type="dxa"/>
          <w:bottom w:w="0" w:type="dxa"/>
          <w:right w:w="0" w:type="dxa"/>
        </w:tblCellMar>
      </w:tblPr>
      <w:tr>
        <w:trPr>
          <w:trHeight w:val="230"/>
        </w:trPr>
        <w:tc>
          <w:tcPr>
            <w:tcW w:w="2540" w:type="dxa"/>
            <w:vAlign w:val="bottom"/>
          </w:tcPr>
          <w:p>
            <w:pPr>
              <w:jc w:val="center"/>
              <w:ind w:right="161"/>
              <w:spacing w:after="0"/>
              <w:rPr>
                <w:sz w:val="20"/>
                <w:szCs w:val="20"/>
                <w:color w:val="auto"/>
              </w:rPr>
            </w:pPr>
            <w:r>
              <w:rPr>
                <w:rFonts w:ascii="Arial" w:cs="Arial" w:eastAsia="Arial" w:hAnsi="Arial"/>
                <w:sz w:val="20"/>
                <w:szCs w:val="20"/>
                <w:b w:val="1"/>
                <w:bCs w:val="1"/>
                <w:color w:val="auto"/>
                <w:w w:val="89"/>
              </w:rPr>
              <w:t>Nevada</w:t>
            </w:r>
          </w:p>
        </w:tc>
        <w:tc>
          <w:tcPr>
            <w:tcW w:w="4520" w:type="dxa"/>
            <w:vAlign w:val="bottom"/>
          </w:tcPr>
          <w:p>
            <w:pPr>
              <w:jc w:val="right"/>
              <w:ind w:right="1681"/>
              <w:spacing w:after="0"/>
              <w:rPr>
                <w:sz w:val="20"/>
                <w:szCs w:val="20"/>
                <w:color w:val="auto"/>
              </w:rPr>
            </w:pPr>
            <w:r>
              <w:rPr>
                <w:rFonts w:ascii="Arial" w:cs="Arial" w:eastAsia="Arial" w:hAnsi="Arial"/>
                <w:sz w:val="20"/>
                <w:szCs w:val="20"/>
                <w:b w:val="1"/>
                <w:bCs w:val="1"/>
                <w:color w:val="auto"/>
              </w:rPr>
              <w:t>000-50028</w:t>
            </w:r>
          </w:p>
        </w:tc>
        <w:tc>
          <w:tcPr>
            <w:tcW w:w="2980" w:type="dxa"/>
            <w:vAlign w:val="bottom"/>
          </w:tcPr>
          <w:p>
            <w:pPr>
              <w:jc w:val="center"/>
              <w:ind w:left="1"/>
              <w:spacing w:after="0"/>
              <w:rPr>
                <w:sz w:val="20"/>
                <w:szCs w:val="20"/>
                <w:color w:val="auto"/>
              </w:rPr>
            </w:pPr>
            <w:r>
              <w:rPr>
                <w:rFonts w:ascii="Arial" w:cs="Arial" w:eastAsia="Arial" w:hAnsi="Arial"/>
                <w:sz w:val="20"/>
                <w:szCs w:val="20"/>
                <w:b w:val="1"/>
                <w:bCs w:val="1"/>
                <w:color w:val="auto"/>
                <w:w w:val="89"/>
              </w:rPr>
              <w:t>46-0484987</w:t>
            </w:r>
          </w:p>
        </w:tc>
      </w:tr>
      <w:tr>
        <w:trPr>
          <w:trHeight w:val="216"/>
        </w:trPr>
        <w:tc>
          <w:tcPr>
            <w:tcW w:w="2540" w:type="dxa"/>
            <w:vAlign w:val="bottom"/>
          </w:tcPr>
          <w:p>
            <w:pPr>
              <w:jc w:val="center"/>
              <w:ind w:right="161"/>
              <w:spacing w:after="0" w:line="216" w:lineRule="exact"/>
              <w:rPr>
                <w:sz w:val="20"/>
                <w:szCs w:val="20"/>
                <w:color w:val="auto"/>
              </w:rPr>
            </w:pPr>
            <w:r>
              <w:rPr>
                <w:rFonts w:ascii="Arial" w:cs="Arial" w:eastAsia="Arial" w:hAnsi="Arial"/>
                <w:sz w:val="20"/>
                <w:szCs w:val="20"/>
                <w:color w:val="auto"/>
                <w:w w:val="91"/>
              </w:rPr>
              <w:t>(State or other jurisdiction of</w:t>
            </w:r>
          </w:p>
        </w:tc>
        <w:tc>
          <w:tcPr>
            <w:tcW w:w="4520" w:type="dxa"/>
            <w:vAlign w:val="bottom"/>
          </w:tcPr>
          <w:p>
            <w:pPr>
              <w:jc w:val="center"/>
              <w:ind w:left="21"/>
              <w:spacing w:after="0" w:line="216" w:lineRule="exact"/>
              <w:rPr>
                <w:sz w:val="20"/>
                <w:szCs w:val="20"/>
                <w:color w:val="auto"/>
              </w:rPr>
            </w:pPr>
            <w:r>
              <w:rPr>
                <w:rFonts w:ascii="Arial" w:cs="Arial" w:eastAsia="Arial" w:hAnsi="Arial"/>
                <w:sz w:val="20"/>
                <w:szCs w:val="20"/>
                <w:color w:val="auto"/>
                <w:w w:val="92"/>
              </w:rPr>
              <w:t>(Commission File Number)</w:t>
            </w:r>
          </w:p>
        </w:tc>
        <w:tc>
          <w:tcPr>
            <w:tcW w:w="2980" w:type="dxa"/>
            <w:vAlign w:val="bottom"/>
          </w:tcPr>
          <w:p>
            <w:pPr>
              <w:jc w:val="center"/>
              <w:ind w:left="1"/>
              <w:spacing w:after="0" w:line="216"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2540" w:type="dxa"/>
            <w:vAlign w:val="bottom"/>
          </w:tcPr>
          <w:p>
            <w:pPr>
              <w:jc w:val="center"/>
              <w:ind w:right="161"/>
              <w:spacing w:after="0"/>
              <w:rPr>
                <w:sz w:val="20"/>
                <w:szCs w:val="20"/>
                <w:color w:val="auto"/>
              </w:rPr>
            </w:pPr>
            <w:r>
              <w:rPr>
                <w:rFonts w:ascii="Arial" w:cs="Arial" w:eastAsia="Arial" w:hAnsi="Arial"/>
                <w:sz w:val="20"/>
                <w:szCs w:val="20"/>
                <w:color w:val="auto"/>
                <w:w w:val="91"/>
              </w:rPr>
              <w:t>incorporation)</w:t>
            </w:r>
          </w:p>
        </w:tc>
        <w:tc>
          <w:tcPr>
            <w:tcW w:w="45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398"/>
        </w:trPr>
        <w:tc>
          <w:tcPr>
            <w:tcW w:w="2540" w:type="dxa"/>
            <w:vAlign w:val="bottom"/>
          </w:tcPr>
          <w:p>
            <w:pPr>
              <w:spacing w:after="0"/>
              <w:rPr>
                <w:sz w:val="24"/>
                <w:szCs w:val="24"/>
                <w:color w:val="auto"/>
              </w:rPr>
            </w:pPr>
          </w:p>
        </w:tc>
        <w:tc>
          <w:tcPr>
            <w:tcW w:w="4520" w:type="dxa"/>
            <w:vAlign w:val="bottom"/>
          </w:tcPr>
          <w:p>
            <w:pPr>
              <w:jc w:val="center"/>
              <w:ind w:left="41"/>
              <w:spacing w:after="0"/>
              <w:rPr>
                <w:sz w:val="20"/>
                <w:szCs w:val="20"/>
                <w:color w:val="auto"/>
              </w:rPr>
            </w:pPr>
            <w:r>
              <w:rPr>
                <w:rFonts w:ascii="Arial" w:cs="Arial" w:eastAsia="Arial" w:hAnsi="Arial"/>
                <w:sz w:val="20"/>
                <w:szCs w:val="20"/>
                <w:b w:val="1"/>
                <w:bCs w:val="1"/>
                <w:color w:val="auto"/>
                <w:w w:val="99"/>
              </w:rPr>
              <w:t>WYNN LAS VEGAS, LLC</w:t>
            </w:r>
          </w:p>
        </w:tc>
        <w:tc>
          <w:tcPr>
            <w:tcW w:w="2980" w:type="dxa"/>
            <w:vAlign w:val="bottom"/>
          </w:tcPr>
          <w:p>
            <w:pPr>
              <w:spacing w:after="0"/>
              <w:rPr>
                <w:sz w:val="24"/>
                <w:szCs w:val="24"/>
                <w:color w:val="auto"/>
              </w:rPr>
            </w:pPr>
          </w:p>
        </w:tc>
      </w:tr>
      <w:tr>
        <w:trPr>
          <w:trHeight w:val="250"/>
        </w:trPr>
        <w:tc>
          <w:tcPr>
            <w:tcW w:w="2540" w:type="dxa"/>
            <w:vAlign w:val="bottom"/>
          </w:tcPr>
          <w:p>
            <w:pPr>
              <w:spacing w:after="0"/>
              <w:rPr>
                <w:sz w:val="21"/>
                <w:szCs w:val="21"/>
                <w:color w:val="auto"/>
              </w:rPr>
            </w:pPr>
          </w:p>
        </w:tc>
        <w:tc>
          <w:tcPr>
            <w:tcW w:w="4520" w:type="dxa"/>
            <w:vAlign w:val="bottom"/>
          </w:tcPr>
          <w:p>
            <w:pPr>
              <w:jc w:val="center"/>
              <w:ind w:left="41"/>
              <w:spacing w:after="0"/>
              <w:rPr>
                <w:sz w:val="20"/>
                <w:szCs w:val="20"/>
                <w:color w:val="auto"/>
              </w:rPr>
            </w:pPr>
            <w:r>
              <w:rPr>
                <w:rFonts w:ascii="Arial" w:cs="Arial" w:eastAsia="Arial" w:hAnsi="Arial"/>
                <w:sz w:val="20"/>
                <w:szCs w:val="20"/>
                <w:color w:val="auto"/>
                <w:w w:val="89"/>
              </w:rPr>
              <w:t>(Exact name of registrant as specified in its charter)</w:t>
            </w:r>
          </w:p>
        </w:tc>
        <w:tc>
          <w:tcPr>
            <w:tcW w:w="2980" w:type="dxa"/>
            <w:vAlign w:val="bottom"/>
          </w:tcPr>
          <w:p>
            <w:pPr>
              <w:spacing w:after="0"/>
              <w:rPr>
                <w:sz w:val="21"/>
                <w:szCs w:val="21"/>
                <w:color w:val="auto"/>
              </w:rPr>
            </w:pPr>
          </w:p>
        </w:tc>
      </w:tr>
      <w:tr>
        <w:trPr>
          <w:trHeight w:val="398"/>
        </w:trPr>
        <w:tc>
          <w:tcPr>
            <w:tcW w:w="2540" w:type="dxa"/>
            <w:vAlign w:val="bottom"/>
          </w:tcPr>
          <w:p>
            <w:pPr>
              <w:jc w:val="center"/>
              <w:ind w:right="161"/>
              <w:spacing w:after="0"/>
              <w:rPr>
                <w:sz w:val="20"/>
                <w:szCs w:val="20"/>
                <w:color w:val="auto"/>
              </w:rPr>
            </w:pPr>
            <w:r>
              <w:rPr>
                <w:rFonts w:ascii="Arial" w:cs="Arial" w:eastAsia="Arial" w:hAnsi="Arial"/>
                <w:sz w:val="20"/>
                <w:szCs w:val="20"/>
                <w:b w:val="1"/>
                <w:bCs w:val="1"/>
                <w:color w:val="auto"/>
                <w:w w:val="89"/>
              </w:rPr>
              <w:t>Nevada</w:t>
            </w:r>
          </w:p>
        </w:tc>
        <w:tc>
          <w:tcPr>
            <w:tcW w:w="4520" w:type="dxa"/>
            <w:vAlign w:val="bottom"/>
          </w:tcPr>
          <w:p>
            <w:pPr>
              <w:jc w:val="right"/>
              <w:ind w:right="1621"/>
              <w:spacing w:after="0"/>
              <w:rPr>
                <w:sz w:val="20"/>
                <w:szCs w:val="20"/>
                <w:color w:val="auto"/>
              </w:rPr>
            </w:pPr>
            <w:r>
              <w:rPr>
                <w:rFonts w:ascii="Arial" w:cs="Arial" w:eastAsia="Arial" w:hAnsi="Arial"/>
                <w:sz w:val="20"/>
                <w:szCs w:val="20"/>
                <w:b w:val="1"/>
                <w:bCs w:val="1"/>
                <w:color w:val="auto"/>
              </w:rPr>
              <w:t>333-100768</w:t>
            </w:r>
          </w:p>
        </w:tc>
        <w:tc>
          <w:tcPr>
            <w:tcW w:w="2980" w:type="dxa"/>
            <w:vAlign w:val="bottom"/>
          </w:tcPr>
          <w:p>
            <w:pPr>
              <w:jc w:val="center"/>
              <w:ind w:left="1"/>
              <w:spacing w:after="0"/>
              <w:rPr>
                <w:sz w:val="20"/>
                <w:szCs w:val="20"/>
                <w:color w:val="auto"/>
              </w:rPr>
            </w:pPr>
            <w:r>
              <w:rPr>
                <w:rFonts w:ascii="Arial" w:cs="Arial" w:eastAsia="Arial" w:hAnsi="Arial"/>
                <w:sz w:val="20"/>
                <w:szCs w:val="20"/>
                <w:b w:val="1"/>
                <w:bCs w:val="1"/>
                <w:color w:val="auto"/>
                <w:w w:val="89"/>
              </w:rPr>
              <w:t>88-0494875</w:t>
            </w:r>
          </w:p>
        </w:tc>
      </w:tr>
      <w:tr>
        <w:trPr>
          <w:trHeight w:val="216"/>
        </w:trPr>
        <w:tc>
          <w:tcPr>
            <w:tcW w:w="2540" w:type="dxa"/>
            <w:vAlign w:val="bottom"/>
          </w:tcPr>
          <w:p>
            <w:pPr>
              <w:jc w:val="center"/>
              <w:ind w:right="161"/>
              <w:spacing w:after="0" w:line="216" w:lineRule="exact"/>
              <w:rPr>
                <w:sz w:val="20"/>
                <w:szCs w:val="20"/>
                <w:color w:val="auto"/>
              </w:rPr>
            </w:pPr>
            <w:r>
              <w:rPr>
                <w:rFonts w:ascii="Arial" w:cs="Arial" w:eastAsia="Arial" w:hAnsi="Arial"/>
                <w:sz w:val="20"/>
                <w:szCs w:val="20"/>
                <w:color w:val="auto"/>
                <w:w w:val="91"/>
              </w:rPr>
              <w:t>(State or other jurisdiction of</w:t>
            </w:r>
          </w:p>
        </w:tc>
        <w:tc>
          <w:tcPr>
            <w:tcW w:w="4520" w:type="dxa"/>
            <w:vAlign w:val="bottom"/>
          </w:tcPr>
          <w:p>
            <w:pPr>
              <w:jc w:val="center"/>
              <w:ind w:left="21"/>
              <w:spacing w:after="0" w:line="216" w:lineRule="exact"/>
              <w:rPr>
                <w:sz w:val="20"/>
                <w:szCs w:val="20"/>
                <w:color w:val="auto"/>
              </w:rPr>
            </w:pPr>
            <w:r>
              <w:rPr>
                <w:rFonts w:ascii="Arial" w:cs="Arial" w:eastAsia="Arial" w:hAnsi="Arial"/>
                <w:sz w:val="20"/>
                <w:szCs w:val="20"/>
                <w:color w:val="auto"/>
                <w:w w:val="92"/>
              </w:rPr>
              <w:t>(Commission File Number)</w:t>
            </w:r>
          </w:p>
        </w:tc>
        <w:tc>
          <w:tcPr>
            <w:tcW w:w="2980" w:type="dxa"/>
            <w:vAlign w:val="bottom"/>
          </w:tcPr>
          <w:p>
            <w:pPr>
              <w:jc w:val="center"/>
              <w:ind w:left="1"/>
              <w:spacing w:after="0" w:line="216"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2540" w:type="dxa"/>
            <w:vAlign w:val="bottom"/>
          </w:tcPr>
          <w:p>
            <w:pPr>
              <w:jc w:val="center"/>
              <w:ind w:right="161"/>
              <w:spacing w:after="0"/>
              <w:rPr>
                <w:sz w:val="20"/>
                <w:szCs w:val="20"/>
                <w:color w:val="auto"/>
              </w:rPr>
            </w:pPr>
            <w:r>
              <w:rPr>
                <w:rFonts w:ascii="Arial" w:cs="Arial" w:eastAsia="Arial" w:hAnsi="Arial"/>
                <w:sz w:val="20"/>
                <w:szCs w:val="20"/>
                <w:color w:val="auto"/>
                <w:w w:val="91"/>
              </w:rPr>
              <w:t>incorporation)</w:t>
            </w:r>
          </w:p>
        </w:tc>
        <w:tc>
          <w:tcPr>
            <w:tcW w:w="45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392"/>
        </w:trPr>
        <w:tc>
          <w:tcPr>
            <w:tcW w:w="7060" w:type="dxa"/>
            <w:vAlign w:val="bottom"/>
            <w:gridSpan w:val="2"/>
          </w:tcPr>
          <w:p>
            <w:pPr>
              <w:jc w:val="center"/>
              <w:ind w:right="1261"/>
              <w:spacing w:after="0"/>
              <w:rPr>
                <w:sz w:val="20"/>
                <w:szCs w:val="20"/>
                <w:color w:val="auto"/>
              </w:rPr>
            </w:pPr>
            <w:r>
              <w:rPr>
                <w:rFonts w:ascii="Arial" w:cs="Arial" w:eastAsia="Arial" w:hAnsi="Arial"/>
                <w:sz w:val="20"/>
                <w:szCs w:val="20"/>
                <w:b w:val="1"/>
                <w:bCs w:val="1"/>
                <w:color w:val="auto"/>
                <w:w w:val="88"/>
              </w:rPr>
              <w:t>3131 Las Vegas Boulevard South</w:t>
            </w:r>
          </w:p>
        </w:tc>
        <w:tc>
          <w:tcPr>
            <w:tcW w:w="2980" w:type="dxa"/>
            <w:vAlign w:val="bottom"/>
          </w:tcPr>
          <w:p>
            <w:pPr>
              <w:spacing w:after="0"/>
              <w:rPr>
                <w:sz w:val="24"/>
                <w:szCs w:val="24"/>
                <w:color w:val="auto"/>
              </w:rPr>
            </w:pPr>
          </w:p>
        </w:tc>
      </w:tr>
      <w:tr>
        <w:trPr>
          <w:trHeight w:val="222"/>
        </w:trPr>
        <w:tc>
          <w:tcPr>
            <w:tcW w:w="7060" w:type="dxa"/>
            <w:vAlign w:val="bottom"/>
            <w:gridSpan w:val="2"/>
          </w:tcPr>
          <w:p>
            <w:pPr>
              <w:jc w:val="center"/>
              <w:ind w:right="1261"/>
              <w:spacing w:after="0" w:line="222" w:lineRule="exact"/>
              <w:rPr>
                <w:sz w:val="20"/>
                <w:szCs w:val="20"/>
                <w:color w:val="auto"/>
              </w:rPr>
            </w:pPr>
            <w:r>
              <w:rPr>
                <w:rFonts w:ascii="Arial" w:cs="Arial" w:eastAsia="Arial" w:hAnsi="Arial"/>
                <w:sz w:val="20"/>
                <w:szCs w:val="20"/>
                <w:b w:val="1"/>
                <w:bCs w:val="1"/>
                <w:color w:val="auto"/>
                <w:w w:val="87"/>
              </w:rPr>
              <w:t>Las Vegas, Nevada</w:t>
            </w:r>
          </w:p>
        </w:tc>
        <w:tc>
          <w:tcPr>
            <w:tcW w:w="2980" w:type="dxa"/>
            <w:vAlign w:val="bottom"/>
          </w:tcPr>
          <w:p>
            <w:pPr>
              <w:jc w:val="right"/>
              <w:ind w:right="1141"/>
              <w:spacing w:after="0" w:line="222" w:lineRule="exact"/>
              <w:rPr>
                <w:sz w:val="20"/>
                <w:szCs w:val="20"/>
                <w:color w:val="auto"/>
              </w:rPr>
            </w:pPr>
            <w:r>
              <w:rPr>
                <w:rFonts w:ascii="Arial" w:cs="Arial" w:eastAsia="Arial" w:hAnsi="Arial"/>
                <w:sz w:val="20"/>
                <w:szCs w:val="20"/>
                <w:b w:val="1"/>
                <w:bCs w:val="1"/>
                <w:color w:val="auto"/>
              </w:rPr>
              <w:t>89109</w:t>
            </w:r>
          </w:p>
        </w:tc>
      </w:tr>
      <w:tr>
        <w:trPr>
          <w:trHeight w:val="250"/>
        </w:trPr>
        <w:tc>
          <w:tcPr>
            <w:tcW w:w="7060" w:type="dxa"/>
            <w:vAlign w:val="bottom"/>
            <w:gridSpan w:val="2"/>
          </w:tcPr>
          <w:p>
            <w:pPr>
              <w:jc w:val="center"/>
              <w:ind w:right="1261"/>
              <w:spacing w:after="0"/>
              <w:rPr>
                <w:sz w:val="20"/>
                <w:szCs w:val="20"/>
                <w:color w:val="auto"/>
              </w:rPr>
            </w:pPr>
            <w:r>
              <w:rPr>
                <w:rFonts w:ascii="Arial" w:cs="Arial" w:eastAsia="Arial" w:hAnsi="Arial"/>
                <w:sz w:val="20"/>
                <w:szCs w:val="20"/>
                <w:color w:val="auto"/>
                <w:w w:val="91"/>
              </w:rPr>
              <w:t>(Address of principal executive offices of each registrant)</w:t>
            </w:r>
          </w:p>
        </w:tc>
        <w:tc>
          <w:tcPr>
            <w:tcW w:w="2980" w:type="dxa"/>
            <w:vAlign w:val="bottom"/>
          </w:tcPr>
          <w:p>
            <w:pPr>
              <w:jc w:val="center"/>
              <w:spacing w:after="0"/>
              <w:rPr>
                <w:sz w:val="20"/>
                <w:szCs w:val="20"/>
                <w:color w:val="auto"/>
              </w:rPr>
            </w:pPr>
            <w:r>
              <w:rPr>
                <w:rFonts w:ascii="Arial" w:cs="Arial" w:eastAsia="Arial" w:hAnsi="Arial"/>
                <w:sz w:val="20"/>
                <w:szCs w:val="20"/>
                <w:color w:val="auto"/>
                <w:w w:val="93"/>
              </w:rPr>
              <w:t>(Zip Code)</w:t>
            </w:r>
          </w:p>
        </w:tc>
      </w:tr>
      <w:tr>
        <w:trPr>
          <w:trHeight w:val="398"/>
        </w:trPr>
        <w:tc>
          <w:tcPr>
            <w:tcW w:w="2540" w:type="dxa"/>
            <w:vAlign w:val="bottom"/>
          </w:tcPr>
          <w:p>
            <w:pPr>
              <w:spacing w:after="0"/>
              <w:rPr>
                <w:sz w:val="24"/>
                <w:szCs w:val="24"/>
                <w:color w:val="auto"/>
              </w:rPr>
            </w:pPr>
          </w:p>
        </w:tc>
        <w:tc>
          <w:tcPr>
            <w:tcW w:w="4520" w:type="dxa"/>
            <w:vAlign w:val="bottom"/>
          </w:tcPr>
          <w:p>
            <w:pPr>
              <w:jc w:val="center"/>
              <w:ind w:left="61"/>
              <w:spacing w:after="0"/>
              <w:rPr>
                <w:sz w:val="20"/>
                <w:szCs w:val="20"/>
                <w:color w:val="auto"/>
              </w:rPr>
            </w:pPr>
            <w:r>
              <w:rPr>
                <w:rFonts w:ascii="Arial" w:cs="Arial" w:eastAsia="Arial" w:hAnsi="Arial"/>
                <w:sz w:val="20"/>
                <w:szCs w:val="20"/>
                <w:b w:val="1"/>
                <w:bCs w:val="1"/>
                <w:color w:val="auto"/>
                <w:w w:val="90"/>
              </w:rPr>
              <w:t>(702) 770-7555</w:t>
            </w:r>
          </w:p>
        </w:tc>
        <w:tc>
          <w:tcPr>
            <w:tcW w:w="2980" w:type="dxa"/>
            <w:vAlign w:val="bottom"/>
          </w:tcPr>
          <w:p>
            <w:pPr>
              <w:spacing w:after="0"/>
              <w:rPr>
                <w:sz w:val="24"/>
                <w:szCs w:val="24"/>
                <w:color w:val="auto"/>
              </w:rPr>
            </w:pPr>
          </w:p>
        </w:tc>
      </w:tr>
      <w:tr>
        <w:trPr>
          <w:trHeight w:val="250"/>
        </w:trPr>
        <w:tc>
          <w:tcPr>
            <w:tcW w:w="2540" w:type="dxa"/>
            <w:vAlign w:val="bottom"/>
          </w:tcPr>
          <w:p>
            <w:pPr>
              <w:spacing w:after="0"/>
              <w:rPr>
                <w:sz w:val="21"/>
                <w:szCs w:val="21"/>
                <w:color w:val="auto"/>
              </w:rPr>
            </w:pPr>
          </w:p>
        </w:tc>
        <w:tc>
          <w:tcPr>
            <w:tcW w:w="4520" w:type="dxa"/>
            <w:vAlign w:val="bottom"/>
          </w:tcPr>
          <w:p>
            <w:pPr>
              <w:jc w:val="center"/>
              <w:ind w:left="41"/>
              <w:spacing w:after="0"/>
              <w:rPr>
                <w:sz w:val="20"/>
                <w:szCs w:val="20"/>
                <w:color w:val="auto"/>
              </w:rPr>
            </w:pPr>
            <w:r>
              <w:rPr>
                <w:rFonts w:ascii="Arial" w:cs="Arial" w:eastAsia="Arial" w:hAnsi="Arial"/>
                <w:sz w:val="20"/>
                <w:szCs w:val="20"/>
                <w:color w:val="auto"/>
                <w:w w:val="88"/>
              </w:rPr>
              <w:t>(Registrant’s telephone number, including area code)</w:t>
            </w:r>
          </w:p>
        </w:tc>
        <w:tc>
          <w:tcPr>
            <w:tcW w:w="2980" w:type="dxa"/>
            <w:vAlign w:val="bottom"/>
          </w:tcPr>
          <w:p>
            <w:pPr>
              <w:spacing w:after="0"/>
              <w:rPr>
                <w:sz w:val="21"/>
                <w:szCs w:val="21"/>
                <w:color w:val="auto"/>
              </w:rPr>
            </w:pPr>
          </w:p>
        </w:tc>
      </w:tr>
    </w:tbl>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23"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148" w:lineRule="exact"/>
        <w:rPr>
          <w:rFonts w:ascii="Arial" w:cs="Arial" w:eastAsia="Arial" w:hAnsi="Arial"/>
          <w:sz w:val="20"/>
          <w:szCs w:val="20"/>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48" w:lineRule="exact"/>
        <w:rPr>
          <w:rFonts w:ascii="Arial" w:cs="Arial" w:eastAsia="Arial" w:hAnsi="Arial"/>
          <w:sz w:val="20"/>
          <w:szCs w:val="20"/>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48" w:lineRule="exact"/>
        <w:rPr>
          <w:rFonts w:ascii="Arial" w:cs="Arial" w:eastAsia="Arial" w:hAnsi="Arial"/>
          <w:sz w:val="20"/>
          <w:szCs w:val="20"/>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On April 29, 2010, Wynn Resorts, Limited issued a press release announcing its results of operations for the first quarter of 2010.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00" w:lineRule="exact"/>
        <w:rPr>
          <w:sz w:val="20"/>
          <w:szCs w:val="20"/>
          <w:color w:val="auto"/>
        </w:rPr>
      </w:pPr>
    </w:p>
    <w:p>
      <w:pPr>
        <w:spacing w:after="0" w:line="282" w:lineRule="exact"/>
        <w:rPr>
          <w:sz w:val="20"/>
          <w:szCs w:val="20"/>
          <w:color w:val="auto"/>
        </w:rPr>
      </w:pPr>
    </w:p>
    <w:p>
      <w:pPr>
        <w:ind w:left="1460" w:hanging="849"/>
        <w:spacing w:after="0"/>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920"/>
        <w:spacing w:after="0"/>
        <w:tabs>
          <w:tab w:leader="none" w:pos="228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920"/>
        <w:spacing w:after="0"/>
        <w:tabs>
          <w:tab w:leader="none" w:pos="22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April 29,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725805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0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29, 2010</w:t>
      </w:r>
    </w:p>
    <w:p>
      <w:pPr>
        <w:spacing w:after="0" w:line="202"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11"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635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20"/>
          <w:szCs w:val="20"/>
          <w:color w:val="auto"/>
        </w:rPr>
        <w:t>Matt Maddox</w:t>
      </w:r>
    </w:p>
    <w:p>
      <w:pPr>
        <w:ind w:left="7280"/>
        <w:spacing w:after="0" w:line="225" w:lineRule="auto"/>
        <w:rPr>
          <w:sz w:val="20"/>
          <w:szCs w:val="20"/>
          <w:color w:val="auto"/>
        </w:rPr>
      </w:pPr>
      <w:r>
        <w:rPr>
          <w:rFonts w:ascii="Arial" w:cs="Arial" w:eastAsia="Arial" w:hAnsi="Arial"/>
          <w:sz w:val="20"/>
          <w:szCs w:val="20"/>
          <w:color w:val="auto"/>
        </w:rPr>
        <w:t>Chief Financial Officer and</w:t>
      </w:r>
    </w:p>
    <w:p>
      <w:pPr>
        <w:ind w:left="72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829945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29, 2010</w:t>
      </w:r>
    </w:p>
    <w:p>
      <w:pPr>
        <w:spacing w:after="0" w:line="202"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LAS VEGAS, LLC</w:t>
      </w:r>
    </w:p>
    <w:p>
      <w:pPr>
        <w:spacing w:after="0" w:line="202" w:lineRule="exact"/>
        <w:rPr>
          <w:sz w:val="20"/>
          <w:szCs w:val="20"/>
          <w:color w:val="auto"/>
        </w:rPr>
      </w:pPr>
    </w:p>
    <w:tbl>
      <w:tblPr>
        <w:tblLayout w:type="fixed"/>
        <w:tblInd w:w="6660" w:type="dxa"/>
        <w:tblCellMar>
          <w:top w:w="0" w:type="dxa"/>
          <w:left w:w="0" w:type="dxa"/>
          <w:bottom w:w="0" w:type="dxa"/>
          <w:right w:w="0" w:type="dxa"/>
        </w:tblCellMar>
      </w:tblP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tcPr>
          <w:p>
            <w:pPr>
              <w:spacing w:after="0"/>
              <w:rPr>
                <w:sz w:val="20"/>
                <w:szCs w:val="20"/>
                <w:color w:val="auto"/>
              </w:rPr>
            </w:pPr>
            <w:r>
              <w:rPr>
                <w:rFonts w:ascii="Arial" w:cs="Arial" w:eastAsia="Arial" w:hAnsi="Arial"/>
                <w:sz w:val="20"/>
                <w:szCs w:val="20"/>
                <w:color w:val="auto"/>
              </w:rPr>
              <w:t>Wynn Resorts Holdings, LLC, its sole member</w:t>
            </w:r>
          </w:p>
        </w:tc>
      </w:tr>
      <w:tr>
        <w:trPr>
          <w:trHeight w:val="432"/>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tcPr>
          <w:p>
            <w:pPr>
              <w:spacing w:after="0"/>
              <w:rPr>
                <w:sz w:val="20"/>
                <w:szCs w:val="20"/>
                <w:color w:val="auto"/>
              </w:rPr>
            </w:pPr>
            <w:r>
              <w:rPr>
                <w:rFonts w:ascii="Arial" w:cs="Arial" w:eastAsia="Arial" w:hAnsi="Arial"/>
                <w:sz w:val="20"/>
                <w:szCs w:val="20"/>
                <w:color w:val="auto"/>
              </w:rPr>
              <w:t>Wynn Resorts, Limited, its sole member</w:t>
            </w:r>
          </w:p>
        </w:tc>
      </w:tr>
      <w:tr>
        <w:trPr>
          <w:trHeight w:val="428"/>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r>
      <w:tr>
        <w:trPr>
          <w:trHeight w:val="193"/>
        </w:trPr>
        <w:tc>
          <w:tcPr>
            <w:tcW w:w="620" w:type="dxa"/>
            <w:vAlign w:val="bottom"/>
          </w:tcPr>
          <w:p>
            <w:pPr>
              <w:spacing w:after="0"/>
              <w:rPr>
                <w:sz w:val="16"/>
                <w:szCs w:val="16"/>
                <w:color w:val="auto"/>
              </w:rPr>
            </w:pPr>
          </w:p>
        </w:tc>
        <w:tc>
          <w:tcPr>
            <w:tcW w:w="4140" w:type="dxa"/>
            <w:vAlign w:val="bottom"/>
          </w:tcPr>
          <w:p>
            <w:pPr>
              <w:spacing w:after="0" w:line="193" w:lineRule="exact"/>
              <w:rPr>
                <w:sz w:val="20"/>
                <w:szCs w:val="20"/>
                <w:color w:val="auto"/>
              </w:rPr>
            </w:pPr>
            <w:r>
              <w:rPr>
                <w:rFonts w:ascii="Arial" w:cs="Arial" w:eastAsia="Arial" w:hAnsi="Arial"/>
                <w:sz w:val="20"/>
                <w:szCs w:val="20"/>
                <w:color w:val="auto"/>
              </w:rPr>
              <w:t>Matt Maddox</w:t>
            </w:r>
          </w:p>
        </w:tc>
      </w:tr>
      <w:tr>
        <w:trPr>
          <w:trHeight w:val="216"/>
        </w:trPr>
        <w:tc>
          <w:tcPr>
            <w:tcW w:w="620" w:type="dxa"/>
            <w:vAlign w:val="bottom"/>
          </w:tcPr>
          <w:p>
            <w:pPr>
              <w:spacing w:after="0"/>
              <w:rPr>
                <w:sz w:val="18"/>
                <w:szCs w:val="18"/>
                <w:color w:val="auto"/>
              </w:rPr>
            </w:pPr>
          </w:p>
        </w:tc>
        <w:tc>
          <w:tcPr>
            <w:tcW w:w="4140" w:type="dxa"/>
            <w:vAlign w:val="bottom"/>
          </w:tcPr>
          <w:p>
            <w:pPr>
              <w:spacing w:after="0" w:line="216" w:lineRule="exact"/>
              <w:rPr>
                <w:sz w:val="20"/>
                <w:szCs w:val="20"/>
                <w:color w:val="auto"/>
              </w:rPr>
            </w:pPr>
            <w:r>
              <w:rPr>
                <w:rFonts w:ascii="Arial" w:cs="Arial" w:eastAsia="Arial" w:hAnsi="Arial"/>
                <w:sz w:val="20"/>
                <w:szCs w:val="20"/>
                <w:color w:val="auto"/>
              </w:rPr>
              <w:t>Chief Financial Officer and</w:t>
            </w:r>
          </w:p>
        </w:tc>
      </w:tr>
      <w:tr>
        <w:trPr>
          <w:trHeight w:val="250"/>
        </w:trPr>
        <w:tc>
          <w:tcPr>
            <w:tcW w:w="6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Treasurer</w:t>
            </w:r>
          </w:p>
        </w:tc>
      </w:tr>
    </w:tbl>
    <w:p>
      <w:pPr>
        <w:sectPr>
          <w:pgSz w:w="11900" w:h="16838" w:orient="portrait"/>
          <w:cols w:equalWidth="0" w:num="1">
            <w:col w:w="11420"/>
          </w:cols>
          <w:pgMar w:left="240" w:top="5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Wynn Resorts, Limited Reports First Quarter Results</w:t>
      </w:r>
    </w:p>
    <w:p>
      <w:pPr>
        <w:spacing w:after="0" w:line="21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LAS VEGAS, April 29, 2010 (BUSINESS WIRE) -- Wynn Resorts, Limited (Nasdaq: WYNN) today reported financial results for the first quarter ended March 31, 2010.</w:t>
      </w:r>
    </w:p>
    <w:p>
      <w:pPr>
        <w:spacing w:after="0" w:line="18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Net revenues for the first quarter of 2010 were $908.9 million, compared to $740.0 million in the first quarter of 2009. The revenue increase was driven by a 31.6% increase in revenues at Wynn Macau and a 9.3% revenue increase from our Las Vegas operations. Adjusted property EBITDA increased 52.6% to $241.9 million for the first quarter of 2010, compared to $158.5 million in the 2009 comparable period.</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a US GAAP (Generally Accepted Accounting Principles) basis, net income attributable to Wynn Resorts for the first quarter of 2010 was $27.0 million, or $ 0.22 per diluted share, compared to a net loss attributable to Wynn Resorts of $33.8 million, or ($0.30) per diluted share in the first quarter of 2009. Adjusted net income attributable to Wynn Resorts in the first quarter of 2010 was $32.3 million, or $0.26 per diluted share (adjusted EPS)(2) compared to an adjusted net loss attributable to Wynn Resorts of $30.1 million, or ($0.27) per diluted share in the first quarter of 2009.</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Wynn Resorts also announced today that its Board of Directors has approved a cash dividend for the quarter of $0.25 per common share. This dividend will be payable on May 26, 2010 to stockholders of record on May 12,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First Quarter Results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first quarter of 2010 net revenues were $590.6 million compared to $448.7 million in the first quarter of 2009. Wynn Macau generated adjusted property EBITDA of $181.6 million compared to $114.6 million in the first quarter of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are segregated into two distinct reporting categories, the VIP segment and the mass market segment.</w:t>
      </w:r>
    </w:p>
    <w:p>
      <w:pPr>
        <w:spacing w:after="0" w:line="19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Table games turnover in the VIP segment was $20.2 billion for the 2010 quarter, compared to $10.7 billion for the first quarter of 2009. VIP table games win as a percentage of turnover (calculated before discounts and commissions) for the quarter was 2.7%, at the low end of the expected range of 2.7% to 3.0% and significantly below the 3.55% experienced in the first quarter of 2009. In November 2009 we added two new private gaming salons with 29 VIP tables which helped drive some of the growth in our VIP segment in the first quarter.</w:t>
      </w:r>
    </w:p>
    <w:p>
      <w:pPr>
        <w:spacing w:after="0" w:line="188"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Table games drop in the mass market category was $528.2 million during the period, a 5.2% increase from $502.3 million in the first quarter of 2009. Mass market table games win percentage (calculated before discounts) of 22.2% was above our expected range of 19% to 21% and in-line with the 22.1% generated in the 2009 quarter.</w:t>
      </w:r>
    </w:p>
    <w:p>
      <w:pPr>
        <w:spacing w:after="0" w:line="18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Slot machine handle decreased 4.1% to $920.2 million as compared to the prior year quarter. Win per unit per day was 2.6% higher at $451 compared to $440 in the first quarter 2009 as we reconfigured the slot floor and removed approximately 74 machines.</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Wynn Macau achieved an Average Daily Rate (ADR) of $282 for the first quarter of 2010, compared to $268 in the 2009 quarter. The property’s occupancy was 90.7%, compared to 83.3% during the prior year period, generating revenue per available room (REVPAR) of $256 in the 2010 quarter, 14.8% above 2009 levels of $223.</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Non-gaming revenues at Wynn Macau increased 45.7% during the quarter to $62.7 million, driven in large part by retail revenues which were up 91.3% to $30 million for the first quarter of 2010, due primarily to increased sales at several outlets and the opening of Wynn and Co. Watches and Jewelry, which sells Cartier, Jaeger Le Coultre and Kwiat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April 21, 2010, we opened Encore at Wynn Macau, a further expansion of Wynn Macau. Encore adds a fully-integrated resort hotel with 410 luxury suites and four villas along with restaurants, additional retail space (including Chanel, Piaget and Cartier) and gaming space including approximately 37 VIP tables, 24 mass market tables and 69 slot machines.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Including Encore, we currently have 467 tables (246 VIP tables, 210 mass market tables and 11 poker tables) and 1,224 slot machines at Wynn Macau.</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right="20"/>
        <w:spacing w:after="0" w:line="246" w:lineRule="auto"/>
        <w:rPr>
          <w:sz w:val="20"/>
          <w:szCs w:val="20"/>
          <w:color w:val="auto"/>
        </w:rPr>
      </w:pPr>
      <w:r>
        <w:rPr>
          <w:rFonts w:ascii="Arial" w:cs="Arial" w:eastAsia="Arial" w:hAnsi="Arial"/>
          <w:sz w:val="18"/>
          <w:szCs w:val="18"/>
          <w:color w:val="auto"/>
        </w:rPr>
        <w:t>Total development and construction costs are expected to be approximately $575 million. As of March 31, 2010, we had incurred approximately $500 million of project costs related to the development and construction of Encore at Wynn Macau.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and Encore First Quarter Results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quarter ended March 31, 2010, our Las Vegas operations generated adjusted property EBITDA of $ 60.3 million (with an 18.9% EBITDA margin on net revenue), up significantly when compared to the $43.9 million generated in the first quarter of 2009.</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casino revenues in the first quarter of 2010 were $139.5 million, up 18.8% from the first quarter of 2009. Table games drop was $556.9 million compared to drop of $520.0 million in the 2009 quarter and table games win percentage of 23.2% was within the property’s expected range of 21% to 24% and higher than the 17.7% reported in the 2009 quarter. Slot machine handle of $674.4 million was 26.6% below the comparable period of 2009 primarily due to the high volumes of slot play experienced when Encore opened last year and new supply added to the Las Vegas market in late 2009. Total slot win was within the expected range of 4.5% to 5.5%.</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Gross non-casino revenues for the quarter were $225.2 million, a 1.4% decrease from the first quarter of 2009, driven primarily by lower hotel revenues which were partially offset by higher entertainment revenues.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Hotel revenues were down 8.8% to $77.6 million during the quarter, versus $85.1 million in the first quarter of 2009 as Average Daily Rate (ADR) decreased 8.6% to $203, compared to $222 in the 2009 quarter. Our occupancy was 89.4%, flat with the 89.5% generated in the prior year period, generating revenue per available room (REVPAR) of $181 in the 2010 period compared to $199 in the first quarter of 2009.</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decreased 1.0% to $95.9 million in the quarter and Retail revenues were $18.9 million in the quarter, 3.3% below last year’s levels. Entertainment revenues increased 42.2% to $18.2 million from the first quarter of 2009 primarily due to the Garth Brooks performances (started in December 2009), as well as increased revenue from our Le Rêve show.</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fourth quarter, we started construction of the Encore Beach Club, which will replace Encore’s porte-cochere on Las Vegas Boulevard. The Beach Club will feature pools, food and beverage, and nightlife offerings. The total budget for the Encore Beach Club is approximately $68 million and we expect it to open on schedule, in the second quarter of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20"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Interest expense, net of $5.4 million in capitalized interest, was $49.3 million for the first quarter of 2010. Depreciation and amortization expense was $104.6 million during the quarter compared to $101.5 million for the three months ended March 31, 2009.</w:t>
      </w:r>
    </w:p>
    <w:p>
      <w:pPr>
        <w:spacing w:after="0" w:line="18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Corporate expense and other was $17.9 million (including approximately $6.9 million of stock based compensation) in the first quarter 2010, a $4.5 million increase from last year’s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20"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Our total cash balances at March 31, 2010 were $1.8 billion. Total debt outstanding at the end of the quarter was $3.3 billion, including approximately $2.5 billion of Wynn Las Vegas debt and $768 million of Wynn Macau debt.</w:t>
      </w:r>
    </w:p>
    <w:p>
      <w:pPr>
        <w:spacing w:after="0" w:line="18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Capital expenditures during the first quarter of 2010, net of changes in construction payables and retention, totaled approximately $90 million primarily related to Encore at Wynn Macau and the Beach Club at Encore at Wynn Las Vegas.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we reduced long-term borrowings by approximately $286.9 million, primarily associated with our Wynn Macau facilities.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Thursday, April 29, 2010 at 1:30 p.m. PT (4:30 p.m. ET). Interested parties are invited to join the call by accessing a live audio webcast at http://www.wynnresorts.com (Investor Relations).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2009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ind w:firstLine="8"/>
        <w:spacing w:after="0" w:line="235"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to adjusted net income (loss) attributable to Wynn Resorts, and (ii) operating income (loss) to adjusted property EBITDA and adjusted property EBITDA to net income (loss) attributable to Wynn Resorts.</w:t>
      </w:r>
    </w:p>
    <w:p>
      <w:pPr>
        <w:spacing w:after="0" w:line="189" w:lineRule="exact"/>
        <w:rPr>
          <w:sz w:val="20"/>
          <w:szCs w:val="20"/>
          <w:color w:val="auto"/>
        </w:rPr>
      </w:pPr>
    </w:p>
    <w:p>
      <w:pPr>
        <w:jc w:val="both"/>
        <w:ind w:firstLine="8"/>
        <w:spacing w:after="0" w:line="23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(loss) attributable to Wynn Resorts is net income (loss) before pre-opening costs, property charges and other non-cash non-operating income and expenses. Adjusted net income (loss) attributable to Wynn Resorts and adjusted net income (loss)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(loss) attributable to Wynn Resorts and adjusted net income (loss) attributable to Wynn Resorts per share may be different from the calculation methods used by other companies and, therefore, comparability may be limited.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5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425"/>
        </w:trPr>
        <w:tc>
          <w:tcPr>
            <w:tcW w:w="5180" w:type="dxa"/>
            <w:vAlign w:val="bottom"/>
          </w:tcPr>
          <w:p>
            <w:pPr>
              <w:spacing w:after="0"/>
              <w:rPr>
                <w:sz w:val="20"/>
                <w:szCs w:val="20"/>
                <w:color w:val="auto"/>
              </w:rPr>
            </w:pPr>
            <w:r>
              <w:rPr>
                <w:rFonts w:ascii="Arial" w:cs="Arial" w:eastAsia="Arial" w:hAnsi="Arial"/>
                <w:sz w:val="18"/>
                <w:szCs w:val="18"/>
                <w:color w:val="auto"/>
              </w:rPr>
              <w:t>Operating revenues:</w:t>
            </w: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Casino</w:t>
            </w:r>
          </w:p>
        </w:tc>
        <w:tc>
          <w:tcPr>
            <w:tcW w:w="3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691,588</w:t>
            </w:r>
          </w:p>
        </w:tc>
        <w:tc>
          <w:tcPr>
            <w:tcW w:w="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541,654</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Rooms</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92,907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98,406</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Food and beverage</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111,774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109,591</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3" w:lineRule="exact"/>
              <w:rPr>
                <w:sz w:val="20"/>
                <w:szCs w:val="20"/>
                <w:color w:val="auto"/>
              </w:rPr>
            </w:pPr>
            <w:r>
              <w:rPr>
                <w:rFonts w:ascii="Arial" w:cs="Arial" w:eastAsia="Arial" w:hAnsi="Arial"/>
                <w:sz w:val="18"/>
                <w:szCs w:val="18"/>
                <w:color w:val="auto"/>
              </w:rPr>
              <w:t>Entertainment, retail and other</w:t>
            </w:r>
          </w:p>
        </w:tc>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82,847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63,132</w:t>
            </w:r>
          </w:p>
        </w:tc>
        <w:tc>
          <w:tcPr>
            <w:tcW w:w="0" w:type="dxa"/>
            <w:vAlign w:val="bottom"/>
          </w:tcPr>
          <w:p>
            <w:pPr>
              <w:spacing w:after="0"/>
              <w:rPr>
                <w:sz w:val="1"/>
                <w:szCs w:val="1"/>
                <w:color w:val="auto"/>
              </w:rPr>
            </w:pPr>
          </w:p>
        </w:tc>
      </w:tr>
      <w:tr>
        <w:trPr>
          <w:trHeight w:val="195"/>
        </w:trPr>
        <w:tc>
          <w:tcPr>
            <w:tcW w:w="5180" w:type="dxa"/>
            <w:vAlign w:val="bottom"/>
          </w:tcPr>
          <w:p>
            <w:pPr>
              <w:ind w:left="600"/>
              <w:spacing w:after="0" w:line="195" w:lineRule="exact"/>
              <w:rPr>
                <w:sz w:val="20"/>
                <w:szCs w:val="20"/>
                <w:color w:val="auto"/>
              </w:rPr>
            </w:pPr>
            <w:r>
              <w:rPr>
                <w:rFonts w:ascii="Arial" w:cs="Arial" w:eastAsia="Arial" w:hAnsi="Arial"/>
                <w:sz w:val="18"/>
                <w:szCs w:val="18"/>
                <w:color w:val="auto"/>
              </w:rPr>
              <w:t>Gross revenues</w:t>
            </w: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979,116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812,783</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3" w:lineRule="exact"/>
              <w:rPr>
                <w:sz w:val="20"/>
                <w:szCs w:val="20"/>
                <w:color w:val="auto"/>
              </w:rPr>
            </w:pPr>
            <w:r>
              <w:rPr>
                <w:rFonts w:ascii="Arial" w:cs="Arial" w:eastAsia="Arial" w:hAnsi="Arial"/>
                <w:sz w:val="18"/>
                <w:szCs w:val="18"/>
                <w:color w:val="auto"/>
              </w:rPr>
              <w:t>Less: promotional allowances</w:t>
            </w:r>
          </w:p>
        </w:tc>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(70,198)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(72,828)</w:t>
            </w:r>
          </w:p>
        </w:tc>
        <w:tc>
          <w:tcPr>
            <w:tcW w:w="0" w:type="dxa"/>
            <w:vAlign w:val="bottom"/>
          </w:tcPr>
          <w:p>
            <w:pPr>
              <w:spacing w:after="0"/>
              <w:rPr>
                <w:sz w:val="1"/>
                <w:szCs w:val="1"/>
                <w:color w:val="auto"/>
              </w:rPr>
            </w:pPr>
          </w:p>
        </w:tc>
      </w:tr>
      <w:tr>
        <w:trPr>
          <w:trHeight w:val="196"/>
        </w:trPr>
        <w:tc>
          <w:tcPr>
            <w:tcW w:w="5180" w:type="dxa"/>
            <w:vAlign w:val="bottom"/>
          </w:tcPr>
          <w:p>
            <w:pPr>
              <w:ind w:left="600"/>
              <w:spacing w:after="0" w:line="196" w:lineRule="exact"/>
              <w:rPr>
                <w:sz w:val="20"/>
                <w:szCs w:val="20"/>
                <w:color w:val="auto"/>
              </w:rPr>
            </w:pPr>
            <w:r>
              <w:rPr>
                <w:rFonts w:ascii="Arial" w:cs="Arial" w:eastAsia="Arial" w:hAnsi="Arial"/>
                <w:sz w:val="18"/>
                <w:szCs w:val="18"/>
                <w:color w:val="auto"/>
              </w:rPr>
              <w:t>Net revenues</w:t>
            </w:r>
          </w:p>
        </w:tc>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908,918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739,955</w:t>
            </w:r>
          </w:p>
        </w:tc>
        <w:tc>
          <w:tcPr>
            <w:tcW w:w="0" w:type="dxa"/>
            <w:vAlign w:val="bottom"/>
          </w:tcPr>
          <w:p>
            <w:pPr>
              <w:spacing w:after="0"/>
              <w:rPr>
                <w:sz w:val="1"/>
                <w:szCs w:val="1"/>
                <w:color w:val="auto"/>
              </w:rPr>
            </w:pPr>
          </w:p>
        </w:tc>
      </w:tr>
      <w:tr>
        <w:trPr>
          <w:trHeight w:val="425"/>
        </w:trPr>
        <w:tc>
          <w:tcPr>
            <w:tcW w:w="51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Casino</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448,191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374,017</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Rooms</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31,143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27,189</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Food and beverage</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61,836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60,820</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Entertainment, retail and other</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50,124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36,021</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General and administrative</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87,001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92,912</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Provision for doubtful accounts</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Pre-opening costs</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104,565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101,468</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3" w:lineRule="exact"/>
              <w:rPr>
                <w:sz w:val="20"/>
                <w:szCs w:val="20"/>
                <w:color w:val="auto"/>
              </w:rPr>
            </w:pPr>
            <w:r>
              <w:rPr>
                <w:rFonts w:ascii="Arial" w:cs="Arial" w:eastAsia="Arial" w:hAnsi="Arial"/>
                <w:sz w:val="18"/>
                <w:szCs w:val="18"/>
                <w:color w:val="auto"/>
              </w:rPr>
              <w:t>Property charges and other</w:t>
            </w:r>
          </w:p>
        </w:tc>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1,881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10"/>
        </w:trPr>
        <w:tc>
          <w:tcPr>
            <w:tcW w:w="518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794,070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712,806</w:t>
            </w:r>
          </w:p>
        </w:tc>
        <w:tc>
          <w:tcPr>
            <w:tcW w:w="0" w:type="dxa"/>
            <w:vAlign w:val="bottom"/>
          </w:tcPr>
          <w:p>
            <w:pPr>
              <w:spacing w:after="0"/>
              <w:rPr>
                <w:sz w:val="1"/>
                <w:szCs w:val="1"/>
                <w:color w:val="auto"/>
              </w:rPr>
            </w:pPr>
          </w:p>
        </w:tc>
      </w:tr>
      <w:tr>
        <w:trPr>
          <w:trHeight w:val="404"/>
        </w:trPr>
        <w:tc>
          <w:tcPr>
            <w:tcW w:w="5180" w:type="dxa"/>
            <w:vAlign w:val="bottom"/>
          </w:tcPr>
          <w:p>
            <w:pPr>
              <w:spacing w:after="0"/>
              <w:rPr>
                <w:sz w:val="20"/>
                <w:szCs w:val="20"/>
                <w:color w:val="auto"/>
              </w:rPr>
            </w:pPr>
            <w:r>
              <w:rPr>
                <w:rFonts w:ascii="Arial" w:cs="Arial" w:eastAsia="Arial" w:hAnsi="Arial"/>
                <w:sz w:val="18"/>
                <w:szCs w:val="18"/>
                <w:color w:val="auto"/>
              </w:rPr>
              <w:t>Operating income</w:t>
            </w:r>
          </w:p>
        </w:tc>
        <w:tc>
          <w:tcPr>
            <w:tcW w:w="3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114,848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425"/>
        </w:trPr>
        <w:tc>
          <w:tcPr>
            <w:tcW w:w="5180" w:type="dxa"/>
            <w:vAlign w:val="bottom"/>
          </w:tcPr>
          <w:p>
            <w:pPr>
              <w:spacing w:after="0"/>
              <w:rPr>
                <w:sz w:val="20"/>
                <w:szCs w:val="20"/>
                <w:color w:val="auto"/>
              </w:rPr>
            </w:pPr>
            <w:r>
              <w:rPr>
                <w:rFonts w:ascii="Arial" w:cs="Arial" w:eastAsia="Arial" w:hAnsi="Arial"/>
                <w:sz w:val="18"/>
                <w:szCs w:val="18"/>
                <w:color w:val="auto"/>
              </w:rPr>
              <w:t>Other income (expense):</w:t>
            </w: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Interest income</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(49,261)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(57,032)</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Increase (decrease) in swap fair value</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(3,602)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Gain on extinguishment of debt</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3" w:lineRule="exact"/>
              <w:rPr>
                <w:sz w:val="20"/>
                <w:szCs w:val="20"/>
                <w:color w:val="auto"/>
              </w:rPr>
            </w:pPr>
            <w:r>
              <w:rPr>
                <w:rFonts w:ascii="Arial" w:cs="Arial" w:eastAsia="Arial" w:hAnsi="Arial"/>
                <w:sz w:val="18"/>
                <w:szCs w:val="18"/>
                <w:color w:val="auto"/>
              </w:rPr>
              <w:t>Other</w:t>
            </w:r>
          </w:p>
        </w:tc>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264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5180" w:type="dxa"/>
            <w:vAlign w:val="bottom"/>
          </w:tcPr>
          <w:p>
            <w:pPr>
              <w:ind w:left="480"/>
              <w:spacing w:after="0" w:line="196" w:lineRule="exact"/>
              <w:rPr>
                <w:sz w:val="20"/>
                <w:szCs w:val="20"/>
                <w:color w:val="auto"/>
              </w:rPr>
            </w:pPr>
            <w:r>
              <w:rPr>
                <w:rFonts w:ascii="Arial" w:cs="Arial" w:eastAsia="Arial" w:hAnsi="Arial"/>
                <w:sz w:val="18"/>
                <w:szCs w:val="18"/>
                <w:color w:val="auto"/>
              </w:rPr>
              <w:t>Other income (expense), net</w:t>
            </w:r>
          </w:p>
        </w:tc>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(45,069)</w:t>
            </w:r>
          </w:p>
        </w:tc>
        <w:tc>
          <w:tcPr>
            <w:tcW w:w="0" w:type="dxa"/>
            <w:vAlign w:val="bottom"/>
          </w:tcPr>
          <w:p>
            <w:pPr>
              <w:spacing w:after="0"/>
              <w:rPr>
                <w:sz w:val="1"/>
                <w:szCs w:val="1"/>
                <w:color w:val="auto"/>
              </w:rPr>
            </w:pPr>
          </w:p>
        </w:tc>
      </w:tr>
      <w:tr>
        <w:trPr>
          <w:trHeight w:val="426"/>
        </w:trPr>
        <w:tc>
          <w:tcPr>
            <w:tcW w:w="51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62,928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(17,920)</w:t>
            </w:r>
          </w:p>
        </w:tc>
        <w:tc>
          <w:tcPr>
            <w:tcW w:w="0" w:type="dxa"/>
            <w:vAlign w:val="bottom"/>
          </w:tcPr>
          <w:p>
            <w:pPr>
              <w:spacing w:after="0"/>
              <w:rPr>
                <w:sz w:val="1"/>
                <w:szCs w:val="1"/>
                <w:color w:val="auto"/>
              </w:rPr>
            </w:pPr>
          </w:p>
        </w:tc>
      </w:tr>
      <w:tr>
        <w:trPr>
          <w:trHeight w:val="405"/>
        </w:trPr>
        <w:tc>
          <w:tcPr>
            <w:tcW w:w="518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3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(15,894)</w:t>
            </w:r>
          </w:p>
        </w:tc>
        <w:tc>
          <w:tcPr>
            <w:tcW w:w="0" w:type="dxa"/>
            <w:vAlign w:val="bottom"/>
          </w:tcPr>
          <w:p>
            <w:pPr>
              <w:spacing w:after="0"/>
              <w:rPr>
                <w:sz w:val="1"/>
                <w:szCs w:val="1"/>
                <w:color w:val="auto"/>
              </w:rPr>
            </w:pPr>
          </w:p>
        </w:tc>
      </w:tr>
      <w:tr>
        <w:trPr>
          <w:trHeight w:val="426"/>
        </w:trPr>
        <w:tc>
          <w:tcPr>
            <w:tcW w:w="5180" w:type="dxa"/>
            <w:vAlign w:val="bottom"/>
          </w:tcPr>
          <w:p>
            <w:pPr>
              <w:spacing w:after="0"/>
              <w:rPr>
                <w:sz w:val="20"/>
                <w:szCs w:val="20"/>
                <w:color w:val="auto"/>
              </w:rPr>
            </w:pPr>
            <w:r>
              <w:rPr>
                <w:rFonts w:ascii="Arial" w:cs="Arial" w:eastAsia="Arial" w:hAnsi="Arial"/>
                <w:sz w:val="18"/>
                <w:szCs w:val="18"/>
                <w:color w:val="auto"/>
              </w:rPr>
              <w:t>Net income (loss)</w:t>
            </w: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57,859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(33,814)</w:t>
            </w:r>
          </w:p>
        </w:tc>
        <w:tc>
          <w:tcPr>
            <w:tcW w:w="0" w:type="dxa"/>
            <w:vAlign w:val="bottom"/>
          </w:tcPr>
          <w:p>
            <w:pPr>
              <w:spacing w:after="0"/>
              <w:rPr>
                <w:sz w:val="1"/>
                <w:szCs w:val="1"/>
                <w:color w:val="auto"/>
              </w:rPr>
            </w:pPr>
          </w:p>
        </w:tc>
      </w:tr>
      <w:tr>
        <w:trPr>
          <w:trHeight w:val="405"/>
        </w:trPr>
        <w:tc>
          <w:tcPr>
            <w:tcW w:w="5180" w:type="dxa"/>
            <w:vAlign w:val="bottom"/>
          </w:tcPr>
          <w:p>
            <w:pPr>
              <w:ind w:left="240"/>
              <w:spacing w:after="0"/>
              <w:rPr>
                <w:sz w:val="20"/>
                <w:szCs w:val="20"/>
                <w:color w:val="auto"/>
              </w:rPr>
            </w:pPr>
            <w:r>
              <w:rPr>
                <w:rFonts w:ascii="Arial" w:cs="Arial" w:eastAsia="Arial" w:hAnsi="Arial"/>
                <w:sz w:val="18"/>
                <w:szCs w:val="18"/>
                <w:color w:val="auto"/>
              </w:rPr>
              <w:t>Less: Net income attributable to noncontrolling interests</w:t>
            </w:r>
          </w:p>
        </w:tc>
        <w:tc>
          <w:tcPr>
            <w:tcW w:w="3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180" w:type="dxa"/>
            <w:vAlign w:val="bottom"/>
          </w:tcPr>
          <w:p>
            <w:pPr>
              <w:spacing w:after="0"/>
              <w:rPr>
                <w:sz w:val="20"/>
                <w:szCs w:val="20"/>
                <w:color w:val="auto"/>
              </w:rPr>
            </w:pPr>
            <w:r>
              <w:rPr>
                <w:rFonts w:ascii="Arial" w:cs="Arial" w:eastAsia="Arial" w:hAnsi="Arial"/>
                <w:sz w:val="18"/>
                <w:szCs w:val="18"/>
                <w:color w:val="auto"/>
              </w:rPr>
              <w:t>Net income (loss) attributable to Wynn Resorts, Limited</w:t>
            </w:r>
          </w:p>
        </w:tc>
        <w:tc>
          <w:tcPr>
            <w:tcW w:w="3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26,988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(33,814)</w:t>
            </w:r>
          </w:p>
        </w:tc>
        <w:tc>
          <w:tcPr>
            <w:tcW w:w="0" w:type="dxa"/>
            <w:vAlign w:val="bottom"/>
          </w:tcPr>
          <w:p>
            <w:pPr>
              <w:spacing w:after="0"/>
              <w:rPr>
                <w:sz w:val="1"/>
                <w:szCs w:val="1"/>
                <w:color w:val="auto"/>
              </w:rPr>
            </w:pPr>
          </w:p>
        </w:tc>
      </w:tr>
      <w:tr>
        <w:trPr>
          <w:trHeight w:val="34"/>
        </w:trPr>
        <w:tc>
          <w:tcPr>
            <w:tcW w:w="5180" w:type="dxa"/>
            <w:vAlign w:val="bottom"/>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36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5"/>
        </w:trPr>
        <w:tc>
          <w:tcPr>
            <w:tcW w:w="5180" w:type="dxa"/>
            <w:vAlign w:val="bottom"/>
            <w:vMerge w:val="continue"/>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3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Diluted</w:t>
            </w:r>
          </w:p>
        </w:tc>
        <w:tc>
          <w:tcPr>
            <w:tcW w:w="3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3"/>
        </w:trPr>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122,411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112,568</w:t>
            </w:r>
          </w:p>
        </w:tc>
        <w:tc>
          <w:tcPr>
            <w:tcW w:w="0" w:type="dxa"/>
            <w:vAlign w:val="bottom"/>
          </w:tcPr>
          <w:p>
            <w:pPr>
              <w:spacing w:after="0"/>
              <w:rPr>
                <w:sz w:val="1"/>
                <w:szCs w:val="1"/>
                <w:color w:val="auto"/>
              </w:rPr>
            </w:pPr>
          </w:p>
        </w:tc>
      </w:tr>
      <w:tr>
        <w:trPr>
          <w:trHeight w:val="217"/>
        </w:trPr>
        <w:tc>
          <w:tcPr>
            <w:tcW w:w="5180" w:type="dxa"/>
            <w:vAlign w:val="bottom"/>
          </w:tcPr>
          <w:p>
            <w:pPr>
              <w:ind w:left="440"/>
              <w:spacing w:after="0"/>
              <w:rPr>
                <w:sz w:val="20"/>
                <w:szCs w:val="20"/>
                <w:color w:val="auto"/>
              </w:rPr>
            </w:pPr>
            <w:r>
              <w:rPr>
                <w:rFonts w:ascii="Arial" w:cs="Arial" w:eastAsia="Arial" w:hAnsi="Arial"/>
                <w:sz w:val="18"/>
                <w:szCs w:val="18"/>
                <w:color w:val="auto"/>
              </w:rPr>
              <w:t>Diluted</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122,982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112,568</w:t>
            </w:r>
          </w:p>
        </w:tc>
        <w:tc>
          <w:tcPr>
            <w:tcW w:w="0" w:type="dxa"/>
            <w:vAlign w:val="bottom"/>
          </w:tcPr>
          <w:p>
            <w:pPr>
              <w:spacing w:after="0"/>
              <w:rPr>
                <w:sz w:val="1"/>
                <w:szCs w:val="1"/>
                <w:color w:val="auto"/>
              </w:rPr>
            </w:pPr>
          </w:p>
        </w:tc>
      </w:tr>
      <w:tr>
        <w:trPr>
          <w:trHeight w:val="837"/>
        </w:trPr>
        <w:tc>
          <w:tcPr>
            <w:tcW w:w="5180" w:type="dxa"/>
            <w:vAlign w:val="bottom"/>
          </w:tcPr>
          <w:p>
            <w:pPr>
              <w:spacing w:after="0"/>
              <w:rPr>
                <w:sz w:val="24"/>
                <w:szCs w:val="24"/>
                <w:color w:val="auto"/>
              </w:rPr>
            </w:pPr>
          </w:p>
        </w:tc>
        <w:tc>
          <w:tcPr>
            <w:tcW w:w="3640" w:type="dxa"/>
            <w:vAlign w:val="bottom"/>
          </w:tcPr>
          <w:p>
            <w:pPr>
              <w:jc w:val="right"/>
              <w:ind w:right="29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18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(LOSS)</w:t>
      </w:r>
    </w:p>
    <w:p>
      <w:pPr>
        <w:jc w:val="center"/>
        <w:spacing w:after="0" w:line="234" w:lineRule="auto"/>
        <w:rPr>
          <w:sz w:val="20"/>
          <w:szCs w:val="20"/>
          <w:color w:val="auto"/>
        </w:rPr>
      </w:pPr>
      <w:r>
        <w:rPr>
          <w:rFonts w:ascii="Arial" w:cs="Arial" w:eastAsia="Arial" w:hAnsi="Arial"/>
          <w:sz w:val="18"/>
          <w:szCs w:val="18"/>
          <w:color w:val="auto"/>
        </w:rPr>
        <w:t>TO ADJUSTED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19"/>
                <w:szCs w:val="19"/>
                <w:color w:val="auto"/>
              </w:rPr>
            </w:pPr>
          </w:p>
        </w:tc>
      </w:tr>
      <w:tr>
        <w:trPr>
          <w:trHeight w:val="196"/>
        </w:trPr>
        <w:tc>
          <w:tcPr>
            <w:tcW w:w="8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2009</w:t>
            </w:r>
          </w:p>
        </w:tc>
      </w:tr>
      <w:tr>
        <w:trPr>
          <w:trHeight w:val="411"/>
        </w:trPr>
        <w:tc>
          <w:tcPr>
            <w:tcW w:w="8820" w:type="dxa"/>
            <w:vAlign w:val="bottom"/>
          </w:tcPr>
          <w:p>
            <w:pPr>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26,988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(33,814)</w:t>
            </w: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Gain on extinguishment of debt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(10,635)</w:t>
            </w: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(Increase) decrease in swap fair value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3,602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(1,095)</w:t>
            </w: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Property charges and 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16,485</w:t>
            </w: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Adjustment for taxes on above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r>
      <w:tr>
        <w:trPr>
          <w:trHeight w:val="203"/>
        </w:trPr>
        <w:tc>
          <w:tcPr>
            <w:tcW w:w="8820" w:type="dxa"/>
            <w:vAlign w:val="bottom"/>
          </w:tcPr>
          <w:p>
            <w:pPr>
              <w:ind w:left="180"/>
              <w:spacing w:after="0" w:line="203" w:lineRule="exact"/>
              <w:rPr>
                <w:sz w:val="20"/>
                <w:szCs w:val="20"/>
                <w:color w:val="auto"/>
              </w:rPr>
            </w:pPr>
            <w:r>
              <w:rPr>
                <w:rFonts w:ascii="Arial" w:cs="Arial" w:eastAsia="Arial" w:hAnsi="Arial"/>
                <w:sz w:val="18"/>
                <w:szCs w:val="18"/>
                <w:color w:val="auto"/>
              </w:rPr>
              <w:t>Adjustment for noncontrolling interest</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tcPr>
          <w:p>
            <w:pPr>
              <w:spacing w:after="0" w:line="196" w:lineRule="exact"/>
              <w:rPr>
                <w:sz w:val="20"/>
                <w:szCs w:val="20"/>
                <w:color w:val="auto"/>
              </w:rPr>
            </w:pPr>
            <w:r>
              <w:rPr>
                <w:rFonts w:ascii="Arial" w:cs="Arial" w:eastAsia="Arial" w:hAnsi="Arial"/>
                <w:sz w:val="18"/>
                <w:szCs w:val="18"/>
                <w:color w:val="auto"/>
              </w:rPr>
              <w:t>Adjusted net income (loss) attributable to Wynn Resorts, Limited(2)</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32,325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(30,056)</w:t>
            </w:r>
          </w:p>
        </w:tc>
      </w:tr>
      <w:tr>
        <w:trPr>
          <w:trHeight w:val="34"/>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35"/>
        </w:trPr>
        <w:tc>
          <w:tcPr>
            <w:tcW w:w="8820" w:type="dxa"/>
            <w:vAlign w:val="bottom"/>
          </w:tcPr>
          <w:p>
            <w:pPr>
              <w:spacing w:after="0"/>
              <w:rPr>
                <w:sz w:val="20"/>
                <w:szCs w:val="20"/>
                <w:color w:val="auto"/>
              </w:rPr>
            </w:pPr>
            <w:r>
              <w:rPr>
                <w:rFonts w:ascii="Arial" w:cs="Arial" w:eastAsia="Arial" w:hAnsi="Arial"/>
                <w:sz w:val="18"/>
                <w:szCs w:val="18"/>
                <w:color w:val="auto"/>
              </w:rPr>
              <w:t>Adjusted net income (loss) attributable to Wynn Resorts, Limited per diluted share...</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844"/>
        </w:trPr>
        <w:tc>
          <w:tcPr>
            <w:tcW w:w="8820" w:type="dxa"/>
            <w:vAlign w:val="bottom"/>
          </w:tcPr>
          <w:p>
            <w:pPr>
              <w:ind w:left="56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105"/>
        </w:trPr>
        <w:tc>
          <w:tcPr>
            <w:tcW w:w="8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8"/>
                <w:szCs w:val="18"/>
                <w:b w:val="1"/>
                <w:bCs w:val="1"/>
                <w:color w:val="auto"/>
              </w:rPr>
              <w:t>Three Months Ended March 31, 2010</w:t>
            </w:r>
          </w:p>
        </w:tc>
        <w:tc>
          <w:tcPr>
            <w:tcW w:w="1020" w:type="dxa"/>
            <w:vAlign w:val="bottom"/>
            <w:tcBorders>
              <w:bottom w:val="single" w:sz="8" w:color="auto"/>
            </w:tcBorders>
          </w:tcPr>
          <w:p>
            <w:pPr>
              <w:spacing w:after="0"/>
              <w:rPr>
                <w:sz w:val="19"/>
                <w:szCs w:val="19"/>
                <w:color w:val="auto"/>
              </w:rPr>
            </w:pPr>
          </w:p>
        </w:tc>
      </w:tr>
      <w:tr>
        <w:trPr>
          <w:trHeight w:val="173"/>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w w:val="99"/>
              </w:rPr>
              <w:t>Corporate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5"/>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Las Vegas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Macau</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and Other</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426"/>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(34,485)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114,848</w:t>
            </w:r>
          </w:p>
        </w:tc>
      </w:tr>
      <w:tr>
        <w:trPr>
          <w:trHeight w:val="404"/>
        </w:trPr>
        <w:tc>
          <w:tcPr>
            <w:tcW w:w="6080" w:type="dxa"/>
            <w:vAlign w:val="bottom"/>
          </w:tcPr>
          <w:p>
            <w:pPr>
              <w:ind w:left="46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2,311</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78,926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104,565</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1,881</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Management and royalty fees</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23,269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(28,043)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Corporate expense and other</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10,972</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6,927</w:t>
            </w:r>
          </w:p>
        </w:tc>
      </w:tr>
      <w:tr>
        <w:trPr>
          <w:trHeight w:val="203"/>
        </w:trPr>
        <w:tc>
          <w:tcPr>
            <w:tcW w:w="6080" w:type="dxa"/>
            <w:vAlign w:val="bottom"/>
          </w:tcPr>
          <w:p>
            <w:pPr>
              <w:ind w:left="460"/>
              <w:spacing w:after="0" w:line="203" w:lineRule="exact"/>
              <w:rPr>
                <w:sz w:val="20"/>
                <w:szCs w:val="20"/>
                <w:color w:val="auto"/>
              </w:rPr>
            </w:pPr>
            <w:r>
              <w:rPr>
                <w:rFonts w:ascii="Arial" w:cs="Arial" w:eastAsia="Arial" w:hAnsi="Arial"/>
                <w:sz w:val="18"/>
                <w:szCs w:val="18"/>
                <w:color w:val="auto"/>
              </w:rPr>
              <w:t>Equity in income (loss) from unconsolidated affiliate</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335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391</w:t>
            </w:r>
          </w:p>
        </w:tc>
      </w:tr>
      <w:tr>
        <w:trPr>
          <w:trHeight w:val="419"/>
        </w:trPr>
        <w:tc>
          <w:tcPr>
            <w:tcW w:w="608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2"/>
                <w:szCs w:val="12"/>
                <w:b w:val="1"/>
                <w:bCs w:val="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60,305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181,590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241,895</w:t>
            </w:r>
          </w:p>
        </w:tc>
      </w:tr>
      <w:tr>
        <w:trPr>
          <w:trHeight w:val="34"/>
        </w:trPr>
        <w:tc>
          <w:tcPr>
            <w:tcW w:w="60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8"/>
                <w:szCs w:val="18"/>
                <w:b w:val="1"/>
                <w:bCs w:val="1"/>
                <w:color w:val="auto"/>
              </w:rPr>
              <w:t>Three Months Ended March 31, 2009</w:t>
            </w:r>
          </w:p>
        </w:tc>
        <w:tc>
          <w:tcPr>
            <w:tcW w:w="1020" w:type="dxa"/>
            <w:vAlign w:val="bottom"/>
            <w:tcBorders>
              <w:bottom w:val="single" w:sz="8" w:color="auto"/>
            </w:tcBorders>
          </w:tcPr>
          <w:p>
            <w:pPr>
              <w:spacing w:after="0"/>
              <w:rPr>
                <w:sz w:val="19"/>
                <w:szCs w:val="19"/>
                <w:color w:val="auto"/>
              </w:rPr>
            </w:pPr>
          </w:p>
        </w:tc>
      </w:tr>
      <w:tr>
        <w:trPr>
          <w:trHeight w:val="173"/>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w w:val="99"/>
              </w:rPr>
              <w:t>Corporate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5"/>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Las Vegas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Macau</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and Other</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426"/>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(58,384)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68,726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16,807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27,149</w:t>
            </w:r>
          </w:p>
        </w:tc>
      </w:tr>
      <w:tr>
        <w:trPr>
          <w:trHeight w:val="404"/>
        </w:trPr>
        <w:tc>
          <w:tcPr>
            <w:tcW w:w="6080" w:type="dxa"/>
            <w:vAlign w:val="bottom"/>
          </w:tcPr>
          <w:p>
            <w:pPr>
              <w:ind w:left="46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77,444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23,371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101,468</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13,940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16,485</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Management and royalty fees</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(21,920)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Corporate expense and other</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7,968</w:t>
            </w:r>
          </w:p>
        </w:tc>
      </w:tr>
      <w:tr>
        <w:trPr>
          <w:trHeight w:val="203"/>
        </w:trPr>
        <w:tc>
          <w:tcPr>
            <w:tcW w:w="6080" w:type="dxa"/>
            <w:vAlign w:val="bottom"/>
          </w:tcPr>
          <w:p>
            <w:pPr>
              <w:ind w:left="46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5,429</w:t>
            </w:r>
          </w:p>
        </w:tc>
      </w:tr>
      <w:tr>
        <w:trPr>
          <w:trHeight w:val="203"/>
        </w:trPr>
        <w:tc>
          <w:tcPr>
            <w:tcW w:w="6080" w:type="dxa"/>
            <w:vAlign w:val="bottom"/>
          </w:tcPr>
          <w:p>
            <w:pPr>
              <w:ind w:left="460"/>
              <w:spacing w:after="0" w:line="203" w:lineRule="exact"/>
              <w:rPr>
                <w:sz w:val="20"/>
                <w:szCs w:val="20"/>
                <w:color w:val="auto"/>
              </w:rPr>
            </w:pPr>
            <w:r>
              <w:rPr>
                <w:rFonts w:ascii="Arial" w:cs="Arial" w:eastAsia="Arial" w:hAnsi="Arial"/>
                <w:sz w:val="18"/>
                <w:szCs w:val="18"/>
                <w:color w:val="auto"/>
              </w:rPr>
              <w:t>Equity in income (loss) from unconsolidated affiliate</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246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r>
      <w:tr>
        <w:trPr>
          <w:trHeight w:val="419"/>
        </w:trPr>
        <w:tc>
          <w:tcPr>
            <w:tcW w:w="608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2"/>
                <w:szCs w:val="12"/>
                <w:b w:val="1"/>
                <w:bCs w:val="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43,851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114,643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158,494</w:t>
            </w:r>
          </w:p>
        </w:tc>
      </w:tr>
      <w:tr>
        <w:trPr>
          <w:trHeight w:val="34"/>
        </w:trPr>
        <w:tc>
          <w:tcPr>
            <w:tcW w:w="60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2"/>
                <w:szCs w:val="12"/>
                <w:b w:val="1"/>
                <w:bCs w:val="1"/>
                <w:color w:val="auto"/>
              </w:rPr>
              <w:t>(1)</w:t>
            </w:r>
          </w:p>
        </w:tc>
        <w:tc>
          <w:tcPr>
            <w:tcW w:w="3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241,895</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158,494</w:t>
            </w:r>
          </w:p>
        </w:tc>
        <w:tc>
          <w:tcPr>
            <w:tcW w:w="0" w:type="dxa"/>
            <w:vAlign w:val="bottom"/>
          </w:tcPr>
          <w:p>
            <w:pPr>
              <w:spacing w:after="0"/>
              <w:rPr>
                <w:sz w:val="1"/>
                <w:szCs w:val="1"/>
                <w:color w:val="auto"/>
              </w:rPr>
            </w:pPr>
          </w:p>
        </w:tc>
      </w:tr>
      <w:tr>
        <w:trPr>
          <w:trHeight w:val="403"/>
        </w:trPr>
        <w:tc>
          <w:tcPr>
            <w:tcW w:w="520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(104,565)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(101,468)</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Property charges and other</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Corporate expenses and other</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(10,972)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Stock-based compensation</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(6,927)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Interest income</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(49,261)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(57,032)</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Increase (decrease) in swap fair value</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(3,602)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Gain on extinguishment of debt</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2" w:lineRule="exact"/>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line="203" w:lineRule="exact"/>
              <w:rPr>
                <w:sz w:val="20"/>
                <w:szCs w:val="20"/>
                <w:color w:val="auto"/>
              </w:rPr>
            </w:pPr>
            <w:r>
              <w:rPr>
                <w:rFonts w:ascii="Arial" w:cs="Arial" w:eastAsia="Arial" w:hAnsi="Arial"/>
                <w:sz w:val="18"/>
                <w:szCs w:val="18"/>
                <w:color w:val="auto"/>
              </w:rPr>
              <w:t>Provision for income taxes</w:t>
            </w:r>
          </w:p>
        </w:tc>
        <w:tc>
          <w:tcPr>
            <w:tcW w:w="3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(5,069)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(15,894)</w:t>
            </w: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57,859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(33,814)</w:t>
            </w:r>
          </w:p>
        </w:tc>
        <w:tc>
          <w:tcPr>
            <w:tcW w:w="0" w:type="dxa"/>
            <w:vAlign w:val="bottom"/>
          </w:tcPr>
          <w:p>
            <w:pPr>
              <w:spacing w:after="0"/>
              <w:rPr>
                <w:sz w:val="1"/>
                <w:szCs w:val="1"/>
                <w:color w:val="auto"/>
              </w:rPr>
            </w:pPr>
          </w:p>
        </w:tc>
      </w:tr>
      <w:tr>
        <w:trPr>
          <w:trHeight w:val="405"/>
        </w:trPr>
        <w:tc>
          <w:tcPr>
            <w:tcW w:w="5200" w:type="dxa"/>
            <w:vAlign w:val="bottom"/>
          </w:tcPr>
          <w:p>
            <w:pPr>
              <w:ind w:left="240"/>
              <w:spacing w:after="0"/>
              <w:rPr>
                <w:sz w:val="20"/>
                <w:szCs w:val="20"/>
                <w:color w:val="auto"/>
              </w:rPr>
            </w:pPr>
            <w:r>
              <w:rPr>
                <w:rFonts w:ascii="Arial" w:cs="Arial" w:eastAsia="Arial" w:hAnsi="Arial"/>
                <w:sz w:val="18"/>
                <w:szCs w:val="18"/>
                <w:color w:val="auto"/>
              </w:rPr>
              <w:t>Less: Net income attributable to noncontrolling interests</w:t>
            </w:r>
          </w:p>
        </w:tc>
        <w:tc>
          <w:tcPr>
            <w:tcW w:w="3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52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26,988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(33,814)</w:t>
            </w:r>
          </w:p>
        </w:tc>
        <w:tc>
          <w:tcPr>
            <w:tcW w:w="0" w:type="dxa"/>
            <w:vAlign w:val="bottom"/>
          </w:tcPr>
          <w:p>
            <w:pPr>
              <w:spacing w:after="0"/>
              <w:rPr>
                <w:sz w:val="1"/>
                <w:szCs w:val="1"/>
                <w:color w:val="auto"/>
              </w:rPr>
            </w:pPr>
          </w:p>
        </w:tc>
      </w:tr>
      <w:tr>
        <w:trPr>
          <w:trHeight w:val="709"/>
        </w:trPr>
        <w:tc>
          <w:tcPr>
            <w:tcW w:w="5200" w:type="dxa"/>
            <w:vAlign w:val="bottom"/>
          </w:tcPr>
          <w:p>
            <w:pPr>
              <w:spacing w:after="0"/>
              <w:rPr>
                <w:sz w:val="24"/>
                <w:szCs w:val="24"/>
                <w:color w:val="auto"/>
              </w:rPr>
            </w:pPr>
          </w:p>
        </w:tc>
        <w:tc>
          <w:tcPr>
            <w:tcW w:w="3620" w:type="dxa"/>
            <w:vAlign w:val="bottom"/>
          </w:tcPr>
          <w:p>
            <w:pPr>
              <w:jc w:val="right"/>
              <w:ind w:right="297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SUPPLEMENTAL DATA SCHEDULE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40" w:type="dxa"/>
            <w:vAlign w:val="bottom"/>
          </w:tcPr>
          <w:p>
            <w:pPr>
              <w:spacing w:after="0"/>
              <w:rPr>
                <w:sz w:val="19"/>
                <w:szCs w:val="19"/>
                <w:color w:val="auto"/>
              </w:rPr>
            </w:pPr>
          </w:p>
        </w:tc>
        <w:tc>
          <w:tcPr>
            <w:tcW w:w="2300" w:type="dxa"/>
            <w:vAlign w:val="bottom"/>
            <w:gridSpan w:val="3"/>
          </w:tcPr>
          <w:p>
            <w:pPr>
              <w:ind w:left="240"/>
              <w:spacing w:after="0"/>
              <w:rPr>
                <w:sz w:val="20"/>
                <w:szCs w:val="20"/>
                <w:color w:val="auto"/>
              </w:rPr>
            </w:pPr>
            <w:r>
              <w:rPr>
                <w:rFonts w:ascii="Arial" w:cs="Arial" w:eastAsia="Arial" w:hAnsi="Arial"/>
                <w:sz w:val="18"/>
                <w:szCs w:val="18"/>
                <w:b w:val="1"/>
                <w:bCs w:val="1"/>
                <w:color w:val="auto"/>
              </w:rPr>
              <w:t>Three Months Ended</w:t>
            </w:r>
          </w:p>
        </w:tc>
      </w:tr>
      <w:tr>
        <w:trPr>
          <w:trHeight w:val="173"/>
        </w:trPr>
        <w:tc>
          <w:tcPr>
            <w:tcW w:w="9040" w:type="dxa"/>
            <w:vAlign w:val="bottom"/>
          </w:tcPr>
          <w:p>
            <w:pPr>
              <w:spacing w:after="0"/>
              <w:rPr>
                <w:sz w:val="15"/>
                <w:szCs w:val="15"/>
                <w:color w:val="auto"/>
              </w:rPr>
            </w:pPr>
          </w:p>
        </w:tc>
        <w:tc>
          <w:tcPr>
            <w:tcW w:w="1180" w:type="dxa"/>
            <w:vAlign w:val="bottom"/>
            <w:tcBorders>
              <w:top w:val="single" w:sz="8" w:color="auto"/>
            </w:tcBorders>
          </w:tcPr>
          <w:p>
            <w:pPr>
              <w:jc w:val="right"/>
              <w:ind w:right="150"/>
              <w:spacing w:after="0" w:line="173" w:lineRule="exact"/>
              <w:rPr>
                <w:sz w:val="20"/>
                <w:szCs w:val="20"/>
                <w:color w:val="auto"/>
              </w:rPr>
            </w:pPr>
            <w:r>
              <w:rPr>
                <w:rFonts w:ascii="Arial" w:cs="Arial" w:eastAsia="Arial" w:hAnsi="Arial"/>
                <w:sz w:val="18"/>
                <w:szCs w:val="18"/>
                <w:b w:val="1"/>
                <w:bCs w:val="1"/>
                <w:color w:val="auto"/>
              </w:rPr>
              <w:t>March 31,</w:t>
            </w:r>
          </w:p>
        </w:tc>
        <w:tc>
          <w:tcPr>
            <w:tcW w:w="110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5"/>
                <w:szCs w:val="15"/>
                <w:color w:val="auto"/>
              </w:rPr>
            </w:pPr>
          </w:p>
        </w:tc>
      </w:tr>
      <w:tr>
        <w:trPr>
          <w:trHeight w:val="225"/>
        </w:trPr>
        <w:tc>
          <w:tcPr>
            <w:tcW w:w="9040" w:type="dxa"/>
            <w:vAlign w:val="bottom"/>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22"/>
        </w:trPr>
        <w:tc>
          <w:tcPr>
            <w:tcW w:w="9040" w:type="dxa"/>
            <w:vAlign w:val="bottom"/>
          </w:tcPr>
          <w:p>
            <w:pPr>
              <w:spacing w:after="0"/>
              <w:rPr>
                <w:sz w:val="20"/>
                <w:szCs w:val="20"/>
                <w:color w:val="auto"/>
              </w:rPr>
            </w:pPr>
            <w:r>
              <w:rPr>
                <w:rFonts w:ascii="Arial" w:cs="Arial" w:eastAsia="Arial" w:hAnsi="Arial"/>
                <w:sz w:val="18"/>
                <w:szCs w:val="18"/>
                <w:color w:val="auto"/>
              </w:rPr>
              <w:t>Room Statistics for Las Vegas operations:</w:t>
            </w: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Occupancy %</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89.4%</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89.5%</w:t>
            </w: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12"/>
                <w:szCs w:val="12"/>
                <w:color w:val="auto"/>
              </w:rPr>
              <w:t>1</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222</w:t>
            </w:r>
          </w:p>
        </w:tc>
      </w:tr>
      <w:tr>
        <w:trPr>
          <w:trHeight w:val="217"/>
        </w:trPr>
        <w:tc>
          <w:tcPr>
            <w:tcW w:w="9040" w:type="dxa"/>
            <w:vAlign w:val="bottom"/>
          </w:tcPr>
          <w:p>
            <w:pPr>
              <w:ind w:left="50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2"/>
                <w:szCs w:val="12"/>
                <w:color w:val="auto"/>
              </w:rPr>
              <w:t>2</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418"/>
        </w:trPr>
        <w:tc>
          <w:tcPr>
            <w:tcW w:w="9040" w:type="dxa"/>
            <w:vAlign w:val="bottom"/>
          </w:tcPr>
          <w:p>
            <w:pPr>
              <w:spacing w:after="0"/>
              <w:rPr>
                <w:sz w:val="20"/>
                <w:szCs w:val="20"/>
                <w:color w:val="auto"/>
              </w:rPr>
            </w:pPr>
            <w:r>
              <w:rPr>
                <w:rFonts w:ascii="Arial" w:cs="Arial" w:eastAsia="Arial" w:hAnsi="Arial"/>
                <w:sz w:val="18"/>
                <w:szCs w:val="18"/>
                <w:color w:val="auto"/>
              </w:rPr>
              <w:t>Other information for Las Vegas operations:</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040" w:type="dxa"/>
            <w:vAlign w:val="bottom"/>
          </w:tcPr>
          <w:p>
            <w:pPr>
              <w:ind w:left="50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2"/>
                <w:szCs w:val="12"/>
                <w:color w:val="auto"/>
              </w:rPr>
              <w:t>3</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$6,459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$4,404</w:t>
            </w: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Table Win %</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23.2%</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17.7%</w:t>
            </w: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12"/>
                <w:szCs w:val="12"/>
                <w:color w:val="auto"/>
              </w:rPr>
              <w:t>4</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154</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190</w:t>
            </w: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Average number of table games</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222</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232</w:t>
            </w:r>
          </w:p>
        </w:tc>
      </w:tr>
      <w:tr>
        <w:trPr>
          <w:trHeight w:val="217"/>
        </w:trPr>
        <w:tc>
          <w:tcPr>
            <w:tcW w:w="9040" w:type="dxa"/>
            <w:vAlign w:val="bottom"/>
          </w:tcPr>
          <w:p>
            <w:pPr>
              <w:ind w:left="500"/>
              <w:spacing w:after="0"/>
              <w:rPr>
                <w:sz w:val="20"/>
                <w:szCs w:val="20"/>
                <w:color w:val="auto"/>
              </w:rPr>
            </w:pPr>
            <w:r>
              <w:rPr>
                <w:rFonts w:ascii="Arial" w:cs="Arial" w:eastAsia="Arial" w:hAnsi="Arial"/>
                <w:sz w:val="18"/>
                <w:szCs w:val="18"/>
                <w:color w:val="auto"/>
              </w:rPr>
              <w:t>Average number of slot machines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2,658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2,782</w:t>
            </w:r>
          </w:p>
        </w:tc>
      </w:tr>
      <w:tr>
        <w:trPr>
          <w:trHeight w:val="431"/>
        </w:trPr>
        <w:tc>
          <w:tcPr>
            <w:tcW w:w="9040" w:type="dxa"/>
            <w:vAlign w:val="bottom"/>
          </w:tcPr>
          <w:p>
            <w:pPr>
              <w:spacing w:after="0"/>
              <w:rPr>
                <w:sz w:val="20"/>
                <w:szCs w:val="20"/>
                <w:color w:val="auto"/>
              </w:rPr>
            </w:pPr>
            <w:r>
              <w:rPr>
                <w:rFonts w:ascii="Arial" w:cs="Arial" w:eastAsia="Arial" w:hAnsi="Arial"/>
                <w:sz w:val="18"/>
                <w:szCs w:val="18"/>
                <w:color w:val="auto"/>
              </w:rPr>
              <w:t>Room Statistics for Macau:</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Occupancy %</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90.7%</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83.3%</w:t>
            </w: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12"/>
                <w:szCs w:val="12"/>
                <w:color w:val="auto"/>
              </w:rPr>
              <w:t>1</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282</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268</w:t>
            </w:r>
          </w:p>
        </w:tc>
      </w:tr>
      <w:tr>
        <w:trPr>
          <w:trHeight w:val="217"/>
        </w:trPr>
        <w:tc>
          <w:tcPr>
            <w:tcW w:w="9040" w:type="dxa"/>
            <w:vAlign w:val="bottom"/>
          </w:tcPr>
          <w:p>
            <w:pPr>
              <w:ind w:left="50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2"/>
                <w:szCs w:val="12"/>
                <w:color w:val="auto"/>
              </w:rPr>
              <w:t>2</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418"/>
        </w:trPr>
        <w:tc>
          <w:tcPr>
            <w:tcW w:w="9040" w:type="dxa"/>
            <w:vAlign w:val="bottom"/>
          </w:tcPr>
          <w:p>
            <w:pPr>
              <w:spacing w:after="0"/>
              <w:rPr>
                <w:sz w:val="20"/>
                <w:szCs w:val="20"/>
                <w:color w:val="auto"/>
              </w:rPr>
            </w:pPr>
            <w:r>
              <w:rPr>
                <w:rFonts w:ascii="Arial" w:cs="Arial" w:eastAsia="Arial" w:hAnsi="Arial"/>
                <w:sz w:val="18"/>
                <w:szCs w:val="18"/>
                <w:color w:val="auto"/>
              </w:rPr>
              <w:t>Other information for Macau:</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12"/>
                <w:szCs w:val="12"/>
                <w:color w:val="auto"/>
              </w:rPr>
              <w:t>3</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$18,767</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$14,706</w:t>
            </w: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12"/>
                <w:szCs w:val="12"/>
                <w:color w:val="auto"/>
              </w:rPr>
              <w:t>4</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451</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440</w:t>
            </w:r>
          </w:p>
        </w:tc>
      </w:tr>
      <w:tr>
        <w:trPr>
          <w:trHeight w:val="203"/>
        </w:trPr>
        <w:tc>
          <w:tcPr>
            <w:tcW w:w="9040" w:type="dxa"/>
            <w:vAlign w:val="bottom"/>
          </w:tcPr>
          <w:p>
            <w:pPr>
              <w:ind w:left="500"/>
              <w:spacing w:after="0" w:line="202" w:lineRule="exact"/>
              <w:rPr>
                <w:sz w:val="20"/>
                <w:szCs w:val="20"/>
                <w:color w:val="auto"/>
              </w:rPr>
            </w:pPr>
            <w:r>
              <w:rPr>
                <w:rFonts w:ascii="Arial" w:cs="Arial" w:eastAsia="Arial" w:hAnsi="Arial"/>
                <w:sz w:val="18"/>
                <w:szCs w:val="18"/>
                <w:color w:val="auto"/>
              </w:rPr>
              <w:t>Average number of table games</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392</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370</w:t>
            </w:r>
          </w:p>
        </w:tc>
      </w:tr>
      <w:tr>
        <w:trPr>
          <w:trHeight w:val="217"/>
        </w:trPr>
        <w:tc>
          <w:tcPr>
            <w:tcW w:w="9040" w:type="dxa"/>
            <w:vAlign w:val="bottom"/>
          </w:tcPr>
          <w:p>
            <w:pPr>
              <w:ind w:left="500"/>
              <w:spacing w:after="0"/>
              <w:rPr>
                <w:sz w:val="20"/>
                <w:szCs w:val="20"/>
                <w:color w:val="auto"/>
              </w:rPr>
            </w:pPr>
            <w:r>
              <w:rPr>
                <w:rFonts w:ascii="Arial" w:cs="Arial" w:eastAsia="Arial" w:hAnsi="Arial"/>
                <w:sz w:val="18"/>
                <w:szCs w:val="18"/>
                <w:color w:val="auto"/>
              </w:rPr>
              <w:t>Average number of slot machines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1,175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1,249</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198" w:lineRule="exact"/>
        <w:rPr>
          <w:rFonts w:ascii="Arial" w:cs="Arial" w:eastAsia="Arial" w:hAnsi="Arial"/>
          <w:sz w:val="18"/>
          <w:szCs w:val="18"/>
          <w:color w:val="auto"/>
        </w:rPr>
      </w:pPr>
    </w:p>
    <w:p>
      <w:pPr>
        <w:ind w:right="400" w:firstLine="8"/>
        <w:spacing w:after="0" w:line="24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19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is net of progressive accruals.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w:t>
      </w:r>
    </w:p>
    <w:sectPr>
      <w:pgSz w:w="11900" w:h="16838" w:orient="portrait"/>
      <w:cols w:equalWidth="0" w:num="1">
        <w:col w:w="11320"/>
      </w:cols>
      <w:pgMar w:left="24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2019-12-10T21:46:41Z</dcterms:created>
  <dcterms:modified xsi:type="dcterms:W3CDTF">2019-12-10T21:46:41Z</dcterms:modified>
</cp:coreProperties>
</file>