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9"/>
          <w:szCs w:val="19"/>
          <w:b w:val="1"/>
          <w:bCs w:val="1"/>
          <w:color w:val="auto"/>
        </w:rPr>
        <w:drawing>
          <wp:anchor simplePos="0" relativeHeight="251657728" behindDoc="1" locked="0" layoutInCell="0" allowOverlap="1">
            <wp:simplePos x="0" y="0"/>
            <wp:positionH relativeFrom="page">
              <wp:posOffset>154305</wp:posOffset>
            </wp:positionH>
            <wp:positionV relativeFrom="page">
              <wp:posOffset>415290</wp:posOffset>
            </wp:positionV>
            <wp:extent cx="7253605" cy="381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3605" cy="38100"/>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SECURITIES AND EXCHANGE COMMISSION</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Washington, D.C. 20549</w:t>
      </w:r>
    </w:p>
    <w:p>
      <w:pPr>
        <w:spacing w:after="0" w:line="200" w:lineRule="exact"/>
        <w:rPr>
          <w:sz w:val="24"/>
          <w:szCs w:val="24"/>
          <w:color w:val="auto"/>
        </w:rPr>
      </w:pPr>
    </w:p>
    <w:p>
      <w:pPr>
        <w:spacing w:after="0" w:line="258" w:lineRule="exact"/>
        <w:rPr>
          <w:sz w:val="24"/>
          <w:szCs w:val="24"/>
          <w:color w:val="auto"/>
        </w:rPr>
      </w:pPr>
    </w:p>
    <w:p>
      <w:pPr>
        <w:jc w:val="center"/>
        <w:spacing w:after="0"/>
        <w:rPr>
          <w:sz w:val="20"/>
          <w:szCs w:val="20"/>
          <w:color w:val="auto"/>
        </w:rPr>
      </w:pPr>
      <w:r>
        <w:rPr>
          <w:rFonts w:ascii="Arial" w:cs="Arial" w:eastAsia="Arial" w:hAnsi="Arial"/>
          <w:sz w:val="21"/>
          <w:szCs w:val="21"/>
          <w:b w:val="1"/>
          <w:bCs w:val="1"/>
          <w:color w:val="auto"/>
        </w:rPr>
        <w:t>FORM 8-K</w:t>
      </w:r>
    </w:p>
    <w:p>
      <w:pPr>
        <w:spacing w:after="0" w:line="240"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CURRENT REPORT</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Pursuant to Section 13 or 15(d) of</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The Securities Exchange Act of 1934</w:t>
      </w:r>
    </w:p>
    <w:p>
      <w:pPr>
        <w:spacing w:after="0" w:line="230"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Date of Report (Date of Earliest Event Reported):</w:t>
      </w:r>
    </w:p>
    <w:p>
      <w:pPr>
        <w:spacing w:after="0" w:line="23"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March 26, 2008</w:t>
      </w: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19"/>
          <w:szCs w:val="19"/>
          <w:b w:val="1"/>
          <w:bCs w:val="1"/>
          <w:color w:val="auto"/>
        </w:rPr>
        <w:t>Wynn Resorts, Limited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9"/>
          <w:szCs w:val="19"/>
          <w:color w:val="auto"/>
        </w:rPr>
        <w:t>(Exact Name of Registrant as specified in Charter)</w:t>
      </w:r>
    </w:p>
    <w:p>
      <w:pPr>
        <w:spacing w:after="0" w:line="224" w:lineRule="exact"/>
        <w:rPr>
          <w:sz w:val="24"/>
          <w:szCs w:val="24"/>
          <w:color w:val="auto"/>
        </w:rPr>
      </w:pPr>
    </w:p>
    <w:tbl>
      <w:tblPr>
        <w:tblLayout w:type="fixed"/>
        <w:tblInd w:w="600" w:type="dxa"/>
        <w:tblCellMar>
          <w:top w:w="0" w:type="dxa"/>
          <w:left w:w="0" w:type="dxa"/>
          <w:bottom w:w="0" w:type="dxa"/>
          <w:right w:w="0" w:type="dxa"/>
        </w:tblCellMar>
      </w:tblPr>
      <w:tr>
        <w:trPr>
          <w:trHeight w:val="231"/>
        </w:trPr>
        <w:tc>
          <w:tcPr>
            <w:tcW w:w="2420" w:type="dxa"/>
            <w:vAlign w:val="bottom"/>
          </w:tcPr>
          <w:p>
            <w:pPr>
              <w:jc w:val="center"/>
              <w:ind w:right="183"/>
              <w:spacing w:after="0"/>
              <w:rPr>
                <w:sz w:val="20"/>
                <w:szCs w:val="20"/>
                <w:color w:val="auto"/>
              </w:rPr>
            </w:pPr>
            <w:r>
              <w:rPr>
                <w:rFonts w:ascii="Arial" w:cs="Arial" w:eastAsia="Arial" w:hAnsi="Arial"/>
                <w:sz w:val="19"/>
                <w:szCs w:val="19"/>
                <w:b w:val="1"/>
                <w:bCs w:val="1"/>
                <w:color w:val="auto"/>
                <w:w w:val="91"/>
              </w:rPr>
              <w:t>Nevada</w:t>
            </w:r>
          </w:p>
        </w:tc>
        <w:tc>
          <w:tcPr>
            <w:tcW w:w="5460" w:type="dxa"/>
            <w:vAlign w:val="bottom"/>
          </w:tcPr>
          <w:p>
            <w:pPr>
              <w:jc w:val="center"/>
              <w:spacing w:after="0"/>
              <w:rPr>
                <w:sz w:val="20"/>
                <w:szCs w:val="20"/>
                <w:color w:val="auto"/>
              </w:rPr>
            </w:pPr>
            <w:r>
              <w:rPr>
                <w:rFonts w:ascii="Arial" w:cs="Arial" w:eastAsia="Arial" w:hAnsi="Arial"/>
                <w:sz w:val="19"/>
                <w:szCs w:val="19"/>
                <w:b w:val="1"/>
                <w:bCs w:val="1"/>
                <w:color w:val="auto"/>
                <w:w w:val="92"/>
              </w:rPr>
              <w:t>000-50028</w:t>
            </w:r>
          </w:p>
        </w:tc>
        <w:tc>
          <w:tcPr>
            <w:tcW w:w="2180" w:type="dxa"/>
            <w:vAlign w:val="bottom"/>
          </w:tcPr>
          <w:p>
            <w:pPr>
              <w:jc w:val="center"/>
              <w:ind w:left="303"/>
              <w:spacing w:after="0"/>
              <w:rPr>
                <w:sz w:val="20"/>
                <w:szCs w:val="20"/>
                <w:color w:val="auto"/>
              </w:rPr>
            </w:pPr>
            <w:r>
              <w:rPr>
                <w:rFonts w:ascii="Arial" w:cs="Arial" w:eastAsia="Arial" w:hAnsi="Arial"/>
                <w:sz w:val="19"/>
                <w:szCs w:val="19"/>
                <w:b w:val="1"/>
                <w:bCs w:val="1"/>
                <w:color w:val="auto"/>
                <w:w w:val="92"/>
              </w:rPr>
              <w:t>46-0484987</w:t>
            </w:r>
          </w:p>
        </w:tc>
      </w:tr>
      <w:tr>
        <w:trPr>
          <w:trHeight w:val="225"/>
        </w:trPr>
        <w:tc>
          <w:tcPr>
            <w:tcW w:w="2420" w:type="dxa"/>
            <w:vAlign w:val="bottom"/>
          </w:tcPr>
          <w:p>
            <w:pPr>
              <w:jc w:val="center"/>
              <w:ind w:right="203"/>
              <w:spacing w:after="0"/>
              <w:rPr>
                <w:sz w:val="20"/>
                <w:szCs w:val="20"/>
                <w:color w:val="auto"/>
              </w:rPr>
            </w:pPr>
            <w:r>
              <w:rPr>
                <w:rFonts w:ascii="Arial" w:cs="Arial" w:eastAsia="Arial" w:hAnsi="Arial"/>
                <w:sz w:val="19"/>
                <w:szCs w:val="19"/>
                <w:color w:val="auto"/>
                <w:w w:val="93"/>
              </w:rPr>
              <w:t>(State or Other Jurisdiction</w:t>
            </w:r>
          </w:p>
        </w:tc>
        <w:tc>
          <w:tcPr>
            <w:tcW w:w="5460" w:type="dxa"/>
            <w:vAlign w:val="bottom"/>
          </w:tcPr>
          <w:p>
            <w:pPr>
              <w:jc w:val="center"/>
              <w:spacing w:after="0"/>
              <w:rPr>
                <w:sz w:val="20"/>
                <w:szCs w:val="20"/>
                <w:color w:val="auto"/>
              </w:rPr>
            </w:pPr>
            <w:r>
              <w:rPr>
                <w:rFonts w:ascii="Arial" w:cs="Arial" w:eastAsia="Arial" w:hAnsi="Arial"/>
                <w:sz w:val="19"/>
                <w:szCs w:val="19"/>
                <w:color w:val="auto"/>
                <w:w w:val="95"/>
              </w:rPr>
              <w:t>(Commission File</w:t>
            </w:r>
          </w:p>
        </w:tc>
        <w:tc>
          <w:tcPr>
            <w:tcW w:w="2180" w:type="dxa"/>
            <w:vAlign w:val="bottom"/>
          </w:tcPr>
          <w:p>
            <w:pPr>
              <w:jc w:val="center"/>
              <w:ind w:left="303"/>
              <w:spacing w:after="0"/>
              <w:rPr>
                <w:sz w:val="20"/>
                <w:szCs w:val="20"/>
                <w:color w:val="auto"/>
              </w:rPr>
            </w:pPr>
            <w:r>
              <w:rPr>
                <w:rFonts w:ascii="Arial" w:cs="Arial" w:eastAsia="Arial" w:hAnsi="Arial"/>
                <w:sz w:val="19"/>
                <w:szCs w:val="19"/>
                <w:color w:val="auto"/>
                <w:w w:val="96"/>
              </w:rPr>
              <w:t>(I.R.S. Employer</w:t>
            </w:r>
          </w:p>
        </w:tc>
      </w:tr>
      <w:tr>
        <w:trPr>
          <w:trHeight w:val="247"/>
        </w:trPr>
        <w:tc>
          <w:tcPr>
            <w:tcW w:w="2420" w:type="dxa"/>
            <w:vAlign w:val="bottom"/>
          </w:tcPr>
          <w:p>
            <w:pPr>
              <w:jc w:val="center"/>
              <w:ind w:right="203"/>
              <w:spacing w:after="0"/>
              <w:rPr>
                <w:sz w:val="20"/>
                <w:szCs w:val="20"/>
                <w:color w:val="auto"/>
              </w:rPr>
            </w:pPr>
            <w:r>
              <w:rPr>
                <w:rFonts w:ascii="Arial" w:cs="Arial" w:eastAsia="Arial" w:hAnsi="Arial"/>
                <w:sz w:val="19"/>
                <w:szCs w:val="19"/>
                <w:color w:val="auto"/>
                <w:w w:val="95"/>
              </w:rPr>
              <w:t>of Incorporation)</w:t>
            </w:r>
          </w:p>
        </w:tc>
        <w:tc>
          <w:tcPr>
            <w:tcW w:w="5460" w:type="dxa"/>
            <w:vAlign w:val="bottom"/>
          </w:tcPr>
          <w:p>
            <w:pPr>
              <w:jc w:val="center"/>
              <w:spacing w:after="0"/>
              <w:rPr>
                <w:sz w:val="20"/>
                <w:szCs w:val="20"/>
                <w:color w:val="auto"/>
              </w:rPr>
            </w:pPr>
            <w:r>
              <w:rPr>
                <w:rFonts w:ascii="Arial" w:cs="Arial" w:eastAsia="Arial" w:hAnsi="Arial"/>
                <w:sz w:val="19"/>
                <w:szCs w:val="19"/>
                <w:color w:val="auto"/>
                <w:w w:val="97"/>
              </w:rPr>
              <w:t>Number)</w:t>
            </w:r>
          </w:p>
        </w:tc>
        <w:tc>
          <w:tcPr>
            <w:tcW w:w="2180" w:type="dxa"/>
            <w:vAlign w:val="bottom"/>
          </w:tcPr>
          <w:p>
            <w:pPr>
              <w:jc w:val="center"/>
              <w:ind w:left="303"/>
              <w:spacing w:after="0"/>
              <w:rPr>
                <w:sz w:val="20"/>
                <w:szCs w:val="20"/>
                <w:color w:val="auto"/>
              </w:rPr>
            </w:pPr>
            <w:r>
              <w:rPr>
                <w:rFonts w:ascii="Arial" w:cs="Arial" w:eastAsia="Arial" w:hAnsi="Arial"/>
                <w:sz w:val="19"/>
                <w:szCs w:val="19"/>
                <w:color w:val="auto"/>
                <w:w w:val="95"/>
              </w:rPr>
              <w:t>Identification Number)</w:t>
            </w:r>
          </w:p>
        </w:tc>
      </w:tr>
      <w:tr>
        <w:trPr>
          <w:trHeight w:val="675"/>
        </w:trPr>
        <w:tc>
          <w:tcPr>
            <w:tcW w:w="242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9"/>
                <w:szCs w:val="19"/>
                <w:b w:val="1"/>
                <w:bCs w:val="1"/>
                <w:color w:val="auto"/>
                <w:w w:val="91"/>
              </w:rPr>
              <w:t>3131 Las Vegas Boulevard South</w:t>
            </w:r>
          </w:p>
        </w:tc>
        <w:tc>
          <w:tcPr>
            <w:tcW w:w="2180" w:type="dxa"/>
            <w:vAlign w:val="bottom"/>
          </w:tcPr>
          <w:p>
            <w:pPr>
              <w:spacing w:after="0"/>
              <w:rPr>
                <w:sz w:val="24"/>
                <w:szCs w:val="24"/>
                <w:color w:val="auto"/>
              </w:rPr>
            </w:pPr>
          </w:p>
        </w:tc>
      </w:tr>
      <w:tr>
        <w:trPr>
          <w:trHeight w:val="231"/>
        </w:trPr>
        <w:tc>
          <w:tcPr>
            <w:tcW w:w="2420" w:type="dxa"/>
            <w:vAlign w:val="bottom"/>
          </w:tcPr>
          <w:p>
            <w:pPr>
              <w:spacing w:after="0"/>
              <w:rPr>
                <w:sz w:val="20"/>
                <w:szCs w:val="20"/>
                <w:color w:val="auto"/>
              </w:rPr>
            </w:pPr>
          </w:p>
        </w:tc>
        <w:tc>
          <w:tcPr>
            <w:tcW w:w="5460" w:type="dxa"/>
            <w:vAlign w:val="bottom"/>
          </w:tcPr>
          <w:p>
            <w:pPr>
              <w:jc w:val="center"/>
              <w:spacing w:after="0"/>
              <w:rPr>
                <w:sz w:val="20"/>
                <w:szCs w:val="20"/>
                <w:color w:val="auto"/>
              </w:rPr>
            </w:pPr>
            <w:r>
              <w:rPr>
                <w:rFonts w:ascii="Arial" w:cs="Arial" w:eastAsia="Arial" w:hAnsi="Arial"/>
                <w:sz w:val="19"/>
                <w:szCs w:val="19"/>
                <w:b w:val="1"/>
                <w:bCs w:val="1"/>
                <w:color w:val="auto"/>
                <w:w w:val="90"/>
              </w:rPr>
              <w:t>Las Vegas, Nevada 89109</w:t>
            </w:r>
          </w:p>
        </w:tc>
        <w:tc>
          <w:tcPr>
            <w:tcW w:w="2180" w:type="dxa"/>
            <w:vAlign w:val="bottom"/>
          </w:tcPr>
          <w:p>
            <w:pPr>
              <w:spacing w:after="0"/>
              <w:rPr>
                <w:sz w:val="20"/>
                <w:szCs w:val="20"/>
                <w:color w:val="auto"/>
              </w:rPr>
            </w:pPr>
          </w:p>
        </w:tc>
      </w:tr>
      <w:tr>
        <w:trPr>
          <w:trHeight w:val="247"/>
        </w:trPr>
        <w:tc>
          <w:tcPr>
            <w:tcW w:w="242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Arial" w:cs="Arial" w:eastAsia="Arial" w:hAnsi="Arial"/>
                <w:sz w:val="19"/>
                <w:szCs w:val="19"/>
                <w:color w:val="auto"/>
                <w:w w:val="94"/>
              </w:rPr>
              <w:t>(Address of principal executive offices) (Zip Code)</w:t>
            </w:r>
          </w:p>
        </w:tc>
        <w:tc>
          <w:tcPr>
            <w:tcW w:w="2180" w:type="dxa"/>
            <w:vAlign w:val="bottom"/>
          </w:tcPr>
          <w:p>
            <w:pPr>
              <w:spacing w:after="0"/>
              <w:rPr>
                <w:sz w:val="21"/>
                <w:szCs w:val="21"/>
                <w:color w:val="auto"/>
              </w:rPr>
            </w:pPr>
          </w:p>
        </w:tc>
      </w:tr>
      <w:tr>
        <w:trPr>
          <w:trHeight w:val="442"/>
        </w:trPr>
        <w:tc>
          <w:tcPr>
            <w:tcW w:w="242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9"/>
                <w:szCs w:val="19"/>
                <w:b w:val="1"/>
                <w:bCs w:val="1"/>
                <w:color w:val="auto"/>
                <w:w w:val="93"/>
              </w:rPr>
              <w:t>(702) 770-7555</w:t>
            </w:r>
          </w:p>
        </w:tc>
        <w:tc>
          <w:tcPr>
            <w:tcW w:w="2180" w:type="dxa"/>
            <w:vAlign w:val="bottom"/>
          </w:tcPr>
          <w:p>
            <w:pPr>
              <w:spacing w:after="0"/>
              <w:rPr>
                <w:sz w:val="24"/>
                <w:szCs w:val="24"/>
                <w:color w:val="auto"/>
              </w:rPr>
            </w:pPr>
          </w:p>
        </w:tc>
      </w:tr>
      <w:tr>
        <w:trPr>
          <w:trHeight w:val="247"/>
        </w:trPr>
        <w:tc>
          <w:tcPr>
            <w:tcW w:w="242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Arial" w:cs="Arial" w:eastAsia="Arial" w:hAnsi="Arial"/>
                <w:sz w:val="19"/>
                <w:szCs w:val="19"/>
                <w:color w:val="auto"/>
                <w:w w:val="92"/>
              </w:rPr>
              <w:t>(Registrant’s telephone number, including area code)</w:t>
            </w:r>
          </w:p>
        </w:tc>
        <w:tc>
          <w:tcPr>
            <w:tcW w:w="2180" w:type="dxa"/>
            <w:vAlign w:val="bottom"/>
          </w:tcPr>
          <w:p>
            <w:pPr>
              <w:spacing w:after="0"/>
              <w:rPr>
                <w:sz w:val="21"/>
                <w:szCs w:val="21"/>
                <w:color w:val="auto"/>
              </w:rPr>
            </w:pPr>
          </w:p>
        </w:tc>
      </w:tr>
      <w:tr>
        <w:trPr>
          <w:trHeight w:val="442"/>
        </w:trPr>
        <w:tc>
          <w:tcPr>
            <w:tcW w:w="2420" w:type="dxa"/>
            <w:vAlign w:val="bottom"/>
          </w:tcPr>
          <w:p>
            <w:pPr>
              <w:spacing w:after="0"/>
              <w:rPr>
                <w:sz w:val="24"/>
                <w:szCs w:val="24"/>
                <w:color w:val="auto"/>
              </w:rPr>
            </w:pPr>
          </w:p>
        </w:tc>
        <w:tc>
          <w:tcPr>
            <w:tcW w:w="5460" w:type="dxa"/>
            <w:vAlign w:val="bottom"/>
          </w:tcPr>
          <w:p>
            <w:pPr>
              <w:jc w:val="center"/>
              <w:spacing w:after="0"/>
              <w:rPr>
                <w:sz w:val="20"/>
                <w:szCs w:val="20"/>
                <w:color w:val="auto"/>
              </w:rPr>
            </w:pPr>
            <w:r>
              <w:rPr>
                <w:rFonts w:ascii="Arial" w:cs="Arial" w:eastAsia="Arial" w:hAnsi="Arial"/>
                <w:sz w:val="19"/>
                <w:szCs w:val="19"/>
                <w:b w:val="1"/>
                <w:bCs w:val="1"/>
                <w:color w:val="auto"/>
                <w:w w:val="93"/>
              </w:rPr>
              <w:t>Not applicable.</w:t>
            </w:r>
          </w:p>
        </w:tc>
        <w:tc>
          <w:tcPr>
            <w:tcW w:w="2180" w:type="dxa"/>
            <w:vAlign w:val="bottom"/>
          </w:tcPr>
          <w:p>
            <w:pPr>
              <w:spacing w:after="0"/>
              <w:rPr>
                <w:sz w:val="24"/>
                <w:szCs w:val="24"/>
                <w:color w:val="auto"/>
              </w:rPr>
            </w:pPr>
          </w:p>
        </w:tc>
      </w:tr>
      <w:tr>
        <w:trPr>
          <w:trHeight w:val="247"/>
        </w:trPr>
        <w:tc>
          <w:tcPr>
            <w:tcW w:w="2420" w:type="dxa"/>
            <w:vAlign w:val="bottom"/>
          </w:tcPr>
          <w:p>
            <w:pPr>
              <w:spacing w:after="0"/>
              <w:rPr>
                <w:sz w:val="21"/>
                <w:szCs w:val="21"/>
                <w:color w:val="auto"/>
              </w:rPr>
            </w:pPr>
          </w:p>
        </w:tc>
        <w:tc>
          <w:tcPr>
            <w:tcW w:w="5460" w:type="dxa"/>
            <w:vAlign w:val="bottom"/>
          </w:tcPr>
          <w:p>
            <w:pPr>
              <w:jc w:val="center"/>
              <w:spacing w:after="0"/>
              <w:rPr>
                <w:sz w:val="20"/>
                <w:szCs w:val="20"/>
                <w:color w:val="auto"/>
              </w:rPr>
            </w:pPr>
            <w:r>
              <w:rPr>
                <w:rFonts w:ascii="Arial" w:cs="Arial" w:eastAsia="Arial" w:hAnsi="Arial"/>
                <w:sz w:val="19"/>
                <w:szCs w:val="19"/>
                <w:color w:val="auto"/>
                <w:w w:val="92"/>
              </w:rPr>
              <w:t>(Former name or former address, if changed since last report)</w:t>
            </w:r>
          </w:p>
        </w:tc>
        <w:tc>
          <w:tcPr>
            <w:tcW w:w="2180" w:type="dxa"/>
            <w:vAlign w:val="bottom"/>
          </w:tcPr>
          <w:p>
            <w:pPr>
              <w:spacing w:after="0"/>
              <w:rPr>
                <w:sz w:val="21"/>
                <w:szCs w:val="21"/>
                <w:color w:val="auto"/>
              </w:rPr>
            </w:pPr>
          </w:p>
        </w:tc>
      </w:tr>
    </w:tbl>
    <w:p>
      <w:pPr>
        <w:spacing w:after="0" w:line="200" w:lineRule="exact"/>
        <w:rPr>
          <w:sz w:val="24"/>
          <w:szCs w:val="24"/>
          <w:color w:val="auto"/>
        </w:rPr>
      </w:pPr>
    </w:p>
    <w:p>
      <w:pPr>
        <w:spacing w:after="0" w:line="256" w:lineRule="exact"/>
        <w:rPr>
          <w:sz w:val="24"/>
          <w:szCs w:val="24"/>
          <w:color w:val="auto"/>
        </w:rPr>
      </w:pPr>
    </w:p>
    <w:p>
      <w:pPr>
        <w:ind w:right="20"/>
        <w:spacing w:after="0" w:line="279" w:lineRule="auto"/>
        <w:rPr>
          <w:sz w:val="20"/>
          <w:szCs w:val="20"/>
          <w:color w:val="auto"/>
        </w:rPr>
      </w:pPr>
      <w:r>
        <w:rPr>
          <w:rFonts w:ascii="Arial" w:cs="Arial" w:eastAsia="Arial" w:hAnsi="Arial"/>
          <w:sz w:val="19"/>
          <w:szCs w:val="19"/>
          <w:color w:val="auto"/>
        </w:rPr>
        <w:t>Check the appropriate box below if the Form 8-K filing is intended to simultaneously satisfy the filing obligation of the registrant under any of the following provisions:</w:t>
      </w:r>
    </w:p>
    <w:p>
      <w:pPr>
        <w:spacing w:after="0" w:line="181" w:lineRule="exact"/>
        <w:rPr>
          <w:sz w:val="24"/>
          <w:szCs w:val="24"/>
          <w:color w:val="auto"/>
        </w:rPr>
      </w:pPr>
    </w:p>
    <w:tbl>
      <w:tblPr>
        <w:tblLayout w:type="fixed"/>
        <w:tblInd w:w="0" w:type="dxa"/>
        <w:tblCellMar>
          <w:top w:w="0" w:type="dxa"/>
          <w:left w:w="0" w:type="dxa"/>
          <w:bottom w:w="0" w:type="dxa"/>
          <w:right w:w="0" w:type="dxa"/>
        </w:tblCellMar>
      </w:tblPr>
      <w:tr>
        <w:trPr>
          <w:trHeight w:val="247"/>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Written communications pursuant to Rule 425 under the Securities Act (17 CFR 230.425)</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Soliciting material pursuant to Rule 14a-12 under the Exchange Act (17 CFR 240.14a-12)</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Pre-commencement communications pursuant to Rule 14d-2(b) under the Exchange Act (17 CFR 240.14d-2(b))</w:t>
            </w:r>
          </w:p>
        </w:tc>
      </w:tr>
      <w:tr>
        <w:trPr>
          <w:trHeight w:val="438"/>
        </w:trPr>
        <w:tc>
          <w:tcPr>
            <w:tcW w:w="140" w:type="dxa"/>
            <w:vAlign w:val="bottom"/>
          </w:tcPr>
          <w:p>
            <w:pPr>
              <w:jc w:val="right"/>
              <w:spacing w:after="0"/>
              <w:rPr>
                <w:sz w:val="20"/>
                <w:szCs w:val="20"/>
                <w:color w:val="auto"/>
              </w:rPr>
            </w:pPr>
            <w:r>
              <w:rPr>
                <w:rFonts w:ascii="Arial" w:cs="Arial" w:eastAsia="Arial" w:hAnsi="Arial"/>
                <w:sz w:val="19"/>
                <w:szCs w:val="19"/>
                <w:color w:val="auto"/>
              </w:rPr>
              <w:t>[</w:t>
            </w:r>
          </w:p>
        </w:tc>
        <w:tc>
          <w:tcPr>
            <w:tcW w:w="360" w:type="dxa"/>
            <w:vAlign w:val="bottom"/>
          </w:tcPr>
          <w:p>
            <w:pPr>
              <w:jc w:val="right"/>
              <w:ind w:right="123"/>
              <w:spacing w:after="0"/>
              <w:rPr>
                <w:sz w:val="20"/>
                <w:szCs w:val="20"/>
                <w:color w:val="auto"/>
              </w:rPr>
            </w:pPr>
            <w:r>
              <w:rPr>
                <w:rFonts w:ascii="Arial" w:cs="Arial" w:eastAsia="Arial" w:hAnsi="Arial"/>
                <w:sz w:val="19"/>
                <w:szCs w:val="19"/>
                <w:color w:val="auto"/>
              </w:rPr>
              <w:t>]</w:t>
            </w:r>
          </w:p>
        </w:tc>
        <w:tc>
          <w:tcPr>
            <w:tcW w:w="10920" w:type="dxa"/>
            <w:vAlign w:val="bottom"/>
          </w:tcPr>
          <w:p>
            <w:pPr>
              <w:ind w:left="220"/>
              <w:spacing w:after="0"/>
              <w:rPr>
                <w:sz w:val="20"/>
                <w:szCs w:val="20"/>
                <w:color w:val="auto"/>
              </w:rPr>
            </w:pPr>
            <w:r>
              <w:rPr>
                <w:rFonts w:ascii="Arial" w:cs="Arial" w:eastAsia="Arial" w:hAnsi="Arial"/>
                <w:sz w:val="19"/>
                <w:szCs w:val="19"/>
                <w:color w:val="auto"/>
              </w:rPr>
              <w:t>Pre-commencement communications pursuant to Rule 13e-4(c) under the Exchange Act (17 CFR 240.13e-4(c))</w:t>
            </w:r>
          </w:p>
        </w:tc>
      </w:tr>
      <w:tr>
        <w:trPr>
          <w:trHeight w:val="350"/>
        </w:trPr>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920" w:type="dxa"/>
            <w:vAlign w:val="bottom"/>
          </w:tcPr>
          <w:p>
            <w:pPr>
              <w:spacing w:after="0"/>
              <w:rPr>
                <w:sz w:val="24"/>
                <w:szCs w:val="24"/>
                <w:color w:val="auto"/>
              </w:rPr>
            </w:pPr>
          </w:p>
        </w:tc>
      </w:tr>
      <w:tr>
        <w:trPr>
          <w:trHeight w:val="70"/>
        </w:trPr>
        <w:tc>
          <w:tcPr>
            <w:tcW w:w="140" w:type="dxa"/>
            <w:vAlign w:val="bottom"/>
            <w:shd w:val="clear" w:color="auto" w:fill="808080"/>
          </w:tcPr>
          <w:p>
            <w:pPr>
              <w:spacing w:after="0"/>
              <w:rPr>
                <w:sz w:val="6"/>
                <w:szCs w:val="6"/>
                <w:color w:val="auto"/>
              </w:rPr>
            </w:pPr>
          </w:p>
        </w:tc>
        <w:tc>
          <w:tcPr>
            <w:tcW w:w="360" w:type="dxa"/>
            <w:vAlign w:val="bottom"/>
            <w:shd w:val="clear" w:color="auto" w:fill="808080"/>
          </w:tcPr>
          <w:p>
            <w:pPr>
              <w:spacing w:after="0"/>
              <w:rPr>
                <w:sz w:val="6"/>
                <w:szCs w:val="6"/>
                <w:color w:val="auto"/>
              </w:rPr>
            </w:pPr>
          </w:p>
        </w:tc>
        <w:tc>
          <w:tcPr>
            <w:tcW w:w="10920" w:type="dxa"/>
            <w:vAlign w:val="bottom"/>
            <w:shd w:val="clear" w:color="auto" w:fill="808080"/>
          </w:tcPr>
          <w:p>
            <w:pPr>
              <w:spacing w:after="0"/>
              <w:rPr>
                <w:sz w:val="6"/>
                <w:szCs w:val="6"/>
                <w:color w:val="auto"/>
              </w:rPr>
            </w:pPr>
          </w:p>
        </w:tc>
      </w:tr>
      <w:tr>
        <w:trPr>
          <w:trHeight w:val="739"/>
        </w:trPr>
        <w:tc>
          <w:tcPr>
            <w:tcW w:w="14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1092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7242175</wp:posOffset>
            </wp:positionH>
            <wp:positionV relativeFrom="paragraph">
              <wp:posOffset>-13970</wp:posOffset>
            </wp:positionV>
            <wp:extent cx="1270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270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780" w:right="239" w:bottom="1440" w:gutter="0" w:footer="0" w:header="0"/>
        </w:sectPr>
      </w:pPr>
    </w:p>
    <w:bookmarkStart w:id="1" w:name="page2"/>
    <w:bookmarkEnd w:id="1"/>
    <w:p>
      <w:pPr>
        <w:spacing w:after="0"/>
        <w:rPr>
          <w:sz w:val="20"/>
          <w:szCs w:val="20"/>
          <w:color w:val="auto"/>
        </w:rPr>
      </w:pPr>
      <w:r>
        <w:rPr>
          <w:rFonts w:ascii="Arial" w:cs="Arial" w:eastAsia="Arial" w:hAnsi="Arial"/>
          <w:sz w:val="21"/>
          <w:szCs w:val="21"/>
          <w:b w:val="1"/>
          <w:bCs w:val="1"/>
          <w:color w:val="auto"/>
        </w:rPr>
        <w:t>Item 1.01. Entry Into a Material Definitive Agreement.</w:t>
      </w:r>
    </w:p>
    <w:p>
      <w:pPr>
        <w:spacing w:after="0" w:line="242" w:lineRule="exact"/>
        <w:rPr>
          <w:sz w:val="20"/>
          <w:szCs w:val="20"/>
          <w:color w:val="auto"/>
        </w:rPr>
      </w:pPr>
    </w:p>
    <w:p>
      <w:pPr>
        <w:ind w:right="80"/>
        <w:spacing w:after="0" w:line="246" w:lineRule="auto"/>
        <w:rPr>
          <w:sz w:val="20"/>
          <w:szCs w:val="20"/>
          <w:color w:val="auto"/>
        </w:rPr>
      </w:pPr>
      <w:r>
        <w:rPr>
          <w:rFonts w:ascii="Arial" w:cs="Arial" w:eastAsia="Arial" w:hAnsi="Arial"/>
          <w:sz w:val="21"/>
          <w:szCs w:val="21"/>
          <w:color w:val="auto"/>
        </w:rPr>
        <w:t>On March 26, 2008, Wynn Resorts, Limited (the “Company”) entered into an amendment to the Employment Agreement, dated as of August 31, 2005, between the Company and John Strzemp. The amendment, which is effective as of March 18, 2008, reflects Mr. Strzemp’s previously announced promotion to Executive Vice President and Chief Administrative Officer on March 17, 2008, and extends the term of his employment agreement to March 31, 2009.</w:t>
      </w:r>
    </w:p>
    <w:p>
      <w:pPr>
        <w:spacing w:after="0" w:line="197" w:lineRule="exact"/>
        <w:rPr>
          <w:sz w:val="20"/>
          <w:szCs w:val="20"/>
          <w:color w:val="auto"/>
        </w:rPr>
      </w:pPr>
    </w:p>
    <w:p>
      <w:pPr>
        <w:spacing w:after="0" w:line="272" w:lineRule="auto"/>
        <w:rPr>
          <w:sz w:val="20"/>
          <w:szCs w:val="20"/>
          <w:color w:val="auto"/>
        </w:rPr>
      </w:pPr>
      <w:r>
        <w:rPr>
          <w:rFonts w:ascii="Arial" w:cs="Arial" w:eastAsia="Arial" w:hAnsi="Arial"/>
          <w:sz w:val="21"/>
          <w:szCs w:val="21"/>
          <w:b w:val="1"/>
          <w:bCs w:val="1"/>
          <w:color w:val="auto"/>
        </w:rPr>
        <w:t>Item 5.02. Departure of Directors or Certain Officers; Election of Directors; Appointment of Certain Officers; Compensatory Arrangements of Certain Officers.</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The information contained in Item 1.01 of this report is incorporated herein by reference.</w:t>
      </w:r>
    </w:p>
    <w:p>
      <w:pPr>
        <w:spacing w:after="0" w:line="230"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Item 9.01. Financial Statements and Exhibits.</w:t>
      </w:r>
    </w:p>
    <w:p>
      <w:pPr>
        <w:spacing w:after="0" w:line="242" w:lineRule="exact"/>
        <w:rPr>
          <w:sz w:val="20"/>
          <w:szCs w:val="20"/>
          <w:color w:val="auto"/>
        </w:rPr>
      </w:pPr>
    </w:p>
    <w:p>
      <w:pPr>
        <w:spacing w:after="0"/>
        <w:tabs>
          <w:tab w:leader="none" w:pos="40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19"/>
          <w:szCs w:val="19"/>
          <w:color w:val="auto"/>
        </w:rPr>
        <w:t>Exhibits</w:t>
      </w:r>
    </w:p>
    <w:p>
      <w:pPr>
        <w:spacing w:after="0" w:line="236" w:lineRule="exact"/>
        <w:rPr>
          <w:sz w:val="20"/>
          <w:szCs w:val="20"/>
          <w:color w:val="auto"/>
        </w:rPr>
      </w:pPr>
    </w:p>
    <w:p>
      <w:pPr>
        <w:ind w:left="1620" w:right="320" w:hanging="914"/>
        <w:spacing w:after="0" w:line="266" w:lineRule="auto"/>
        <w:tabs>
          <w:tab w:leader="none" w:pos="1600" w:val="left"/>
        </w:tabs>
        <w:rPr>
          <w:sz w:val="20"/>
          <w:szCs w:val="20"/>
          <w:color w:val="auto"/>
        </w:rPr>
      </w:pPr>
      <w:r>
        <w:rPr>
          <w:rFonts w:ascii="Arial" w:cs="Arial" w:eastAsia="Arial" w:hAnsi="Arial"/>
          <w:sz w:val="21"/>
          <w:szCs w:val="21"/>
          <w:color w:val="auto"/>
        </w:rPr>
        <w:t>10.1</w:t>
      </w:r>
      <w:r>
        <w:rPr>
          <w:sz w:val="20"/>
          <w:szCs w:val="20"/>
          <w:color w:val="auto"/>
        </w:rPr>
        <w:tab/>
      </w:r>
      <w:r>
        <w:rPr>
          <w:rFonts w:ascii="Arial" w:cs="Arial" w:eastAsia="Arial" w:hAnsi="Arial"/>
          <w:sz w:val="21"/>
          <w:szCs w:val="21"/>
          <w:color w:val="auto"/>
        </w:rPr>
        <w:t>First Amendment to Employment Agreement, dated as of March 26, 2008, between Wynn Resorts, Limited and John Strzemp.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681990</wp:posOffset>
            </wp:positionV>
            <wp:extent cx="725360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3605" cy="20955"/>
                    </a:xfrm>
                    <a:prstGeom prst="rect">
                      <a:avLst/>
                    </a:prstGeom>
                    <a:noFill/>
                  </pic:spPr>
                </pic:pic>
              </a:graphicData>
            </a:graphic>
          </wp:anchor>
        </w:drawing>
      </w:r>
    </w:p>
    <w:p>
      <w:pPr>
        <w:sectPr>
          <w:pgSz w:w="11900" w:h="16838" w:orient="portrait"/>
          <w:cols w:equalWidth="0" w:num="1">
            <w:col w:w="11400"/>
          </w:cols>
          <w:pgMar w:left="240" w:top="735" w:right="2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21"/>
          <w:szCs w:val="21"/>
          <w:b w:val="1"/>
          <w:bCs w:val="1"/>
          <w:color w:val="auto"/>
        </w:rPr>
        <w:t>SIGNATURES</w:t>
      </w:r>
    </w:p>
    <w:p>
      <w:pPr>
        <w:spacing w:after="0" w:line="242" w:lineRule="exact"/>
        <w:rPr>
          <w:sz w:val="20"/>
          <w:szCs w:val="20"/>
          <w:color w:val="auto"/>
        </w:rPr>
      </w:pPr>
    </w:p>
    <w:p>
      <w:pPr>
        <w:ind w:firstLine="636"/>
        <w:spacing w:after="0" w:line="266" w:lineRule="auto"/>
        <w:rPr>
          <w:sz w:val="20"/>
          <w:szCs w:val="20"/>
          <w:color w:val="auto"/>
        </w:rPr>
      </w:pPr>
      <w:r>
        <w:rPr>
          <w:rFonts w:ascii="Arial" w:cs="Arial" w:eastAsia="Arial" w:hAnsi="Arial"/>
          <w:sz w:val="21"/>
          <w:szCs w:val="21"/>
          <w:color w:val="auto"/>
        </w:rPr>
        <w:t>Pursuant to the requirements of the Securities Exchange Act of 1934, the Registrant has duly caused this report to be signed on its behalf by the undersigned thereunto duly authorized.</w:t>
      </w:r>
    </w:p>
    <w:p>
      <w:pPr>
        <w:spacing w:after="0" w:line="181" w:lineRule="exact"/>
        <w:rPr>
          <w:sz w:val="20"/>
          <w:szCs w:val="20"/>
          <w:color w:val="auto"/>
        </w:rPr>
      </w:pPr>
    </w:p>
    <w:p>
      <w:pPr>
        <w:spacing w:after="0"/>
        <w:tabs>
          <w:tab w:leader="none" w:pos="660" w:val="left"/>
        </w:tabs>
        <w:rPr>
          <w:sz w:val="20"/>
          <w:szCs w:val="20"/>
          <w:color w:val="auto"/>
        </w:rPr>
      </w:pPr>
      <w:r>
        <w:rPr>
          <w:rFonts w:ascii="Arial" w:cs="Arial" w:eastAsia="Arial" w:hAnsi="Arial"/>
          <w:sz w:val="21"/>
          <w:szCs w:val="21"/>
          <w:color w:val="auto"/>
        </w:rPr>
        <w:t>Date:</w:t>
        <w:tab/>
        <w:t>March 27, 2008</w:t>
      </w:r>
    </w:p>
    <w:p>
      <w:pPr>
        <w:spacing w:after="0" w:line="209" w:lineRule="exact"/>
        <w:rPr>
          <w:sz w:val="20"/>
          <w:szCs w:val="20"/>
          <w:color w:val="auto"/>
        </w:rPr>
      </w:pPr>
    </w:p>
    <w:p>
      <w:pPr>
        <w:jc w:val="center"/>
        <w:ind w:right="20"/>
        <w:spacing w:after="0"/>
        <w:rPr>
          <w:sz w:val="20"/>
          <w:szCs w:val="20"/>
          <w:color w:val="auto"/>
        </w:rPr>
      </w:pPr>
      <w:r>
        <w:rPr>
          <w:rFonts w:ascii="Arial" w:cs="Arial" w:eastAsia="Arial" w:hAnsi="Arial"/>
          <w:sz w:val="21"/>
          <w:szCs w:val="21"/>
          <w:color w:val="auto"/>
        </w:rPr>
        <w:t>WYNN RESORTS, LIMITED</w:t>
      </w:r>
    </w:p>
    <w:p>
      <w:pPr>
        <w:spacing w:after="0" w:line="200" w:lineRule="exact"/>
        <w:rPr>
          <w:sz w:val="20"/>
          <w:szCs w:val="20"/>
          <w:color w:val="auto"/>
        </w:rPr>
      </w:pPr>
    </w:p>
    <w:p>
      <w:pPr>
        <w:spacing w:after="0" w:line="221" w:lineRule="exact"/>
        <w:rPr>
          <w:sz w:val="20"/>
          <w:szCs w:val="20"/>
          <w:color w:val="auto"/>
        </w:rPr>
      </w:pPr>
    </w:p>
    <w:p>
      <w:pPr>
        <w:ind w:left="4400"/>
        <w:spacing w:after="0"/>
        <w:tabs>
          <w:tab w:leader="none" w:pos="5500" w:val="left"/>
        </w:tabs>
        <w:rPr>
          <w:sz w:val="20"/>
          <w:szCs w:val="20"/>
          <w:color w:val="auto"/>
        </w:rPr>
      </w:pPr>
      <w:r>
        <w:rPr>
          <w:rFonts w:ascii="Arial" w:cs="Arial" w:eastAsia="Arial" w:hAnsi="Arial"/>
          <w:sz w:val="21"/>
          <w:szCs w:val="21"/>
          <w:color w:val="auto"/>
        </w:rPr>
        <w:t>By:</w:t>
      </w:r>
      <w:r>
        <w:rPr>
          <w:sz w:val="20"/>
          <w:szCs w:val="20"/>
          <w:color w:val="auto"/>
        </w:rPr>
        <w:tab/>
      </w:r>
      <w:r>
        <w:rPr>
          <w:rFonts w:ascii="Arial" w:cs="Arial" w:eastAsia="Arial" w:hAnsi="Arial"/>
          <w:sz w:val="21"/>
          <w:szCs w:val="21"/>
          <w:color w:val="auto"/>
        </w:rPr>
        <w:t>/s/ Kim Sinatra</w:t>
      </w:r>
    </w:p>
    <w:p>
      <w:pPr>
        <w:spacing w:after="0" w:line="30" w:lineRule="exact"/>
        <w:rPr>
          <w:sz w:val="20"/>
          <w:szCs w:val="20"/>
          <w:color w:val="auto"/>
        </w:rPr>
      </w:pPr>
    </w:p>
    <w:p>
      <w:pPr>
        <w:ind w:left="5420"/>
        <w:spacing w:after="0"/>
        <w:rPr>
          <w:sz w:val="20"/>
          <w:szCs w:val="20"/>
          <w:color w:val="auto"/>
        </w:rPr>
      </w:pPr>
      <w:r>
        <w:rPr>
          <w:rFonts w:ascii="Arial" w:cs="Arial" w:eastAsia="Arial" w:hAnsi="Arial"/>
          <w:sz w:val="21"/>
          <w:szCs w:val="21"/>
          <w:color w:val="auto"/>
        </w:rPr>
        <w:t>Kim Sinatra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3439160</wp:posOffset>
            </wp:positionH>
            <wp:positionV relativeFrom="paragraph">
              <wp:posOffset>-151130</wp:posOffset>
            </wp:positionV>
            <wp:extent cx="268605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686050" cy="8255"/>
                    </a:xfrm>
                    <a:prstGeom prst="rect">
                      <a:avLst/>
                    </a:prstGeom>
                    <a:noFill/>
                  </pic:spPr>
                </pic:pic>
              </a:graphicData>
            </a:graphic>
          </wp:anchor>
        </w:drawing>
      </w:r>
    </w:p>
    <w:p>
      <w:pPr>
        <w:ind w:left="5420"/>
        <w:spacing w:after="0"/>
        <w:rPr>
          <w:sz w:val="20"/>
          <w:szCs w:val="20"/>
          <w:color w:val="auto"/>
        </w:rPr>
      </w:pPr>
      <w:r>
        <w:rPr>
          <w:rFonts w:ascii="Arial" w:cs="Arial" w:eastAsia="Arial" w:hAnsi="Arial"/>
          <w:sz w:val="21"/>
          <w:szCs w:val="21"/>
          <w:color w:val="auto"/>
        </w:rPr>
        <w:t>Senior Vice President, General</w:t>
      </w:r>
    </w:p>
    <w:p>
      <w:pPr>
        <w:ind w:left="5620"/>
        <w:spacing w:after="0"/>
        <w:rPr>
          <w:sz w:val="20"/>
          <w:szCs w:val="20"/>
          <w:color w:val="auto"/>
        </w:rPr>
      </w:pPr>
      <w:r>
        <w:rPr>
          <w:rFonts w:ascii="Arial" w:cs="Arial" w:eastAsia="Arial" w:hAnsi="Arial"/>
          <w:sz w:val="21"/>
          <w:szCs w:val="21"/>
          <w:color w:val="auto"/>
        </w:rPr>
        <w:t>Counsel and Secretary</w:t>
      </w:r>
    </w:p>
    <w:p>
      <w:pPr>
        <w:sectPr>
          <w:pgSz w:w="11900" w:h="16838" w:orient="portrait"/>
          <w:cols w:equalWidth="0" w:num="1">
            <w:col w:w="11420"/>
          </w:cols>
          <w:pgMar w:left="240" w:top="497"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21"/>
          <w:szCs w:val="21"/>
          <w:b w:val="1"/>
          <w:bCs w:val="1"/>
          <w:color w:val="auto"/>
        </w:rPr>
        <w:t>Exhibit 10.1</w:t>
      </w: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FIRST AMENDMENT TO EMPLOYMENT AGREEMENT</w:t>
      </w:r>
    </w:p>
    <w:p>
      <w:pPr>
        <w:spacing w:after="0" w:line="200" w:lineRule="exact"/>
        <w:rPr>
          <w:sz w:val="20"/>
          <w:szCs w:val="20"/>
          <w:color w:val="auto"/>
        </w:rPr>
      </w:pPr>
    </w:p>
    <w:p>
      <w:pPr>
        <w:spacing w:after="0" w:line="280" w:lineRule="exact"/>
        <w:rPr>
          <w:sz w:val="20"/>
          <w:szCs w:val="20"/>
          <w:color w:val="auto"/>
        </w:rPr>
      </w:pPr>
    </w:p>
    <w:p>
      <w:pPr>
        <w:ind w:right="340" w:firstLine="1273"/>
        <w:spacing w:after="0" w:line="251" w:lineRule="auto"/>
        <w:rPr>
          <w:sz w:val="20"/>
          <w:szCs w:val="20"/>
          <w:color w:val="auto"/>
        </w:rPr>
      </w:pPr>
      <w:r>
        <w:rPr>
          <w:rFonts w:ascii="Arial" w:cs="Arial" w:eastAsia="Arial" w:hAnsi="Arial"/>
          <w:sz w:val="21"/>
          <w:szCs w:val="21"/>
          <w:color w:val="auto"/>
        </w:rPr>
        <w:t>This First Amendment to Employment Agreement (this “</w:t>
      </w:r>
      <w:r>
        <w:rPr>
          <w:rFonts w:ascii="Arial" w:cs="Arial" w:eastAsia="Arial" w:hAnsi="Arial"/>
          <w:sz w:val="21"/>
          <w:szCs w:val="21"/>
          <w:u w:val="single" w:color="auto"/>
          <w:color w:val="auto"/>
        </w:rPr>
        <w:t>First Amendment</w:t>
      </w:r>
      <w:r>
        <w:rPr>
          <w:rFonts w:ascii="Arial" w:cs="Arial" w:eastAsia="Arial" w:hAnsi="Arial"/>
          <w:sz w:val="21"/>
          <w:szCs w:val="21"/>
          <w:color w:val="auto"/>
        </w:rPr>
        <w:t>”) is made this 26th day of March, 2008, effective March 18, 2008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Wynn Resorts, Limited (“</w:t>
      </w:r>
      <w:r>
        <w:rPr>
          <w:rFonts w:ascii="Arial" w:cs="Arial" w:eastAsia="Arial" w:hAnsi="Arial"/>
          <w:sz w:val="21"/>
          <w:szCs w:val="21"/>
          <w:u w:val="single" w:color="auto"/>
          <w:color w:val="auto"/>
        </w:rPr>
        <w:t>Employer</w:t>
      </w:r>
      <w:r>
        <w:rPr>
          <w:rFonts w:ascii="Arial" w:cs="Arial" w:eastAsia="Arial" w:hAnsi="Arial"/>
          <w:sz w:val="21"/>
          <w:szCs w:val="21"/>
          <w:color w:val="auto"/>
        </w:rPr>
        <w:t>”) and John Strzemp (“</w:t>
      </w:r>
      <w:r>
        <w:rPr>
          <w:rFonts w:ascii="Arial" w:cs="Arial" w:eastAsia="Arial" w:hAnsi="Arial"/>
          <w:sz w:val="21"/>
          <w:szCs w:val="21"/>
          <w:u w:val="single" w:color="auto"/>
          <w:color w:val="auto"/>
        </w:rPr>
        <w:t>Employee</w:t>
      </w:r>
      <w:r>
        <w:rPr>
          <w:rFonts w:ascii="Arial" w:cs="Arial" w:eastAsia="Arial" w:hAnsi="Arial"/>
          <w:sz w:val="21"/>
          <w:szCs w:val="21"/>
          <w:color w:val="auto"/>
        </w:rPr>
        <w: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Recitals</w:t>
      </w:r>
    </w:p>
    <w:p>
      <w:pPr>
        <w:spacing w:after="0" w:line="236" w:lineRule="exact"/>
        <w:rPr>
          <w:sz w:val="20"/>
          <w:szCs w:val="20"/>
          <w:color w:val="auto"/>
        </w:rPr>
      </w:pPr>
    </w:p>
    <w:p>
      <w:pPr>
        <w:ind w:right="620"/>
        <w:spacing w:after="0" w:line="266" w:lineRule="auto"/>
        <w:rPr>
          <w:sz w:val="20"/>
          <w:szCs w:val="20"/>
          <w:color w:val="auto"/>
        </w:rPr>
      </w:pPr>
      <w:r>
        <w:rPr>
          <w:rFonts w:ascii="Arial" w:cs="Arial" w:eastAsia="Arial" w:hAnsi="Arial"/>
          <w:sz w:val="21"/>
          <w:szCs w:val="21"/>
          <w:color w:val="auto"/>
        </w:rPr>
        <w:t>Whereas, Employer and Employee are party to that certain Employment Agreement dated as of August 31, 2005 (the “</w:t>
      </w:r>
      <w:r>
        <w:rPr>
          <w:rFonts w:ascii="Arial" w:cs="Arial" w:eastAsia="Arial" w:hAnsi="Arial"/>
          <w:sz w:val="21"/>
          <w:szCs w:val="21"/>
          <w:u w:val="single" w:color="auto"/>
          <w:color w:val="auto"/>
        </w:rPr>
        <w:t>Existing</w:t>
      </w:r>
      <w:r>
        <w:rPr>
          <w:rFonts w:ascii="Arial" w:cs="Arial" w:eastAsia="Arial" w:hAnsi="Arial"/>
          <w:sz w:val="21"/>
          <w:szCs w:val="21"/>
          <w:color w:val="auto"/>
        </w:rPr>
        <w:t xml:space="preserve"> </w:t>
      </w:r>
      <w:r>
        <w:rPr>
          <w:rFonts w:ascii="Arial" w:cs="Arial" w:eastAsia="Arial" w:hAnsi="Arial"/>
          <w:sz w:val="21"/>
          <w:szCs w:val="21"/>
          <w:u w:val="single" w:color="auto"/>
          <w:color w:val="auto"/>
        </w:rPr>
        <w:t>Agreement</w:t>
      </w:r>
      <w:r>
        <w:rPr>
          <w:rFonts w:ascii="Arial" w:cs="Arial" w:eastAsia="Arial" w:hAnsi="Arial"/>
          <w:sz w:val="21"/>
          <w:szCs w:val="21"/>
          <w:color w:val="auto"/>
        </w:rPr>
        <w:t>”); and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Whereas, Employer and Employee have agreed to modify the Existing Agreement as set forth herein.</w:t>
      </w:r>
    </w:p>
    <w:p>
      <w:pPr>
        <w:spacing w:after="0" w:line="236" w:lineRule="exact"/>
        <w:rPr>
          <w:sz w:val="20"/>
          <w:szCs w:val="20"/>
          <w:color w:val="auto"/>
        </w:rPr>
      </w:pPr>
    </w:p>
    <w:p>
      <w:pPr>
        <w:ind w:right="700"/>
        <w:spacing w:after="0" w:line="251" w:lineRule="auto"/>
        <w:rPr>
          <w:sz w:val="20"/>
          <w:szCs w:val="20"/>
          <w:color w:val="auto"/>
        </w:rPr>
      </w:pPr>
      <w:r>
        <w:rPr>
          <w:rFonts w:ascii="Arial" w:cs="Arial" w:eastAsia="Arial" w:hAnsi="Arial"/>
          <w:sz w:val="21"/>
          <w:szCs w:val="21"/>
          <w:color w:val="auto"/>
        </w:rPr>
        <w:t>Now therefore, for and in consideration of the foregoing recitals, and in consideration of the mutual covenants, agreements, understandings, undertakings, representations, warranties and promises hereinafter set forth, and intending to be legally bound thereby, Employer and Employee agree as follows:</w:t>
      </w:r>
    </w:p>
    <w:p>
      <w:pPr>
        <w:spacing w:after="0" w:line="197" w:lineRule="exact"/>
        <w:rPr>
          <w:sz w:val="20"/>
          <w:szCs w:val="20"/>
          <w:color w:val="auto"/>
        </w:rPr>
      </w:pPr>
    </w:p>
    <w:p>
      <w:pPr>
        <w:ind w:left="1280" w:right="600" w:hanging="638"/>
        <w:spacing w:after="0" w:line="319" w:lineRule="auto"/>
        <w:tabs>
          <w:tab w:leader="none" w:pos="1280" w:val="left"/>
        </w:tabs>
        <w:numPr>
          <w:ilvl w:val="0"/>
          <w:numId w:val="1"/>
        </w:numPr>
        <w:rPr>
          <w:rFonts w:ascii="Arial" w:cs="Arial" w:eastAsia="Arial" w:hAnsi="Arial"/>
          <w:sz w:val="19"/>
          <w:szCs w:val="19"/>
          <w:color w:val="auto"/>
        </w:rPr>
      </w:pPr>
      <w:r>
        <w:rPr>
          <w:rFonts w:ascii="Arial" w:cs="Arial" w:eastAsia="Arial" w:hAnsi="Arial"/>
          <w:sz w:val="19"/>
          <w:szCs w:val="19"/>
          <w:u w:val="single" w:color="auto"/>
          <w:color w:val="auto"/>
        </w:rPr>
        <w:t>Promotion</w:t>
      </w:r>
      <w:r>
        <w:rPr>
          <w:rFonts w:ascii="Arial" w:cs="Arial" w:eastAsia="Arial" w:hAnsi="Arial"/>
          <w:sz w:val="19"/>
          <w:szCs w:val="19"/>
          <w:color w:val="auto"/>
        </w:rPr>
        <w:t>. As of the Effective Date, Employee has been promoted to Executive Vice President and Chief Administrative Officer of Employer and Section 4 of the Existing Agreement is modified to reflect such change.</w:t>
      </w:r>
    </w:p>
    <w:p>
      <w:pPr>
        <w:spacing w:after="0" w:line="135" w:lineRule="exact"/>
        <w:rPr>
          <w:rFonts w:ascii="Arial" w:cs="Arial" w:eastAsia="Arial" w:hAnsi="Arial"/>
          <w:sz w:val="19"/>
          <w:szCs w:val="19"/>
          <w:color w:val="auto"/>
        </w:rPr>
      </w:pPr>
    </w:p>
    <w:p>
      <w:pPr>
        <w:ind w:left="1280" w:right="440" w:hanging="638"/>
        <w:spacing w:after="0" w:line="266" w:lineRule="auto"/>
        <w:tabs>
          <w:tab w:leader="none" w:pos="1280"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Section 6 of the Existing Agreement is modified to provide that the Term shall be extended until March 31. 2009.</w:t>
      </w:r>
    </w:p>
    <w:p>
      <w:pPr>
        <w:spacing w:after="0" w:line="180" w:lineRule="exact"/>
        <w:rPr>
          <w:rFonts w:ascii="Arial" w:cs="Arial" w:eastAsia="Arial" w:hAnsi="Arial"/>
          <w:sz w:val="21"/>
          <w:szCs w:val="21"/>
          <w:color w:val="auto"/>
        </w:rPr>
      </w:pPr>
    </w:p>
    <w:p>
      <w:pPr>
        <w:ind w:left="1280" w:right="480" w:hanging="638"/>
        <w:spacing w:after="0" w:line="266" w:lineRule="auto"/>
        <w:tabs>
          <w:tab w:leader="none" w:pos="1280"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Bonus Compensation</w:t>
      </w:r>
      <w:r>
        <w:rPr>
          <w:rFonts w:ascii="Arial" w:cs="Arial" w:eastAsia="Arial" w:hAnsi="Arial"/>
          <w:sz w:val="21"/>
          <w:szCs w:val="21"/>
          <w:color w:val="auto"/>
        </w:rPr>
        <w:t>. Employer has agreed that Employee shall continue his participation in Employer’s Annual Performance Based Incentive Plan for 2008.</w:t>
      </w:r>
    </w:p>
    <w:p>
      <w:pPr>
        <w:spacing w:after="0" w:line="180" w:lineRule="exact"/>
        <w:rPr>
          <w:rFonts w:ascii="Arial" w:cs="Arial" w:eastAsia="Arial" w:hAnsi="Arial"/>
          <w:sz w:val="21"/>
          <w:szCs w:val="21"/>
          <w:color w:val="auto"/>
        </w:rPr>
      </w:pPr>
    </w:p>
    <w:p>
      <w:pPr>
        <w:ind w:left="1280" w:right="600" w:hanging="638"/>
        <w:spacing w:after="0" w:line="266" w:lineRule="auto"/>
        <w:tabs>
          <w:tab w:leader="none" w:pos="1280" w:val="left"/>
        </w:tabs>
        <w:numPr>
          <w:ilvl w:val="0"/>
          <w:numId w:val="1"/>
        </w:numPr>
        <w:rPr>
          <w:rFonts w:ascii="Arial" w:cs="Arial" w:eastAsia="Arial" w:hAnsi="Arial"/>
          <w:sz w:val="21"/>
          <w:szCs w:val="21"/>
          <w:color w:val="auto"/>
        </w:rPr>
      </w:pPr>
      <w:r>
        <w:rPr>
          <w:rFonts w:ascii="Arial" w:cs="Arial" w:eastAsia="Arial" w:hAnsi="Arial"/>
          <w:sz w:val="21"/>
          <w:szCs w:val="21"/>
          <w:u w:val="single" w:color="auto"/>
          <w:color w:val="auto"/>
        </w:rPr>
        <w:t>Ratification</w:t>
      </w:r>
      <w:r>
        <w:rPr>
          <w:rFonts w:ascii="Arial" w:cs="Arial" w:eastAsia="Arial" w:hAnsi="Arial"/>
          <w:sz w:val="21"/>
          <w:szCs w:val="21"/>
          <w:color w:val="auto"/>
        </w:rPr>
        <w:t>. Other than as modified hereby, the terms and conditions of the Existing Agreement are ratified and confirmed.</w:t>
      </w:r>
    </w:p>
    <w:p>
      <w:pPr>
        <w:spacing w:after="0" w:line="181" w:lineRule="exact"/>
        <w:rPr>
          <w:sz w:val="20"/>
          <w:szCs w:val="20"/>
          <w:color w:val="auto"/>
        </w:rPr>
      </w:pPr>
    </w:p>
    <w:p>
      <w:pPr>
        <w:spacing w:after="0"/>
        <w:rPr>
          <w:sz w:val="20"/>
          <w:szCs w:val="20"/>
          <w:color w:val="auto"/>
        </w:rPr>
      </w:pPr>
      <w:r>
        <w:rPr>
          <w:rFonts w:ascii="Arial" w:cs="Arial" w:eastAsia="Arial" w:hAnsi="Arial"/>
          <w:sz w:val="21"/>
          <w:szCs w:val="21"/>
          <w:color w:val="auto"/>
        </w:rPr>
        <w:t>In witness whereof, the parties have executed and delivered this First Amendment effective on the Effective Date.</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71"/>
        </w:trPr>
        <w:tc>
          <w:tcPr>
            <w:tcW w:w="4140" w:type="dxa"/>
            <w:vAlign w:val="bottom"/>
          </w:tcPr>
          <w:p>
            <w:pPr>
              <w:spacing w:after="0"/>
              <w:rPr>
                <w:sz w:val="20"/>
                <w:szCs w:val="20"/>
                <w:color w:val="auto"/>
              </w:rPr>
            </w:pPr>
            <w:r>
              <w:rPr>
                <w:rFonts w:ascii="Arial" w:cs="Arial" w:eastAsia="Arial" w:hAnsi="Arial"/>
                <w:sz w:val="21"/>
                <w:szCs w:val="21"/>
                <w:color w:val="auto"/>
              </w:rPr>
              <w:t>Wynn Resorts, Limited</w:t>
            </w:r>
          </w:p>
        </w:tc>
        <w:tc>
          <w:tcPr>
            <w:tcW w:w="5840" w:type="dxa"/>
            <w:vAlign w:val="bottom"/>
            <w:gridSpan w:val="2"/>
          </w:tcPr>
          <w:p>
            <w:pPr>
              <w:ind w:left="1280"/>
              <w:spacing w:after="0"/>
              <w:rPr>
                <w:sz w:val="20"/>
                <w:szCs w:val="20"/>
                <w:color w:val="auto"/>
              </w:rPr>
            </w:pPr>
            <w:r>
              <w:rPr>
                <w:rFonts w:ascii="Arial" w:cs="Arial" w:eastAsia="Arial" w:hAnsi="Arial"/>
                <w:sz w:val="21"/>
                <w:szCs w:val="21"/>
                <w:color w:val="auto"/>
              </w:rPr>
              <w:t>Employee</w:t>
            </w:r>
          </w:p>
        </w:tc>
      </w:tr>
      <w:tr>
        <w:trPr>
          <w:trHeight w:val="864"/>
        </w:trPr>
        <w:tc>
          <w:tcPr>
            <w:tcW w:w="4140" w:type="dxa"/>
            <w:vAlign w:val="bottom"/>
            <w:tcBorders>
              <w:bottom w:val="single" w:sz="8" w:color="auto"/>
            </w:tcBorders>
          </w:tcPr>
          <w:p>
            <w:pPr>
              <w:spacing w:after="0"/>
              <w:rPr>
                <w:sz w:val="20"/>
                <w:szCs w:val="20"/>
                <w:color w:val="auto"/>
              </w:rPr>
            </w:pPr>
            <w:r>
              <w:rPr>
                <w:rFonts w:ascii="Arial" w:cs="Arial" w:eastAsia="Arial" w:hAnsi="Arial"/>
                <w:sz w:val="21"/>
                <w:szCs w:val="21"/>
                <w:color w:val="auto"/>
              </w:rPr>
              <w:t>By: /s/ Marc D. Schorr</w:t>
            </w:r>
          </w:p>
        </w:tc>
        <w:tc>
          <w:tcPr>
            <w:tcW w:w="1280" w:type="dxa"/>
            <w:vAlign w:val="bottom"/>
          </w:tcPr>
          <w:p>
            <w:pPr>
              <w:spacing w:after="0"/>
              <w:rPr>
                <w:sz w:val="24"/>
                <w:szCs w:val="24"/>
                <w:color w:val="auto"/>
              </w:rPr>
            </w:pPr>
          </w:p>
        </w:tc>
        <w:tc>
          <w:tcPr>
            <w:tcW w:w="4560" w:type="dxa"/>
            <w:vAlign w:val="bottom"/>
            <w:tcBorders>
              <w:bottom w:val="single" w:sz="8" w:color="auto"/>
            </w:tcBorders>
          </w:tcPr>
          <w:p>
            <w:pPr>
              <w:ind w:left="100"/>
              <w:spacing w:after="0"/>
              <w:rPr>
                <w:sz w:val="20"/>
                <w:szCs w:val="20"/>
                <w:color w:val="auto"/>
              </w:rPr>
            </w:pPr>
            <w:r>
              <w:rPr>
                <w:rFonts w:ascii="Arial" w:cs="Arial" w:eastAsia="Arial" w:hAnsi="Arial"/>
                <w:sz w:val="21"/>
                <w:szCs w:val="21"/>
                <w:color w:val="auto"/>
              </w:rPr>
              <w:t>/s/ John Strzemp</w:t>
            </w:r>
          </w:p>
        </w:tc>
      </w:tr>
      <w:tr>
        <w:trPr>
          <w:trHeight w:val="211"/>
        </w:trPr>
        <w:tc>
          <w:tcPr>
            <w:tcW w:w="4140" w:type="dxa"/>
            <w:vAlign w:val="bottom"/>
          </w:tcPr>
          <w:p>
            <w:pPr>
              <w:spacing w:after="0" w:line="211" w:lineRule="exact"/>
              <w:rPr>
                <w:sz w:val="20"/>
                <w:szCs w:val="20"/>
                <w:color w:val="auto"/>
              </w:rPr>
            </w:pPr>
            <w:r>
              <w:rPr>
                <w:rFonts w:ascii="Arial" w:cs="Arial" w:eastAsia="Arial" w:hAnsi="Arial"/>
                <w:sz w:val="21"/>
                <w:szCs w:val="21"/>
                <w:color w:val="auto"/>
              </w:rPr>
              <w:t>Name: Marc D. Schorr</w:t>
            </w:r>
          </w:p>
        </w:tc>
        <w:tc>
          <w:tcPr>
            <w:tcW w:w="1280" w:type="dxa"/>
            <w:vAlign w:val="bottom"/>
          </w:tcPr>
          <w:p>
            <w:pPr>
              <w:spacing w:after="0"/>
              <w:rPr>
                <w:sz w:val="18"/>
                <w:szCs w:val="18"/>
                <w:color w:val="auto"/>
              </w:rPr>
            </w:pPr>
          </w:p>
        </w:tc>
        <w:tc>
          <w:tcPr>
            <w:tcW w:w="4560" w:type="dxa"/>
            <w:vAlign w:val="bottom"/>
          </w:tcPr>
          <w:p>
            <w:pPr>
              <w:ind w:left="100"/>
              <w:spacing w:after="0" w:line="211" w:lineRule="exact"/>
              <w:rPr>
                <w:sz w:val="20"/>
                <w:szCs w:val="20"/>
                <w:color w:val="auto"/>
              </w:rPr>
            </w:pPr>
            <w:r>
              <w:rPr>
                <w:rFonts w:ascii="Arial" w:cs="Arial" w:eastAsia="Arial" w:hAnsi="Arial"/>
                <w:sz w:val="21"/>
                <w:szCs w:val="21"/>
                <w:color w:val="auto"/>
              </w:rPr>
              <w:t>John Strzemp</w:t>
            </w:r>
          </w:p>
        </w:tc>
      </w:tr>
      <w:tr>
        <w:trPr>
          <w:trHeight w:val="271"/>
        </w:trPr>
        <w:tc>
          <w:tcPr>
            <w:tcW w:w="4140" w:type="dxa"/>
            <w:vAlign w:val="bottom"/>
          </w:tcPr>
          <w:p>
            <w:pPr>
              <w:spacing w:after="0"/>
              <w:rPr>
                <w:sz w:val="20"/>
                <w:szCs w:val="20"/>
                <w:color w:val="auto"/>
              </w:rPr>
            </w:pPr>
            <w:r>
              <w:rPr>
                <w:rFonts w:ascii="Arial" w:cs="Arial" w:eastAsia="Arial" w:hAnsi="Arial"/>
                <w:sz w:val="21"/>
                <w:szCs w:val="21"/>
                <w:color w:val="auto"/>
              </w:rPr>
              <w:t>Title: Chief Operating Officer</w:t>
            </w:r>
          </w:p>
        </w:tc>
        <w:tc>
          <w:tcPr>
            <w:tcW w:w="1280" w:type="dxa"/>
            <w:vAlign w:val="bottom"/>
          </w:tcPr>
          <w:p>
            <w:pPr>
              <w:spacing w:after="0"/>
              <w:rPr>
                <w:sz w:val="23"/>
                <w:szCs w:val="23"/>
                <w:color w:val="auto"/>
              </w:rPr>
            </w:pPr>
          </w:p>
        </w:tc>
        <w:tc>
          <w:tcPr>
            <w:tcW w:w="4560" w:type="dxa"/>
            <w:vAlign w:val="bottom"/>
          </w:tcPr>
          <w:p>
            <w:pPr>
              <w:spacing w:after="0"/>
              <w:rPr>
                <w:sz w:val="23"/>
                <w:szCs w:val="23"/>
                <w:color w:val="auto"/>
              </w:rPr>
            </w:pPr>
          </w:p>
        </w:tc>
      </w:tr>
    </w:tbl>
    <w:p>
      <w:pPr>
        <w:spacing w:after="0" w:line="1" w:lineRule="exact"/>
        <w:rPr>
          <w:sz w:val="20"/>
          <w:szCs w:val="20"/>
          <w:color w:val="auto"/>
        </w:rPr>
      </w:pPr>
    </w:p>
    <w:sectPr>
      <w:pgSz w:w="11900" w:h="16838" w:orient="portrait"/>
      <w:cols w:equalWidth="0" w:num="1">
        <w:col w:w="11420"/>
      </w:cols>
      <w:pgMar w:left="240" w:top="58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decimal"/>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2019-12-11T15:48:34Z</dcterms:created>
  <dcterms:modified xsi:type="dcterms:W3CDTF">2019-12-11T15:48:34Z</dcterms:modified>
</cp:coreProperties>
</file>