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May 6, 2026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center"/>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60" w:type="dxa"/>
        <w:jc w:val="left"/>
        <w:tblInd w:w="0" w:type="dxa"/>
        <w:tblLayout w:type="fixed"/>
        <w:tblCellMar>
          <w:top w:w="28" w:type="dxa"/>
          <w:left w:w="28" w:type="dxa"/>
          <w:bottom w:w="28" w:type="dxa"/>
          <w:right w:w="28" w:type="dxa"/>
        </w:tblCellMar>
      </w:tblPr>
      <w:tblGrid>
        <w:gridCol w:w="332"/>
        <w:gridCol w:w="291"/>
        <w:gridCol w:w="293"/>
        <w:gridCol w:w="1329"/>
        <w:gridCol w:w="1329"/>
        <w:gridCol w:w="188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6, 2026, Wynn Resorts, Limited (the "Company") held its 2026 Annual Meeting of Shareholders (the "Annual Meeting"). The proposals voted upon at the Annual Meeting and the final results of the shareholder vote on each proposal, as certified by American Election Services, LLC, the independent inspector of elections for the Annual Meeting, were as follows: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Proposal 1: Election of Directors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elect three Class III directors, each to serve until the 2029 Annual Meeting of Shareholders:</w:t>
      </w:r>
    </w:p>
    <w:tbl>
      <w:tblPr>
        <w:tblW w:w="8387" w:type="dxa"/>
        <w:jc w:val="center"/>
        <w:tblInd w:w="0" w:type="dxa"/>
        <w:tblLayout w:type="fixed"/>
        <w:tblCellMar>
          <w:top w:w="28" w:type="dxa"/>
          <w:left w:w="28" w:type="dxa"/>
          <w:bottom w:w="28" w:type="dxa"/>
          <w:right w:w="28" w:type="dxa"/>
        </w:tblCellMar>
      </w:tblPr>
      <w:tblGrid>
        <w:gridCol w:w="618"/>
        <w:gridCol w:w="544"/>
        <w:gridCol w:w="548"/>
        <w:gridCol w:w="109"/>
        <w:gridCol w:w="109"/>
        <w:gridCol w:w="109"/>
        <w:gridCol w:w="344"/>
        <w:gridCol w:w="344"/>
        <w:gridCol w:w="348"/>
        <w:gridCol w:w="109"/>
        <w:gridCol w:w="109"/>
        <w:gridCol w:w="109"/>
        <w:gridCol w:w="419"/>
        <w:gridCol w:w="419"/>
        <w:gridCol w:w="421"/>
        <w:gridCol w:w="109"/>
        <w:gridCol w:w="109"/>
        <w:gridCol w:w="109"/>
        <w:gridCol w:w="464"/>
        <w:gridCol w:w="464"/>
        <w:gridCol w:w="466"/>
        <w:gridCol w:w="109"/>
        <w:gridCol w:w="109"/>
        <w:gridCol w:w="109"/>
        <w:gridCol w:w="492"/>
        <w:gridCol w:w="492"/>
        <w:gridCol w:w="69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 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Byrne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68,836,362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4,473,197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21,491,023</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Mulroy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69,670,731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3,637,266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21,491,023</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Satre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72,592,989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716,387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21,491,023</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Proposal 2: Ratification of Appointment of Independent Auditors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ratify the Audit Committee’s appointment of Ernst &amp; Young LLP as the Company’s independent registered public accounting firm for the fiscal year ending December 31, 2026:</w:t>
      </w:r>
    </w:p>
    <w:tbl>
      <w:tblPr>
        <w:tblW w:w="572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250"/>
        <w:gridCol w:w="250"/>
        <w:gridCol w:w="25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94,195,611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Proposal 3: Advisory Vote to Approve the Compensation of Named Executive Officers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approve, on a non-binding advisory basis, the compensation of the Company’s named executive officers as described in the Proxy Statement:</w:t>
      </w:r>
    </w:p>
    <w:p>
      <w:pPr>
        <w:pStyle w:val="TextBody"/>
        <w:bidi w:val="0"/>
        <w:spacing w:before="0" w:after="0"/>
        <w:jc w:val="left"/>
        <w:rPr/>
      </w:pPr>
      <w:r>
        <w:rPr/>
      </w:r>
    </w:p>
    <w:tbl>
      <w:tblPr>
        <w:tblW w:w="572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250"/>
        <w:gridCol w:w="250"/>
        <w:gridCol w:w="25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72,160,013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1,102,273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77,294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21,491,023</w:t>
            </w:r>
          </w:p>
        </w:tc>
      </w:tr>
    </w:tbl>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Proposal 4: Third Amended and Restated 2014 Omnibus Incentive Plan Approval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approve an amendment and restatement of the Company's amended and restated 2014 Omnibus Incentive Plan to increase the authorized shares by 3,000,000 shares:</w:t>
      </w:r>
    </w:p>
    <w:p>
      <w:pPr>
        <w:pStyle w:val="TextBody"/>
        <w:bidi w:val="0"/>
        <w:spacing w:before="0" w:after="0"/>
        <w:ind w:left="0" w:right="0" w:firstLine="720"/>
        <w:jc w:val="left"/>
        <w:rPr/>
      </w:pPr>
      <w:r>
        <w:rPr/>
      </w:r>
    </w:p>
    <w:tbl>
      <w:tblPr>
        <w:tblW w:w="572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250"/>
        <w:gridCol w:w="250"/>
        <w:gridCol w:w="25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72,621,437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640,398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77,745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21,491,023</w:t>
            </w:r>
          </w:p>
        </w:tc>
      </w:tr>
    </w:tbl>
    <w:p>
      <w:pPr>
        <w:pStyle w:val="TextBody"/>
        <w:bidi w:val="0"/>
        <w:spacing w:before="0" w:after="0"/>
        <w:ind w:left="0" w:right="0" w:firstLine="540"/>
        <w:jc w:val="both"/>
        <w:rPr/>
      </w:pPr>
      <w:r>
        <w:rPr/>
      </w:r>
    </w:p>
    <w:p>
      <w:pPr>
        <w:pStyle w:val="TextBody"/>
        <w:bidi w:val="0"/>
        <w:spacing w:before="0" w:after="0"/>
        <w:jc w:val="both"/>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417"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134"/>
        <w:gridCol w:w="134"/>
        <w:gridCol w:w="136"/>
        <w:gridCol w:w="109"/>
        <w:gridCol w:w="109"/>
        <w:gridCol w:w="109"/>
        <w:gridCol w:w="1352"/>
        <w:gridCol w:w="1352"/>
        <w:gridCol w:w="1915"/>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Jacqui Krum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Jacqui Krum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&amp; Secretary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495"/>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3433</Characters>
  <CharactersWithSpaces>4000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