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372110</wp:posOffset>
            </wp:positionV>
            <wp:extent cx="2840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226695</wp:posOffset>
            </wp:positionV>
            <wp:extent cx="2840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February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248285</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5" w:lineRule="exact"/>
        <w:rPr>
          <w:sz w:val="24"/>
          <w:szCs w:val="24"/>
          <w:color w:val="auto"/>
        </w:rPr>
      </w:pPr>
    </w:p>
    <w:tbl>
      <w:tblPr>
        <w:tblLayout w:type="fixed"/>
        <w:tblInd w:w="1360" w:type="dxa"/>
        <w:tblCellMar>
          <w:top w:w="0" w:type="dxa"/>
          <w:left w:w="0" w:type="dxa"/>
          <w:bottom w:w="0" w:type="dxa"/>
          <w:right w:w="0" w:type="dxa"/>
        </w:tblCellMar>
      </w:tblPr>
      <w:tr>
        <w:trPr>
          <w:trHeight w:val="228"/>
        </w:trPr>
        <w:tc>
          <w:tcPr>
            <w:tcW w:w="2560" w:type="dxa"/>
            <w:vAlign w:val="bottom"/>
          </w:tcPr>
          <w:p>
            <w:pPr>
              <w:jc w:val="center"/>
              <w:ind w:right="21"/>
              <w:spacing w:after="0"/>
              <w:rPr>
                <w:sz w:val="20"/>
                <w:szCs w:val="20"/>
                <w:color w:val="auto"/>
              </w:rPr>
            </w:pPr>
            <w:r>
              <w:rPr>
                <w:rFonts w:ascii="Arial" w:cs="Arial" w:eastAsia="Arial" w:hAnsi="Arial"/>
                <w:sz w:val="18"/>
                <w:szCs w:val="18"/>
                <w:b w:val="1"/>
                <w:bCs w:val="1"/>
                <w:color w:val="auto"/>
                <w:w w:val="90"/>
              </w:rPr>
              <w:t>Nevada</w:t>
            </w:r>
          </w:p>
        </w:tc>
        <w:tc>
          <w:tcPr>
            <w:tcW w:w="37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20" w:type="dxa"/>
            <w:vAlign w:val="bottom"/>
          </w:tcPr>
          <w:p>
            <w:pPr>
              <w:jc w:val="right"/>
              <w:ind w:right="43"/>
              <w:spacing w:after="0"/>
              <w:rPr>
                <w:sz w:val="20"/>
                <w:szCs w:val="20"/>
                <w:color w:val="auto"/>
              </w:rPr>
            </w:pPr>
            <w:r>
              <w:rPr>
                <w:rFonts w:ascii="Arial" w:cs="Arial" w:eastAsia="Arial" w:hAnsi="Arial"/>
                <w:sz w:val="18"/>
                <w:szCs w:val="18"/>
                <w:b w:val="1"/>
                <w:bCs w:val="1"/>
                <w:color w:val="auto"/>
              </w:rPr>
              <w:t>46-0484987</w:t>
            </w:r>
          </w:p>
        </w:tc>
      </w:tr>
      <w:tr>
        <w:trPr>
          <w:trHeight w:val="185"/>
        </w:trPr>
        <w:tc>
          <w:tcPr>
            <w:tcW w:w="2560" w:type="dxa"/>
            <w:vAlign w:val="bottom"/>
          </w:tcPr>
          <w:p>
            <w:pPr>
              <w:jc w:val="center"/>
              <w:ind w:right="1"/>
              <w:spacing w:after="0"/>
              <w:rPr>
                <w:sz w:val="20"/>
                <w:szCs w:val="20"/>
                <w:color w:val="auto"/>
              </w:rPr>
            </w:pPr>
            <w:r>
              <w:rPr>
                <w:rFonts w:ascii="Arial" w:cs="Arial" w:eastAsia="Arial" w:hAnsi="Arial"/>
                <w:sz w:val="14"/>
                <w:szCs w:val="14"/>
                <w:b w:val="1"/>
                <w:bCs w:val="1"/>
                <w:color w:val="auto"/>
                <w:w w:val="91"/>
              </w:rPr>
              <w:t>(State or other jurisdiction</w:t>
            </w:r>
          </w:p>
        </w:tc>
        <w:tc>
          <w:tcPr>
            <w:tcW w:w="3700" w:type="dxa"/>
            <w:vAlign w:val="bottom"/>
          </w:tcPr>
          <w:p>
            <w:pPr>
              <w:ind w:left="1240"/>
              <w:spacing w:after="0"/>
              <w:rPr>
                <w:sz w:val="20"/>
                <w:szCs w:val="20"/>
                <w:color w:val="auto"/>
              </w:rPr>
            </w:pPr>
            <w:r>
              <w:rPr>
                <w:rFonts w:ascii="Arial" w:cs="Arial" w:eastAsia="Arial" w:hAnsi="Arial"/>
                <w:sz w:val="14"/>
                <w:szCs w:val="14"/>
                <w:b w:val="1"/>
                <w:bCs w:val="1"/>
                <w:color w:val="auto"/>
              </w:rPr>
              <w:t>(Commission</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4"/>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7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Identification No.)</w:t>
            </w:r>
          </w:p>
        </w:tc>
      </w:tr>
      <w:tr>
        <w:trPr>
          <w:trHeight w:val="259"/>
        </w:trPr>
        <w:tc>
          <w:tcPr>
            <w:tcW w:w="2560" w:type="dxa"/>
            <w:vAlign w:val="bottom"/>
          </w:tcPr>
          <w:p>
            <w:pPr>
              <w:jc w:val="center"/>
              <w:ind w:right="21"/>
              <w:spacing w:after="0"/>
              <w:rPr>
                <w:sz w:val="20"/>
                <w:szCs w:val="20"/>
                <w:color w:val="auto"/>
              </w:rPr>
            </w:pPr>
            <w:r>
              <w:rPr>
                <w:rFonts w:ascii="Arial" w:cs="Arial" w:eastAsia="Arial" w:hAnsi="Arial"/>
                <w:sz w:val="18"/>
                <w:szCs w:val="18"/>
                <w:b w:val="1"/>
                <w:bCs w:val="1"/>
                <w:color w:val="auto"/>
                <w:w w:val="86"/>
              </w:rPr>
              <w:t>3131 Las Vegas Boulevard South</w:t>
            </w:r>
          </w:p>
        </w:tc>
        <w:tc>
          <w:tcPr>
            <w:tcW w:w="37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0"/>
        </w:trPr>
        <w:tc>
          <w:tcPr>
            <w:tcW w:w="256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700" w:type="dxa"/>
            <w:vAlign w:val="bottom"/>
          </w:tcPr>
          <w:p>
            <w:pPr>
              <w:spacing w:after="0"/>
              <w:rPr>
                <w:sz w:val="19"/>
                <w:szCs w:val="19"/>
                <w:color w:val="auto"/>
              </w:rPr>
            </w:pPr>
          </w:p>
        </w:tc>
        <w:tc>
          <w:tcPr>
            <w:tcW w:w="1520" w:type="dxa"/>
            <w:vAlign w:val="bottom"/>
          </w:tcPr>
          <w:p>
            <w:pPr>
              <w:jc w:val="right"/>
              <w:ind w:right="243"/>
              <w:spacing w:after="0"/>
              <w:rPr>
                <w:sz w:val="20"/>
                <w:szCs w:val="20"/>
                <w:color w:val="auto"/>
              </w:rPr>
            </w:pPr>
            <w:r>
              <w:rPr>
                <w:rFonts w:ascii="Arial" w:cs="Arial" w:eastAsia="Arial" w:hAnsi="Arial"/>
                <w:sz w:val="18"/>
                <w:szCs w:val="18"/>
                <w:b w:val="1"/>
                <w:bCs w:val="1"/>
                <w:color w:val="auto"/>
              </w:rPr>
              <w:t>89109</w:t>
            </w:r>
          </w:p>
        </w:tc>
      </w:tr>
      <w:tr>
        <w:trPr>
          <w:trHeight w:val="196"/>
        </w:trPr>
        <w:tc>
          <w:tcPr>
            <w:tcW w:w="2560" w:type="dxa"/>
            <w:vAlign w:val="bottom"/>
          </w:tcPr>
          <w:p>
            <w:pPr>
              <w:jc w:val="center"/>
              <w:ind w:right="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700" w:type="dxa"/>
            <w:vAlign w:val="bottom"/>
          </w:tcPr>
          <w:p>
            <w:pPr>
              <w:spacing w:after="0"/>
              <w:rPr>
                <w:sz w:val="17"/>
                <w:szCs w:val="17"/>
                <w:color w:val="auto"/>
              </w:rPr>
            </w:pP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5"/>
              </w:rPr>
              <w:t>(Zip Code)</w:t>
            </w:r>
          </w:p>
        </w:tc>
      </w:tr>
      <w:tr>
        <w:trPr>
          <w:trHeight w:val="712"/>
        </w:trPr>
        <w:tc>
          <w:tcPr>
            <w:tcW w:w="2560" w:type="dxa"/>
            <w:vAlign w:val="bottom"/>
          </w:tcPr>
          <w:p>
            <w:pPr>
              <w:spacing w:after="0"/>
              <w:rPr>
                <w:sz w:val="24"/>
                <w:szCs w:val="24"/>
                <w:color w:val="auto"/>
              </w:rPr>
            </w:pPr>
          </w:p>
        </w:tc>
        <w:tc>
          <w:tcPr>
            <w:tcW w:w="3700" w:type="dxa"/>
            <w:vAlign w:val="bottom"/>
          </w:tcPr>
          <w:p>
            <w:pPr>
              <w:jc w:val="right"/>
              <w:ind w:right="1363"/>
              <w:spacing w:after="0"/>
              <w:rPr>
                <w:sz w:val="20"/>
                <w:szCs w:val="20"/>
                <w:color w:val="auto"/>
              </w:rPr>
            </w:pPr>
            <w:r>
              <w:rPr>
                <w:rFonts w:ascii="Arial" w:cs="Arial" w:eastAsia="Arial" w:hAnsi="Arial"/>
                <w:sz w:val="18"/>
                <w:szCs w:val="18"/>
                <w:b w:val="1"/>
                <w:bCs w:val="1"/>
                <w:color w:val="auto"/>
              </w:rPr>
              <w:t>(702) 770-7555</w:t>
            </w:r>
          </w:p>
        </w:tc>
        <w:tc>
          <w:tcPr>
            <w:tcW w:w="152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700" w:type="dxa"/>
            <w:vAlign w:val="bottom"/>
          </w:tcPr>
          <w:p>
            <w:pPr>
              <w:jc w:val="center"/>
              <w:ind w:right="22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20" w:type="dxa"/>
            <w:vAlign w:val="bottom"/>
          </w:tcPr>
          <w:p>
            <w:pPr>
              <w:spacing w:after="0"/>
              <w:rPr>
                <w:sz w:val="15"/>
                <w:szCs w:val="15"/>
                <w:color w:val="auto"/>
              </w:rPr>
            </w:pPr>
          </w:p>
        </w:tc>
      </w:tr>
    </w:tbl>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77470</wp:posOffset>
            </wp:positionV>
            <wp:extent cx="2840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Title of each class</w:t>
            </w:r>
          </w:p>
        </w:tc>
        <w:tc>
          <w:tcPr>
            <w:tcW w:w="29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Trading Symbol(s)</w:t>
            </w:r>
          </w:p>
        </w:tc>
        <w:tc>
          <w:tcPr>
            <w:tcW w:w="5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32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Common stock, par value $0.01</w:t>
            </w:r>
          </w:p>
        </w:tc>
        <w:tc>
          <w:tcPr>
            <w:tcW w:w="620" w:type="dxa"/>
            <w:vAlign w:val="bottom"/>
          </w:tcPr>
          <w:p>
            <w:pPr>
              <w:spacing w:after="0"/>
              <w:rPr>
                <w:sz w:val="21"/>
                <w:szCs w:val="21"/>
                <w:color w:val="auto"/>
              </w:rPr>
            </w:pPr>
          </w:p>
        </w:tc>
        <w:tc>
          <w:tcPr>
            <w:tcW w:w="2280" w:type="dxa"/>
            <w:vAlign w:val="bottom"/>
            <w:gridSpan w:val="2"/>
          </w:tcPr>
          <w:p>
            <w:pPr>
              <w:jc w:val="center"/>
              <w:ind w:right="900"/>
              <w:spacing w:after="0"/>
              <w:rPr>
                <w:sz w:val="20"/>
                <w:szCs w:val="20"/>
                <w:color w:val="auto"/>
              </w:rPr>
            </w:pPr>
            <w:r>
              <w:rPr>
                <w:rFonts w:ascii="Arial" w:cs="Arial" w:eastAsia="Arial" w:hAnsi="Arial"/>
                <w:sz w:val="18"/>
                <w:szCs w:val="18"/>
                <w:color w:val="auto"/>
                <w:w w:val="98"/>
              </w:rPr>
              <w:t>WYNN</w:t>
            </w:r>
          </w:p>
        </w:tc>
        <w:tc>
          <w:tcPr>
            <w:tcW w:w="880" w:type="dxa"/>
            <w:vAlign w:val="bottom"/>
          </w:tcPr>
          <w:p>
            <w:pPr>
              <w:spacing w:after="0"/>
              <w:rPr>
                <w:sz w:val="21"/>
                <w:szCs w:val="21"/>
                <w:color w:val="auto"/>
              </w:rPr>
            </w:pPr>
          </w:p>
        </w:tc>
        <w:tc>
          <w:tcPr>
            <w:tcW w:w="4200" w:type="dxa"/>
            <w:vAlign w:val="bottom"/>
            <w:gridSpan w:val="2"/>
          </w:tcPr>
          <w:p>
            <w:pPr>
              <w:jc w:val="center"/>
              <w:ind w:right="92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ind w:right="3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102"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On February 9, 2023, Wynn Resorts, Limited (“Wynn Resorts”) announced the pricing by Wynn Resorts Finance, LLC (“Wynn Resorts Finance”) and its subsidiary Wynn Resorts Capital Corp., each an indirect wholly-owned subsidiary of Wynn Resorts, of $600 million aggregate principal amount of 7.125% Senior Notes due 2031 (the “Notes”). A copy of the press release is attached hereto as Exhibit 99.1 and is hereby incorporated by reference.</w:t>
      </w:r>
    </w:p>
    <w:p>
      <w:pPr>
        <w:spacing w:after="0" w:line="18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This Current Report on Form 8-K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21"/>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0000FF"/>
              </w:rPr>
              <w:t>Press release, dated February 9, 2023, of Wynn Resorts, Limited</w:t>
            </w:r>
          </w:p>
        </w:tc>
      </w:tr>
      <w:tr>
        <w:trPr>
          <w:trHeight w:val="1197"/>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3840" w:type="dxa"/>
            <w:vAlign w:val="bottom"/>
            <w:tcBorders>
              <w:top w:val="single" w:sz="8" w:color="0000FF"/>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Dated: February 9, 2023</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31750</wp:posOffset>
            </wp:positionV>
            <wp:extent cx="2434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6180" w:space="720"/>
            <w:col w:w="4340"/>
          </w:cols>
          <w:pgMar w:left="320" w:top="871" w:right="339" w:bottom="1440" w:gutter="0" w:footer="0" w:header="0"/>
          <w:type w:val="continuous"/>
        </w:sectPr>
      </w:pPr>
    </w:p>
    <w:p>
      <w:pPr>
        <w:ind w:left="7020"/>
        <w:spacing w:after="0"/>
        <w:rPr>
          <w:sz w:val="20"/>
          <w:szCs w:val="20"/>
          <w:color w:val="auto"/>
        </w:rPr>
      </w:pPr>
      <w:r>
        <w:rPr>
          <w:rFonts w:ascii="Arial" w:cs="Arial" w:eastAsia="Arial" w:hAnsi="Arial"/>
          <w:sz w:val="18"/>
          <w:szCs w:val="18"/>
          <w:color w:val="auto"/>
        </w:rPr>
        <w:t>Julie Cameron-Doe</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71" w:right="339" w:bottom="1440" w:gutter="0" w:footer="0" w:header="0"/>
          <w:type w:val="continuous"/>
        </w:sectPr>
      </w:pPr>
    </w:p>
    <w:bookmarkStart w:id="3" w:name="page4"/>
    <w:bookmarkEnd w:id="3"/>
    <w:p>
      <w:pPr>
        <w:ind w:left="10380"/>
        <w:spacing w:after="0"/>
        <w:rPr>
          <w:sz w:val="20"/>
          <w:szCs w:val="20"/>
          <w:color w:val="auto"/>
        </w:rPr>
      </w:pPr>
      <w:r>
        <w:rPr>
          <w:rFonts w:ascii="Arial" w:cs="Arial" w:eastAsia="Arial" w:hAnsi="Arial"/>
          <w:sz w:val="16"/>
          <w:szCs w:val="16"/>
          <w:color w:val="auto"/>
        </w:rPr>
        <w:t>Exhibit 99.1</w:t>
      </w:r>
    </w:p>
    <w:p>
      <w:pPr>
        <w:spacing w:after="0" w:line="25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Wynn Resorts Announces Pricing of Private Offering of $600 million Aggregate Principal Amount of Wynn Resorts Finance 7.125% Senior Notes due 2031</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LAS VEGAS, February 9, 2023 (BUSINESS WIRE) — Wynn Resorts, Limited (“Wynn Resorts”) (NASDAQ: WYNN) announced today the pricing by Wynn Resorts Finance, LLC (“Wynn Resorts Finance”) and its subsidiary Wynn Resorts Capital Corp. (“Wynn Resorts Capital” and, together with Wynn Resorts Finance, the “Issuers”), each an indirect wholly-owned subsidiary of Wynn Resorts, of $600 million aggregate principal amount of 7.125% Senior Notes due 2031 (the “Notes”) in a private offering.</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Wynn Resorts Finance plans to use the net proceeds from the offering, together with cash on hand, (i) to purchase any and all of the 2025 WRF Notes that are validly tendered and accepted for payment pursuant to the tender offer commenced by Wynn Resorts Finance on the date hereof, (ii) to redeem any 2025 WRF Notes that remain outstanding upon completion of the tender offer and (iii) to pay related fees and expenses. This press release shall not constitute an offer to purchase or the solicitation of an offer to sell the 2025 WRF Notes.</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1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Wynn Resorts Finance’s subsidiary Wynn Las Vegas intends to repurchase or redeem all of the outstanding Wynn Las Vegas 4.25% Senior Notes due 2023 with cash on hand on or after February 28, 2023 (when such notes become redeemable at a price equal to 100% of the principal amount plus accrued interest). This press release does not constitute a notice of redemption or an offer to purchase or the solicitation of an offer to sell such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release contains forward-looking statements, including those related to the offering of Notes and whether or not the Issuers will consummate the offering.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the COVID-19 pandemic and the reimposition of restrictions on the general public or certain activities, extensive regulation of our business, pending or future legal proceedings, ability 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Wynn Resorts’ financial results is included in Wynn Resorts’ Annual Report on Form 10-K for the year ended December 31, 2021, as supplemented by Wynn Resorts’ other periodic reports filed with the Securities and Exchange Commission from time to time. Neither Wynn Resorts nor the Issuers are under any obligation to (and expressly disclaim any such obligation to) update or revise their forward-looking statements as a result of new information, future events or otherwise, except as required by law.</w:t>
      </w:r>
    </w:p>
    <w:p>
      <w:pPr>
        <w:sectPr>
          <w:pgSz w:w="11900" w:h="16838" w:orient="portrait"/>
          <w:cols w:equalWidth="0" w:num="1">
            <w:col w:w="11240"/>
          </w:cols>
          <w:pgMar w:left="320" w:top="13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Amir Markowitz</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investorrelations@wynnresorts.com</w:t>
      </w:r>
    </w:p>
    <w:sectPr>
      <w:pgSz w:w="11900" w:h="16838" w:orient="portrait"/>
      <w:cols w:equalWidth="0" w:num="1">
        <w:col w:w="10139"/>
      </w:cols>
      <w:pgMar w:left="320" w:top="13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2023-02-09T15:31:29Z</dcterms:created>
  <dcterms:modified xsi:type="dcterms:W3CDTF">2023-02-09T15:31:29Z</dcterms:modified>
</cp:coreProperties>
</file>