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ind w:left="40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Date of Report (Date of Earliest Event Reported):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March 17, 2008</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420"/>
          </w:cols>
          <w:pgMar w:left="240" w:top="544" w:right="239" w:bottom="1440" w:gutter="0" w:footer="0" w:header="0"/>
        </w:sectPr>
      </w:pPr>
    </w:p>
    <w:p>
      <w:pPr>
        <w:spacing w:after="0" w:line="244" w:lineRule="exact"/>
        <w:rPr>
          <w:sz w:val="24"/>
          <w:szCs w:val="24"/>
          <w:color w:val="auto"/>
        </w:rPr>
      </w:pPr>
    </w:p>
    <w:p>
      <w:pPr>
        <w:ind w:left="1540"/>
        <w:spacing w:after="0"/>
        <w:rPr>
          <w:sz w:val="20"/>
          <w:szCs w:val="20"/>
          <w:color w:val="auto"/>
        </w:rPr>
      </w:pPr>
      <w:r>
        <w:rPr>
          <w:rFonts w:ascii="Arial" w:cs="Arial" w:eastAsia="Arial" w:hAnsi="Arial"/>
          <w:sz w:val="22"/>
          <w:szCs w:val="22"/>
          <w:b w:val="1"/>
          <w:bCs w:val="1"/>
          <w:color w:val="auto"/>
        </w:rPr>
        <w:t>Nevada</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19"/>
          <w:szCs w:val="19"/>
          <w:color w:val="auto"/>
        </w:rPr>
        <w:t>(State or Other Jurisdiction of</w:t>
      </w:r>
    </w:p>
    <w:p>
      <w:pPr>
        <w:spacing w:after="0" w:line="25"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Incorporation)</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000-50028</w:t>
      </w:r>
    </w:p>
    <w:p>
      <w:pPr>
        <w:spacing w:after="0" w:line="14" w:lineRule="exact"/>
        <w:rPr>
          <w:sz w:val="24"/>
          <w:szCs w:val="24"/>
          <w:color w:val="auto"/>
        </w:rPr>
      </w:pPr>
    </w:p>
    <w:p>
      <w:pPr>
        <w:jc w:val="center"/>
        <w:ind w:right="28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80"/>
        <w:spacing w:after="0"/>
        <w:rPr>
          <w:sz w:val="20"/>
          <w:szCs w:val="20"/>
          <w:color w:val="auto"/>
        </w:rPr>
      </w:pPr>
      <w:r>
        <w:rPr>
          <w:rFonts w:ascii="Arial" w:cs="Arial" w:eastAsia="Arial" w:hAnsi="Arial"/>
          <w:sz w:val="22"/>
          <w:szCs w:val="22"/>
          <w:b w:val="1"/>
          <w:bCs w:val="1"/>
          <w:color w:val="auto"/>
        </w:rPr>
        <w:t>46-0484987</w:t>
      </w:r>
    </w:p>
    <w:p>
      <w:pPr>
        <w:spacing w:after="0" w:line="14" w:lineRule="exact"/>
        <w:rPr>
          <w:sz w:val="24"/>
          <w:szCs w:val="24"/>
          <w:color w:val="auto"/>
        </w:rPr>
      </w:pPr>
    </w:p>
    <w:p>
      <w:pPr>
        <w:jc w:val="center"/>
        <w:ind w:right="180"/>
        <w:spacing w:after="0"/>
        <w:rPr>
          <w:sz w:val="20"/>
          <w:szCs w:val="20"/>
          <w:color w:val="auto"/>
        </w:rPr>
      </w:pPr>
      <w:r>
        <w:rPr>
          <w:rFonts w:ascii="Arial" w:cs="Arial" w:eastAsia="Arial" w:hAnsi="Arial"/>
          <w:sz w:val="19"/>
          <w:szCs w:val="19"/>
          <w:color w:val="auto"/>
        </w:rPr>
        <w:t>(I.R.S. Employer Identification</w:t>
      </w:r>
    </w:p>
    <w:p>
      <w:pPr>
        <w:spacing w:after="0" w:line="25" w:lineRule="exact"/>
        <w:rPr>
          <w:sz w:val="24"/>
          <w:szCs w:val="24"/>
          <w:color w:val="auto"/>
        </w:rPr>
      </w:pPr>
    </w:p>
    <w:p>
      <w:pPr>
        <w:jc w:val="center"/>
        <w:ind w:right="180"/>
        <w:spacing w:after="0"/>
        <w:rPr>
          <w:sz w:val="20"/>
          <w:szCs w:val="20"/>
          <w:color w:val="auto"/>
        </w:rPr>
      </w:pPr>
      <w:r>
        <w:rPr>
          <w:rFonts w:ascii="Arial" w:cs="Arial" w:eastAsia="Arial" w:hAnsi="Arial"/>
          <w:sz w:val="22"/>
          <w:szCs w:val="22"/>
          <w:color w:val="auto"/>
        </w:rPr>
        <w:t>Number)</w:t>
      </w:r>
    </w:p>
    <w:p>
      <w:pPr>
        <w:spacing w:after="0" w:line="200" w:lineRule="exact"/>
        <w:rPr>
          <w:sz w:val="24"/>
          <w:szCs w:val="24"/>
          <w:color w:val="auto"/>
        </w:rPr>
      </w:pPr>
    </w:p>
    <w:p>
      <w:pPr>
        <w:sectPr>
          <w:pgSz w:w="11900" w:h="16838" w:orient="portrait"/>
          <w:cols w:equalWidth="0" w:num="3">
            <w:col w:w="4440" w:space="720"/>
            <w:col w:w="2660" w:space="720"/>
            <w:col w:w="2880"/>
          </w:cols>
          <w:pgMar w:left="240" w:top="544"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3131 Las Vegas Boulevard South</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Las Vegas, Nevada 89109</w:t>
      </w:r>
    </w:p>
    <w:p>
      <w:pPr>
        <w:jc w:val="center"/>
        <w:spacing w:after="0"/>
        <w:rPr>
          <w:sz w:val="20"/>
          <w:szCs w:val="20"/>
          <w:color w:val="auto"/>
        </w:rPr>
      </w:pPr>
      <w:r>
        <w:rPr>
          <w:rFonts w:ascii="Arial" w:cs="Arial" w:eastAsia="Arial" w:hAnsi="Arial"/>
          <w:sz w:val="19"/>
          <w:szCs w:val="19"/>
          <w:color w:val="auto"/>
        </w:rPr>
        <w:t>(Address of principal executive offices) (Zip Code)</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(702) 770-7555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6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1060" w:type="dxa"/>
            <w:vAlign w:val="bottom"/>
          </w:tcPr>
          <w:p>
            <w:pPr>
              <w:ind w:left="60"/>
              <w:spacing w:after="0"/>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60" w:type="dxa"/>
            <w:vAlign w:val="bottom"/>
            <w:gridSpan w:val="2"/>
          </w:tcPr>
          <w:p>
            <w:pPr>
              <w:ind w:left="80"/>
              <w:spacing w:after="0"/>
              <w:rPr>
                <w:sz w:val="20"/>
                <w:szCs w:val="20"/>
                <w:color w:val="auto"/>
              </w:rPr>
            </w:pPr>
            <w:r>
              <w:rPr>
                <w:rFonts w:ascii="Arial" w:cs="Arial" w:eastAsia="Arial" w:hAnsi="Arial"/>
                <w:sz w:val="22"/>
                <w:szCs w:val="22"/>
                <w:color w:val="auto"/>
              </w:rPr>
              <w:t>] Pre-commencement communications pursuant to Rule 14d-2(b) under the Exchange Act (17 CFR 240.14d-2(b))</w:t>
            </w:r>
          </w:p>
        </w:tc>
      </w:tr>
      <w:tr>
        <w:trPr>
          <w:trHeight w:val="486"/>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1060" w:type="dxa"/>
            <w:vAlign w:val="bottom"/>
          </w:tcPr>
          <w:p>
            <w:pPr>
              <w:ind w:left="60"/>
              <w:spacing w:after="0"/>
              <w:rPr>
                <w:sz w:val="20"/>
                <w:szCs w:val="20"/>
                <w:color w:val="auto"/>
              </w:rPr>
            </w:pPr>
            <w:r>
              <w:rPr>
                <w:rFonts w:ascii="Arial" w:cs="Arial" w:eastAsia="Arial" w:hAnsi="Arial"/>
                <w:sz w:val="22"/>
                <w:szCs w:val="22"/>
                <w:color w:val="auto"/>
              </w:rPr>
              <w:t>Pre-commencement communications pursuant to Rule 13e-4(c) under the Exchange Act (17 CFR 240.13e-4(c))</w:t>
            </w:r>
          </w:p>
        </w:tc>
      </w:tr>
      <w:tr>
        <w:trPr>
          <w:trHeight w:val="595"/>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60" w:type="dxa"/>
            <w:vAlign w:val="bottom"/>
          </w:tcPr>
          <w:p>
            <w:pPr>
              <w:spacing w:after="0"/>
              <w:rPr>
                <w:sz w:val="24"/>
                <w:szCs w:val="24"/>
                <w:color w:val="auto"/>
              </w:rPr>
            </w:pPr>
          </w:p>
        </w:tc>
      </w:tr>
      <w:tr>
        <w:trPr>
          <w:trHeight w:val="71"/>
        </w:trPr>
        <w:tc>
          <w:tcPr>
            <w:tcW w:w="1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1060" w:type="dxa"/>
            <w:vAlign w:val="bottom"/>
            <w:shd w:val="clear" w:color="auto" w:fill="808080"/>
          </w:tcPr>
          <w:p>
            <w:pPr>
              <w:spacing w:after="0"/>
              <w:rPr>
                <w:sz w:val="6"/>
                <w:szCs w:val="6"/>
                <w:color w:val="auto"/>
              </w:rPr>
            </w:pPr>
          </w:p>
        </w:tc>
      </w:tr>
      <w:tr>
        <w:trPr>
          <w:trHeight w:val="699"/>
        </w:trPr>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0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ind w:right="12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On March 17, 2008, Wynn Resorts, Limited (the “Company”) promoted John Strzemp, age 56, to Executive Vice President and Chief Administrative Officer. Prior to his promotion, Mr. Strzemp served as Executive Vice President and Chief Financial Officer of the Company, positions he had held since September 2002. Mr. Strzemp served as the Company’s Treasurer from March 2003 to March 2006, and serves as an officer of several of the Company's subsidiaries. Mr. Strzemp was Executive Vice President and Chief Financial Officer of Bellagio, LLC, a gaming company and then a wholly owned subsidiary of Mirage Resorts, Incorporated, from April 1998 to October 2000.</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On March 17, 2008, the Company promoted Matt Maddox, age 32, to Chief Financial Officer and Treasurer of the Company. Prior to his promotion, Mr. Maddox served as the Company’s Senior Vice President of Business Development and Treasurer, positions he held since January 2007 and March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the Company’s Treasurer and Vice President—Investor Relations. From February 2000 to May 2002, Mr. Maddox was Vice President—Finance with Caesars Entertainment, Inc., a gaming company.</w:t>
      </w:r>
    </w:p>
    <w:p>
      <w:pPr>
        <w:spacing w:after="0" w:line="205"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The Company’s press release, dated March 18, 2008, announcing Messrs. Strzemp’s and Maddox’s promotions is filed as Exhibit 99.1 to this report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3"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Wynn Resorts, Limited, dated March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2" w:lineRule="exact"/>
        <w:rPr>
          <w:sz w:val="20"/>
          <w:szCs w:val="20"/>
          <w:color w:val="auto"/>
        </w:rPr>
      </w:pPr>
    </w:p>
    <w:p>
      <w:pPr>
        <w:ind w:right="240" w:firstLine="135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Date: March 18, 2008</w:t>
      </w:r>
    </w:p>
    <w:p>
      <w:pPr>
        <w:spacing w:after="0" w:line="19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WYNN RESORTS, LIMITED</w:t>
      </w:r>
    </w:p>
    <w:p>
      <w:pPr>
        <w:spacing w:after="0" w:line="193" w:lineRule="exact"/>
        <w:rPr>
          <w:sz w:val="20"/>
          <w:szCs w:val="20"/>
          <w:color w:val="auto"/>
        </w:rPr>
      </w:pPr>
    </w:p>
    <w:tbl>
      <w:tblPr>
        <w:tblLayout w:type="fixed"/>
        <w:tblInd w:w="5560" w:type="dxa"/>
        <w:tblCellMar>
          <w:top w:w="0" w:type="dxa"/>
          <w:left w:w="0" w:type="dxa"/>
          <w:bottom w:w="0" w:type="dxa"/>
          <w:right w:w="0" w:type="dxa"/>
        </w:tblCellMar>
      </w:tblPr>
      <w:tr>
        <w:trPr>
          <w:trHeight w:val="26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Strzemp</w:t>
            </w:r>
          </w:p>
        </w:tc>
      </w:tr>
      <w:tr>
        <w:trPr>
          <w:trHeight w:val="215"/>
        </w:trPr>
        <w:tc>
          <w:tcPr>
            <w:tcW w:w="700" w:type="dxa"/>
            <w:vAlign w:val="bottom"/>
          </w:tcPr>
          <w:p>
            <w:pPr>
              <w:spacing w:after="0"/>
              <w:rPr>
                <w:sz w:val="18"/>
                <w:szCs w:val="18"/>
                <w:color w:val="auto"/>
              </w:rPr>
            </w:pPr>
          </w:p>
        </w:tc>
        <w:tc>
          <w:tcPr>
            <w:tcW w:w="5160" w:type="dxa"/>
            <w:vAlign w:val="bottom"/>
          </w:tcPr>
          <w:p>
            <w:pPr>
              <w:spacing w:after="0" w:line="216" w:lineRule="exact"/>
              <w:rPr>
                <w:sz w:val="20"/>
                <w:szCs w:val="20"/>
                <w:color w:val="auto"/>
              </w:rPr>
            </w:pPr>
            <w:r>
              <w:rPr>
                <w:rFonts w:ascii="Arial" w:cs="Arial" w:eastAsia="Arial" w:hAnsi="Arial"/>
                <w:sz w:val="22"/>
                <w:szCs w:val="22"/>
                <w:color w:val="auto"/>
              </w:rPr>
              <w:t>John Strzemp</w:t>
            </w:r>
          </w:p>
        </w:tc>
      </w:tr>
      <w:tr>
        <w:trPr>
          <w:trHeight w:val="275"/>
        </w:trPr>
        <w:tc>
          <w:tcPr>
            <w:tcW w:w="700" w:type="dxa"/>
            <w:vAlign w:val="bottom"/>
          </w:tcPr>
          <w:p>
            <w:pPr>
              <w:spacing w:after="0"/>
              <w:rPr>
                <w:sz w:val="23"/>
                <w:szCs w:val="23"/>
                <w:color w:val="auto"/>
              </w:rPr>
            </w:pPr>
          </w:p>
        </w:tc>
        <w:tc>
          <w:tcPr>
            <w:tcW w:w="5160" w:type="dxa"/>
            <w:vAlign w:val="bottom"/>
          </w:tcPr>
          <w:p>
            <w:pPr>
              <w:spacing w:after="0"/>
              <w:rPr>
                <w:sz w:val="20"/>
                <w:szCs w:val="20"/>
                <w:color w:val="auto"/>
              </w:rPr>
            </w:pPr>
            <w:r>
              <w:rPr>
                <w:rFonts w:ascii="Arial" w:cs="Arial" w:eastAsia="Arial" w:hAnsi="Arial"/>
                <w:sz w:val="22"/>
                <w:szCs w:val="22"/>
                <w:color w:val="auto"/>
              </w:rPr>
              <w:t>Chief Administrative Officer</w:t>
            </w:r>
          </w:p>
        </w:tc>
      </w:tr>
    </w:tbl>
    <w:p>
      <w:pPr>
        <w:sectPr>
          <w:pgSz w:w="11900" w:h="16838" w:orient="portrait"/>
          <w:cols w:equalWidth="0" w:num="1">
            <w:col w:w="11420"/>
          </w:cols>
          <w:pgMar w:left="240" w:top="35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Executive Promotions</w:t>
      </w: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LAS VEGAS, March 18, 2008 (BUSINESS WIRE) -- Wynn Resorts, Limited is pleased to announce that John Strzemp, Executive Vice President and Chief Financial Officer, has been promoted to Executive Vice President and Chief Administrative Officer. Mr. Strzemp will be responsible for the global administrative functions of the company as well as leading the opening of new resorts around the world. Mr. Strzemp has over 25 years of experience in gaming including his experience as Chief Financial Officer of Treasure Island, President of Treasure Island, Chief Financial Officer of Bellagio and most recently Chief Financial Officer of Wynn Resorts, Limited. With Mr. Strzemp’s assistance, Wynn Resorts will continue to execute its growth strategy around the world.</w:t>
      </w:r>
    </w:p>
    <w:p>
      <w:pPr>
        <w:spacing w:after="0" w:line="223"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The Company also announced that Matt Maddox, Senior Vice President of Development and Treasurer, has been promoted to Chief Financial Officer and Treasurer of Wynn Resorts. Mr. Maddox began his career at Bank of America in the mergers and acquisitions department before joining Caesars Entertainment. Mr. Maddox served as the Vice President of Finance at Caesars in 2001 when he left to join Wynn Resorts as the Vice President of Investor Relations and Treasurer. After the completion of Wynn Resorts’ initial financing in late 2002, Mr. Maddox moved to Macau as the Chief Financial Officer for Wynn Macau. There he was instrumental in the start up and financing efforts for Wynn Resorts in Macau. Mr. Maddox worked in Macau through 2005, when he relocated to Las Vegas as the Company’s Senior Vice President Development and Treasurer.</w:t>
      </w:r>
    </w:p>
    <w:p>
      <w:pPr>
        <w:spacing w:after="0" w:line="226"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NASDAQ-100 Index. Wynn Resorts owns and operates Wynn Las Vegas (http://www.wynnlasvegas.com) and Wynn Macau (http://www.wynnmacau.com).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 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225" w:lineRule="auto"/>
        <w:rPr>
          <w:sz w:val="20"/>
          <w:szCs w:val="20"/>
          <w:color w:val="auto"/>
        </w:rPr>
      </w:pPr>
      <w:r>
        <w:rPr>
          <w:rFonts w:ascii="Arial" w:cs="Arial" w:eastAsia="Arial" w:hAnsi="Arial"/>
          <w:sz w:val="20"/>
          <w:szCs w:val="20"/>
          <w:color w:val="auto"/>
        </w:rPr>
        <w:t>Wynn Resorts, Limited</w:t>
      </w:r>
    </w:p>
    <w:p>
      <w:pPr>
        <w:spacing w:after="0" w:line="226" w:lineRule="auto"/>
        <w:rPr>
          <w:sz w:val="20"/>
          <w:szCs w:val="20"/>
          <w:color w:val="auto"/>
        </w:rPr>
      </w:pPr>
      <w:r>
        <w:rPr>
          <w:rFonts w:ascii="Arial" w:cs="Arial" w:eastAsia="Arial" w:hAnsi="Arial"/>
          <w:sz w:val="20"/>
          <w:szCs w:val="20"/>
          <w:color w:val="auto"/>
        </w:rPr>
        <w:t>CONTACT:</w:t>
      </w:r>
    </w:p>
    <w:p>
      <w:pPr>
        <w:spacing w:after="0" w:line="222" w:lineRule="auto"/>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2"/>
          <w:szCs w:val="22"/>
          <w:color w:val="auto"/>
        </w:rPr>
        <w:t>investorrelations@wynnresorts.com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2019-12-15T07:41:12Z</dcterms:created>
  <dcterms:modified xsi:type="dcterms:W3CDTF">2019-12-15T07:41:12Z</dcterms:modified>
</cp:coreProperties>
</file>