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329565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-224155</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6" w:lineRule="exact"/>
        <w:rPr>
          <w:sz w:val="24"/>
          <w:szCs w:val="24"/>
          <w:color w:val="auto"/>
        </w:rPr>
      </w:pPr>
    </w:p>
    <w:p>
      <w:pPr>
        <w:ind w:left="720" w:right="200" w:hanging="685"/>
        <w:spacing w:after="0" w:line="248"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64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3819525</wp:posOffset>
            </wp:positionH>
            <wp:positionV relativeFrom="paragraph">
              <wp:posOffset>-7620</wp:posOffset>
            </wp:positionV>
            <wp:extent cx="11239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3950"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000-50028</w:t>
      </w:r>
    </w:p>
    <w:p>
      <w:pPr>
        <w:spacing w:after="0" w:line="200" w:lineRule="exact"/>
        <w:rPr>
          <w:sz w:val="24"/>
          <w:szCs w:val="24"/>
          <w:color w:val="auto"/>
        </w:rPr>
      </w:pP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-302895</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05" w:lineRule="exact"/>
        <w:rPr>
          <w:sz w:val="24"/>
          <w:szCs w:val="24"/>
          <w:color w:val="auto"/>
        </w:rPr>
      </w:pPr>
    </w:p>
    <w:tbl>
      <w:tblPr>
        <w:tblLayout w:type="fixed"/>
        <w:tblInd w:w="1880" w:type="dxa"/>
        <w:tblCellMar>
          <w:top w:w="0" w:type="dxa"/>
          <w:left w:w="0" w:type="dxa"/>
          <w:bottom w:w="0" w:type="dxa"/>
          <w:right w:w="0" w:type="dxa"/>
        </w:tblCellMar>
      </w:tblPr>
      <w:tr>
        <w:trPr>
          <w:trHeight w:val="234"/>
        </w:trPr>
        <w:tc>
          <w:tcPr>
            <w:tcW w:w="5980" w:type="dxa"/>
            <w:vAlign w:val="bottom"/>
          </w:tcPr>
          <w:p>
            <w:pPr>
              <w:ind w:left="1840"/>
              <w:spacing w:after="0"/>
              <w:rPr>
                <w:sz w:val="20"/>
                <w:szCs w:val="20"/>
                <w:color w:val="auto"/>
              </w:rPr>
            </w:pPr>
            <w:r>
              <w:rPr>
                <w:rFonts w:ascii="Arial" w:cs="Arial" w:eastAsia="Arial" w:hAnsi="Arial"/>
                <w:sz w:val="18"/>
                <w:szCs w:val="18"/>
                <w:b w:val="1"/>
                <w:bCs w:val="1"/>
                <w:color w:val="auto"/>
                <w:w w:val="92"/>
              </w:rPr>
              <w:t>(Exact name of registrant as specified in its charter)</w:t>
            </w:r>
          </w:p>
        </w:tc>
        <w:tc>
          <w:tcPr>
            <w:tcW w:w="1280" w:type="dxa"/>
            <w:vAlign w:val="bottom"/>
          </w:tcPr>
          <w:p>
            <w:pPr>
              <w:spacing w:after="0"/>
              <w:rPr>
                <w:sz w:val="20"/>
                <w:szCs w:val="20"/>
                <w:color w:val="auto"/>
              </w:rPr>
            </w:pPr>
          </w:p>
        </w:tc>
      </w:tr>
      <w:tr>
        <w:trPr>
          <w:trHeight w:val="432"/>
        </w:trPr>
        <w:tc>
          <w:tcPr>
            <w:tcW w:w="5980" w:type="dxa"/>
            <w:vAlign w:val="bottom"/>
          </w:tcPr>
          <w:p>
            <w:pPr>
              <w:jc w:val="center"/>
              <w:ind w:right="4039"/>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1280" w:type="dxa"/>
            <w:vAlign w:val="bottom"/>
          </w:tcPr>
          <w:p>
            <w:pPr>
              <w:jc w:val="center"/>
              <w:ind w:left="62"/>
              <w:spacing w:after="0"/>
              <w:rPr>
                <w:sz w:val="20"/>
                <w:szCs w:val="20"/>
                <w:color w:val="auto"/>
              </w:rPr>
            </w:pPr>
            <w:r>
              <w:rPr>
                <w:rFonts w:ascii="Arial" w:cs="Arial" w:eastAsia="Arial" w:hAnsi="Arial"/>
                <w:sz w:val="18"/>
                <w:szCs w:val="18"/>
                <w:b w:val="1"/>
                <w:bCs w:val="1"/>
                <w:color w:val="auto"/>
                <w:w w:val="89"/>
              </w:rPr>
              <w:t>46-0484987</w:t>
            </w:r>
          </w:p>
        </w:tc>
      </w:tr>
      <w:tr>
        <w:trPr>
          <w:trHeight w:val="180"/>
        </w:trPr>
        <w:tc>
          <w:tcPr>
            <w:tcW w:w="5980" w:type="dxa"/>
            <w:vAlign w:val="bottom"/>
          </w:tcPr>
          <w:p>
            <w:pPr>
              <w:jc w:val="center"/>
              <w:ind w:right="4039"/>
              <w:spacing w:after="0"/>
              <w:rPr>
                <w:sz w:val="20"/>
                <w:szCs w:val="20"/>
                <w:color w:val="auto"/>
              </w:rPr>
            </w:pPr>
            <w:r>
              <w:rPr>
                <w:rFonts w:ascii="Arial" w:cs="Arial" w:eastAsia="Arial" w:hAnsi="Arial"/>
                <w:sz w:val="14"/>
                <w:szCs w:val="14"/>
                <w:b w:val="1"/>
                <w:bCs w:val="1"/>
                <w:color w:val="auto"/>
                <w:w w:val="92"/>
              </w:rPr>
              <w:t>(State or other jurisdiction of</w:t>
            </w:r>
          </w:p>
        </w:tc>
        <w:tc>
          <w:tcPr>
            <w:tcW w:w="1280" w:type="dxa"/>
            <w:vAlign w:val="bottom"/>
          </w:tcPr>
          <w:p>
            <w:pPr>
              <w:jc w:val="center"/>
              <w:ind w:left="8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5980" w:type="dxa"/>
            <w:vAlign w:val="bottom"/>
          </w:tcPr>
          <w:p>
            <w:pPr>
              <w:jc w:val="center"/>
              <w:ind w:right="4039"/>
              <w:spacing w:after="0"/>
              <w:rPr>
                <w:sz w:val="20"/>
                <w:szCs w:val="20"/>
                <w:color w:val="auto"/>
              </w:rPr>
            </w:pPr>
            <w:r>
              <w:rPr>
                <w:rFonts w:ascii="Arial" w:cs="Arial" w:eastAsia="Arial" w:hAnsi="Arial"/>
                <w:sz w:val="14"/>
                <w:szCs w:val="14"/>
                <w:b w:val="1"/>
                <w:bCs w:val="1"/>
                <w:color w:val="auto"/>
                <w:w w:val="93"/>
              </w:rPr>
              <w:t>incorporation or organization)</w:t>
            </w:r>
          </w:p>
        </w:tc>
        <w:tc>
          <w:tcPr>
            <w:tcW w:w="1280" w:type="dxa"/>
            <w:vAlign w:val="bottom"/>
          </w:tcPr>
          <w:p>
            <w:pPr>
              <w:jc w:val="center"/>
              <w:ind w:left="6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3131 Las Vegas Boulevard South - Las Vegas, Nevada 89109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262255</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right="4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84"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 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20"/>
          </w:cols>
          <w:pgMar w:left="240" w:top="229" w:right="239"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4">
            <w:col w:w="1660" w:space="680"/>
            <w:col w:w="5220" w:space="720"/>
            <w:col w:w="2000" w:space="720"/>
            <w:col w:w="420"/>
          </w:cols>
          <w:pgMar w:left="240" w:top="229" w:right="23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1620" w:space="720"/>
            <w:col w:w="5220" w:space="720"/>
            <w:col w:w="2000" w:space="720"/>
            <w:col w:w="420"/>
          </w:cols>
          <w:pgMar w:left="240" w:top="229" w:right="239" w:bottom="1440" w:gutter="0" w:footer="0" w:header="0"/>
          <w:type w:val="continuous"/>
        </w:sectPr>
      </w:pPr>
    </w:p>
    <w:p>
      <w:pPr>
        <w:spacing w:after="0" w:line="33"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63" w:lineRule="exact"/>
        <w:rPr>
          <w:sz w:val="24"/>
          <w:szCs w:val="24"/>
          <w:color w:val="auto"/>
        </w:rPr>
      </w:pPr>
    </w:p>
    <w:p>
      <w:pPr>
        <w:sectPr>
          <w:pgSz w:w="11900" w:h="16838" w:orient="portrait"/>
          <w:cols w:equalWidth="0" w:num="4">
            <w:col w:w="8580" w:space="160"/>
            <w:col w:w="260" w:space="100"/>
            <w:col w:w="160" w:space="180"/>
            <w:col w:w="1980"/>
          </w:cols>
          <w:pgMar w:left="240" w:top="229" w:right="239" w:bottom="1440" w:gutter="0" w:footer="0" w:header="0"/>
          <w:type w:val="continuous"/>
        </w:sectPr>
      </w:pPr>
    </w:p>
    <w:p>
      <w:pPr>
        <w:ind w:left="4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w:t>
            </w:r>
          </w:p>
        </w:tc>
        <w:tc>
          <w:tcPr>
            <w:tcW w:w="7560" w:type="dxa"/>
            <w:vAlign w:val="bottom"/>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Outstanding at July 31, 2014</w:t>
            </w:r>
          </w:p>
        </w:tc>
        <w:tc>
          <w:tcPr>
            <w:tcW w:w="420" w:type="dxa"/>
            <w:vAlign w:val="bottom"/>
          </w:tcPr>
          <w:p>
            <w:pPr>
              <w:spacing w:after="0"/>
              <w:rPr>
                <w:sz w:val="14"/>
                <w:szCs w:val="14"/>
                <w:color w:val="auto"/>
              </w:rPr>
            </w:pPr>
          </w:p>
        </w:tc>
      </w:tr>
      <w:tr>
        <w:trPr>
          <w:trHeight w:val="264"/>
        </w:trPr>
        <w:tc>
          <w:tcPr>
            <w:tcW w:w="9220" w:type="dxa"/>
            <w:vAlign w:val="bottom"/>
            <w:gridSpan w:val="3"/>
          </w:tcPr>
          <w:p>
            <w:pPr>
              <w:jc w:val="center"/>
              <w:ind w:right="6240"/>
              <w:spacing w:after="0"/>
              <w:rPr>
                <w:sz w:val="20"/>
                <w:szCs w:val="20"/>
                <w:color w:val="auto"/>
              </w:rPr>
            </w:pPr>
            <w:r>
              <w:rPr>
                <w:rFonts w:ascii="Arial" w:cs="Arial" w:eastAsia="Arial" w:hAnsi="Arial"/>
                <w:sz w:val="18"/>
                <w:szCs w:val="18"/>
                <w:color w:val="auto"/>
                <w:w w:val="90"/>
              </w:rPr>
              <w:t>Common stock, $0.01 par value</w:t>
            </w:r>
          </w:p>
        </w:tc>
        <w:tc>
          <w:tcPr>
            <w:tcW w:w="1780" w:type="dxa"/>
            <w:vAlign w:val="bottom"/>
          </w:tcPr>
          <w:p>
            <w:pPr>
              <w:jc w:val="right"/>
              <w:ind w:right="359"/>
              <w:spacing w:after="0"/>
              <w:rPr>
                <w:sz w:val="20"/>
                <w:szCs w:val="20"/>
                <w:color w:val="auto"/>
              </w:rPr>
            </w:pPr>
            <w:r>
              <w:rPr>
                <w:rFonts w:ascii="Arial" w:cs="Arial" w:eastAsia="Arial" w:hAnsi="Arial"/>
                <w:sz w:val="18"/>
                <w:szCs w:val="18"/>
                <w:color w:val="auto"/>
              </w:rPr>
              <w:t>101,348,344</w:t>
            </w:r>
          </w:p>
        </w:tc>
        <w:tc>
          <w:tcPr>
            <w:tcW w:w="420" w:type="dxa"/>
            <w:vAlign w:val="bottom"/>
          </w:tcPr>
          <w:p>
            <w:pPr>
              <w:spacing w:after="0"/>
              <w:rPr>
                <w:sz w:val="22"/>
                <w:szCs w:val="22"/>
                <w:color w:val="auto"/>
              </w:rPr>
            </w:pPr>
          </w:p>
        </w:tc>
      </w:tr>
      <w:tr>
        <w:trPr>
          <w:trHeight w:val="284"/>
        </w:trPr>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5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gridSpan w:val="6"/>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48"/>
        </w:trPr>
        <w:tc>
          <w:tcPr>
            <w:tcW w:w="3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80" w:type="dxa"/>
            <w:vAlign w:val="bottom"/>
            <w:gridSpan w:val="10"/>
          </w:tcPr>
          <w:p>
            <w:pPr>
              <w:jc w:val="center"/>
              <w:ind w:right="3340"/>
              <w:spacing w:after="0"/>
              <w:rPr>
                <w:sz w:val="20"/>
                <w:szCs w:val="20"/>
                <w:color w:val="auto"/>
              </w:rPr>
            </w:pPr>
            <w:r>
              <w:rPr>
                <w:rFonts w:ascii="Arial" w:cs="Arial" w:eastAsia="Arial" w:hAnsi="Arial"/>
                <w:sz w:val="18"/>
                <w:szCs w:val="18"/>
                <w:b w:val="1"/>
                <w:bCs w:val="1"/>
                <w:color w:val="auto"/>
              </w:rPr>
              <w:t>WYNN RESORTS, LIMITED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80" w:type="dxa"/>
            <w:vAlign w:val="bottom"/>
            <w:gridSpan w:val="10"/>
          </w:tcPr>
          <w:p>
            <w:pPr>
              <w:jc w:val="center"/>
              <w:ind w:right="3340"/>
              <w:spacing w:after="0"/>
              <w:rPr>
                <w:sz w:val="20"/>
                <w:szCs w:val="20"/>
                <w:color w:val="auto"/>
              </w:rPr>
            </w:pPr>
            <w:r>
              <w:rPr>
                <w:rFonts w:ascii="Arial" w:cs="Arial" w:eastAsia="Arial" w:hAnsi="Arial"/>
                <w:sz w:val="18"/>
                <w:szCs w:val="18"/>
                <w:b w:val="1"/>
                <w:bCs w:val="1"/>
                <w:color w:val="auto"/>
                <w:w w:val="99"/>
              </w:rPr>
              <w:t>FORM 10-Q</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80" w:type="dxa"/>
            <w:vAlign w:val="bottom"/>
            <w:gridSpan w:val="10"/>
          </w:tcPr>
          <w:p>
            <w:pPr>
              <w:jc w:val="center"/>
              <w:ind w:right="3340"/>
              <w:spacing w:after="0"/>
              <w:rPr>
                <w:sz w:val="20"/>
                <w:szCs w:val="20"/>
                <w:color w:val="auto"/>
              </w:rPr>
            </w:pPr>
            <w:r>
              <w:rPr>
                <w:rFonts w:ascii="Arial" w:cs="Arial" w:eastAsia="Arial" w:hAnsi="Arial"/>
                <w:sz w:val="18"/>
                <w:szCs w:val="18"/>
                <w:b w:val="1"/>
                <w:bCs w:val="1"/>
                <w:color w:val="auto"/>
              </w:rPr>
              <w:t>INDEX</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67"/>
        </w:trPr>
        <w:tc>
          <w:tcPr>
            <w:tcW w:w="1760" w:type="dxa"/>
            <w:vAlign w:val="bottom"/>
            <w:gridSpan w:val="6"/>
          </w:tcPr>
          <w:p>
            <w:pPr>
              <w:ind w:left="40"/>
              <w:spacing w:after="0"/>
              <w:rPr>
                <w:sz w:val="20"/>
                <w:szCs w:val="20"/>
                <w:color w:val="auto"/>
              </w:rPr>
            </w:pPr>
            <w:r>
              <w:rPr>
                <w:rFonts w:ascii="Arial" w:cs="Arial" w:eastAsia="Arial" w:hAnsi="Arial"/>
                <w:sz w:val="18"/>
                <w:szCs w:val="18"/>
                <w:b w:val="1"/>
                <w:bCs w:val="1"/>
                <w:color w:val="auto"/>
              </w:rPr>
              <w:t>Part I.</w:t>
            </w:r>
          </w:p>
        </w:tc>
        <w:tc>
          <w:tcPr>
            <w:tcW w:w="9460" w:type="dxa"/>
            <w:vAlign w:val="bottom"/>
            <w:gridSpan w:val="17"/>
          </w:tcPr>
          <w:p>
            <w:pPr>
              <w:spacing w:after="0"/>
              <w:rPr>
                <w:sz w:val="20"/>
                <w:szCs w:val="20"/>
                <w:color w:val="auto"/>
              </w:rPr>
            </w:pPr>
            <w:r>
              <w:rPr>
                <w:rFonts w:ascii="Arial" w:cs="Arial" w:eastAsia="Arial" w:hAnsi="Arial"/>
                <w:sz w:val="18"/>
                <w:szCs w:val="18"/>
                <w:b w:val="1"/>
                <w:bCs w:val="1"/>
                <w:color w:val="auto"/>
              </w:rPr>
              <w:t>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80" w:type="dxa"/>
            <w:vAlign w:val="bottom"/>
          </w:tcPr>
          <w:p>
            <w:pPr>
              <w:spacing w:after="0"/>
              <w:rPr>
                <w:sz w:val="19"/>
                <w:szCs w:val="19"/>
                <w:color w:val="auto"/>
              </w:rPr>
            </w:pPr>
          </w:p>
        </w:tc>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860" w:type="dxa"/>
            <w:vAlign w:val="bottom"/>
            <w:gridSpan w:val="4"/>
          </w:tcPr>
          <w:p>
            <w:pPr>
              <w:spacing w:after="0"/>
              <w:rPr>
                <w:sz w:val="19"/>
                <w:szCs w:val="19"/>
                <w:color w:val="auto"/>
              </w:rPr>
            </w:pPr>
          </w:p>
        </w:tc>
        <w:tc>
          <w:tcPr>
            <w:tcW w:w="94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June 30, 2014 (unaudited) and December 31, 2013</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6"/>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Condensed Consolidated Statements of Income (unaudited) – Three and six months ended June 30, 2014 and 2013</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4</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6"/>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Condensed Consolidated Statements of Comprehensive Income (unaudited) – Three and six months ended June 30,</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2014 and 2013</w:t>
              </w:r>
            </w:hyperlink>
          </w:p>
        </w:tc>
        <w:tc>
          <w:tcPr>
            <w:tcW w:w="7240" w:type="dxa"/>
            <w:vAlign w:val="bottom"/>
            <w:tcBorders>
              <w:top w:val="single" w:sz="8" w:color="0000EE"/>
            </w:tcBorders>
            <w:gridSpan w:val="11"/>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5</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Stockholders’ Equity (unaudited) – Six months ended June 30, 2014</w:t>
              </w:r>
            </w:hyperlink>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6</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(unaudited) – Six months ended June 30, 2014 and 2013</w:t>
              </w:r>
            </w:hyperlink>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7</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Condensed Consolidated Financial Statements (unaudited)</w:t>
              </w:r>
            </w:hyperlink>
          </w:p>
        </w:tc>
        <w:tc>
          <w:tcPr>
            <w:tcW w:w="4580" w:type="dxa"/>
            <w:vAlign w:val="bottom"/>
            <w:gridSpan w:val="7"/>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2.</w:t>
              </w:r>
            </w:hyperlink>
          </w:p>
        </w:tc>
        <w:tc>
          <w:tcPr>
            <w:tcW w:w="860" w:type="dxa"/>
            <w:vAlign w:val="bottom"/>
            <w:gridSpan w:val="4"/>
          </w:tcPr>
          <w:p>
            <w:pPr>
              <w:spacing w:after="0"/>
              <w:rPr>
                <w:sz w:val="21"/>
                <w:szCs w:val="21"/>
                <w:color w:val="auto"/>
              </w:rPr>
            </w:pPr>
          </w:p>
        </w:tc>
        <w:tc>
          <w:tcPr>
            <w:tcW w:w="9460" w:type="dxa"/>
            <w:vAlign w:val="bottom"/>
            <w:gridSpan w:val="1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28</w:t>
              </w:r>
            </w:hyperlink>
          </w:p>
        </w:tc>
      </w:tr>
      <w:tr>
        <w:trPr>
          <w:trHeight w:val="250"/>
        </w:trPr>
        <w:tc>
          <w:tcPr>
            <w:tcW w:w="380" w:type="dxa"/>
            <w:vAlign w:val="bottom"/>
          </w:tcPr>
          <w:p>
            <w:pPr>
              <w:spacing w:after="0"/>
              <w:rPr>
                <w:sz w:val="21"/>
                <w:szCs w:val="21"/>
                <w:color w:val="auto"/>
              </w:rPr>
            </w:pPr>
          </w:p>
        </w:tc>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Item 3.</w:t>
              </w:r>
            </w:hyperlink>
          </w:p>
        </w:tc>
        <w:tc>
          <w:tcPr>
            <w:tcW w:w="860" w:type="dxa"/>
            <w:vAlign w:val="bottom"/>
            <w:gridSpan w:val="4"/>
          </w:tcPr>
          <w:p>
            <w:pPr>
              <w:spacing w:after="0"/>
              <w:rPr>
                <w:sz w:val="21"/>
                <w:szCs w:val="21"/>
                <w:color w:val="auto"/>
              </w:rPr>
            </w:pPr>
          </w:p>
        </w:tc>
        <w:tc>
          <w:tcPr>
            <w:tcW w:w="43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1"/>
                <w:szCs w:val="21"/>
                <w:color w:val="auto"/>
              </w:rPr>
            </w:pPr>
          </w:p>
        </w:tc>
        <w:tc>
          <w:tcPr>
            <w:tcW w:w="3000" w:type="dxa"/>
            <w:vAlign w:val="bottom"/>
            <w:gridSpan w:val="6"/>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44</w:t>
              </w:r>
            </w:hyperlink>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Item 4.</w:t>
              </w:r>
            </w:hyperlink>
          </w:p>
        </w:tc>
        <w:tc>
          <w:tcPr>
            <w:tcW w:w="860" w:type="dxa"/>
            <w:vAlign w:val="bottom"/>
            <w:gridSpan w:val="4"/>
          </w:tcPr>
          <w:p>
            <w:pPr>
              <w:spacing w:after="0"/>
              <w:rPr>
                <w:sz w:val="21"/>
                <w:szCs w:val="21"/>
                <w:color w:val="auto"/>
              </w:rPr>
            </w:pP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46">
              <w:r>
                <w:rPr>
                  <w:rFonts w:ascii="Arial" w:cs="Arial" w:eastAsia="Arial" w:hAnsi="Arial"/>
                  <w:sz w:val="18"/>
                  <w:szCs w:val="18"/>
                  <w:color w:val="0000EE"/>
                  <w:w w:val="88"/>
                </w:rPr>
                <w:t>Controls and Procedures</w:t>
              </w:r>
            </w:hyperlink>
          </w:p>
        </w:tc>
        <w:tc>
          <w:tcPr>
            <w:tcW w:w="7680" w:type="dxa"/>
            <w:vAlign w:val="bottom"/>
            <w:gridSpan w:val="10"/>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46</w:t>
              </w:r>
            </w:hyperlink>
          </w:p>
        </w:tc>
      </w:tr>
      <w:tr>
        <w:trPr>
          <w:trHeight w:val="588"/>
        </w:trPr>
        <w:tc>
          <w:tcPr>
            <w:tcW w:w="1760" w:type="dxa"/>
            <w:vAlign w:val="bottom"/>
            <w:gridSpan w:val="6"/>
          </w:tcPr>
          <w:p>
            <w:pPr>
              <w:ind w:left="40"/>
              <w:spacing w:after="0"/>
              <w:rPr>
                <w:sz w:val="20"/>
                <w:szCs w:val="20"/>
                <w:color w:val="auto"/>
              </w:rPr>
            </w:pPr>
            <w:r>
              <w:rPr>
                <w:rFonts w:ascii="Arial" w:cs="Arial" w:eastAsia="Arial" w:hAnsi="Arial"/>
                <w:sz w:val="18"/>
                <w:szCs w:val="18"/>
                <w:b w:val="1"/>
                <w:bCs w:val="1"/>
                <w:color w:val="auto"/>
              </w:rPr>
              <w:t>Part II.</w:t>
            </w:r>
          </w:p>
        </w:tc>
        <w:tc>
          <w:tcPr>
            <w:tcW w:w="9460" w:type="dxa"/>
            <w:vAlign w:val="bottom"/>
            <w:gridSpan w:val="17"/>
          </w:tcPr>
          <w:p>
            <w:pPr>
              <w:spacing w:after="0"/>
              <w:rPr>
                <w:sz w:val="20"/>
                <w:szCs w:val="20"/>
                <w:color w:val="auto"/>
              </w:rPr>
            </w:pPr>
            <w:r>
              <w:rPr>
                <w:rFonts w:ascii="Arial" w:cs="Arial" w:eastAsia="Arial" w:hAnsi="Arial"/>
                <w:sz w:val="18"/>
                <w:szCs w:val="18"/>
                <w:b w:val="1"/>
                <w:bCs w:val="1"/>
                <w:color w:val="auto"/>
              </w:rPr>
              <w:t>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80" w:type="dxa"/>
            <w:vAlign w:val="bottom"/>
          </w:tcPr>
          <w:p>
            <w:pPr>
              <w:spacing w:after="0"/>
              <w:rPr>
                <w:sz w:val="19"/>
                <w:szCs w:val="19"/>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1.</w:t>
              </w:r>
            </w:hyperlink>
          </w:p>
        </w:tc>
        <w:tc>
          <w:tcPr>
            <w:tcW w:w="860" w:type="dxa"/>
            <w:vAlign w:val="bottom"/>
            <w:gridSpan w:val="4"/>
          </w:tcPr>
          <w:p>
            <w:pPr>
              <w:spacing w:after="0"/>
              <w:rPr>
                <w:sz w:val="19"/>
                <w:szCs w:val="19"/>
                <w:color w:val="auto"/>
              </w:rPr>
            </w:pP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48">
              <w:r>
                <w:rPr>
                  <w:rFonts w:ascii="Arial" w:cs="Arial" w:eastAsia="Arial" w:hAnsi="Arial"/>
                  <w:sz w:val="18"/>
                  <w:szCs w:val="18"/>
                  <w:color w:val="0000EE"/>
                  <w:w w:val="88"/>
                </w:rPr>
                <w:t>Legal Proceedings</w:t>
              </w:r>
            </w:hyperlink>
          </w:p>
        </w:tc>
        <w:tc>
          <w:tcPr>
            <w:tcW w:w="8120" w:type="dxa"/>
            <w:vAlign w:val="bottom"/>
            <w:gridSpan w:val="13"/>
          </w:tcPr>
          <w:p>
            <w:pPr>
              <w:spacing w:after="0"/>
              <w:rPr>
                <w:sz w:val="19"/>
                <w:szCs w:val="19"/>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47</w:t>
              </w:r>
            </w:hyperlink>
          </w:p>
        </w:tc>
      </w:tr>
      <w:tr>
        <w:trPr>
          <w:trHeight w:val="250"/>
        </w:trPr>
        <w:tc>
          <w:tcPr>
            <w:tcW w:w="380" w:type="dxa"/>
            <w:vAlign w:val="bottom"/>
          </w:tcPr>
          <w:p>
            <w:pPr>
              <w:spacing w:after="0"/>
              <w:rPr>
                <w:sz w:val="21"/>
                <w:szCs w:val="21"/>
                <w:color w:val="auto"/>
              </w:rPr>
            </w:pPr>
          </w:p>
        </w:tc>
        <w:tc>
          <w:tcPr>
            <w:tcW w:w="1380" w:type="dxa"/>
            <w:vAlign w:val="bottom"/>
            <w:gridSpan w:val="5"/>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1A.</w:t>
              </w:r>
            </w:hyperlink>
          </w:p>
        </w:tc>
        <w:tc>
          <w:tcPr>
            <w:tcW w:w="9460" w:type="dxa"/>
            <w:vAlign w:val="bottom"/>
            <w:gridSpan w:val="1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47</w:t>
              </w:r>
            </w:hyperlink>
          </w:p>
        </w:tc>
      </w:tr>
      <w:tr>
        <w:trPr>
          <w:trHeight w:val="20"/>
        </w:trPr>
        <w:tc>
          <w:tcPr>
            <w:tcW w:w="3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2.</w:t>
              </w:r>
            </w:hyperlink>
          </w:p>
        </w:tc>
        <w:tc>
          <w:tcPr>
            <w:tcW w:w="120" w:type="dxa"/>
            <w:vAlign w:val="bottom"/>
          </w:tcPr>
          <w:p>
            <w:pPr>
              <w:spacing w:after="0"/>
              <w:rPr>
                <w:sz w:val="21"/>
                <w:szCs w:val="21"/>
                <w:color w:val="auto"/>
              </w:rPr>
            </w:pPr>
          </w:p>
        </w:tc>
        <w:tc>
          <w:tcPr>
            <w:tcW w:w="740" w:type="dxa"/>
            <w:vAlign w:val="bottom"/>
            <w:gridSpan w:val="3"/>
          </w:tcPr>
          <w:p>
            <w:pPr>
              <w:spacing w:after="0"/>
              <w:rPr>
                <w:sz w:val="21"/>
                <w:szCs w:val="21"/>
                <w:color w:val="auto"/>
              </w:rPr>
            </w:pPr>
          </w:p>
        </w:tc>
        <w:tc>
          <w:tcPr>
            <w:tcW w:w="43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Unregistered Sales of Equity Securities and Use of Proceeds</w:t>
              </w:r>
            </w:hyperlink>
          </w:p>
        </w:tc>
        <w:tc>
          <w:tcPr>
            <w:tcW w:w="5100" w:type="dxa"/>
            <w:vAlign w:val="bottom"/>
            <w:gridSpan w:val="9"/>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47</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6.</w:t>
              </w:r>
            </w:hyperlink>
          </w:p>
        </w:tc>
        <w:tc>
          <w:tcPr>
            <w:tcW w:w="860" w:type="dxa"/>
            <w:vAlign w:val="bottom"/>
            <w:gridSpan w:val="4"/>
          </w:tcPr>
          <w:p>
            <w:pPr>
              <w:spacing w:after="0"/>
              <w:rPr>
                <w:sz w:val="21"/>
                <w:szCs w:val="21"/>
                <w:color w:val="auto"/>
              </w:rPr>
            </w:pPr>
          </w:p>
        </w:tc>
        <w:tc>
          <w:tcPr>
            <w:tcW w:w="9460" w:type="dxa"/>
            <w:vAlign w:val="bottom"/>
            <w:gridSpan w:val="1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48</w:t>
              </w:r>
            </w:hyperlink>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380" w:type="dxa"/>
            <w:vAlign w:val="bottom"/>
            <w:gridSpan w:val="5"/>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Signature</w:t>
              </w:r>
            </w:hyperlink>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gridSpan w:val="2"/>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r>
      <w:tr>
        <w:trPr>
          <w:trHeight w:val="507"/>
        </w:trPr>
        <w:tc>
          <w:tcPr>
            <w:tcW w:w="38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4360" w:type="dxa"/>
            <w:vAlign w:val="bottom"/>
            <w:gridSpan w:val="8"/>
          </w:tcPr>
          <w:p>
            <w:pPr>
              <w:jc w:val="center"/>
              <w:ind w:left="3450"/>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14"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6"/>
                <w:szCs w:val="16"/>
                <w:color w:val="auto"/>
              </w:rPr>
            </w:pPr>
          </w:p>
        </w:tc>
        <w:tc>
          <w:tcPr>
            <w:tcW w:w="1280" w:type="dxa"/>
            <w:vAlign w:val="bottom"/>
          </w:tcPr>
          <w:p>
            <w:pPr>
              <w:jc w:val="right"/>
              <w:ind w:right="221"/>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04"/>
        </w:trPr>
        <w:tc>
          <w:tcPr>
            <w:tcW w:w="8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ind w:right="521"/>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501"/>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8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(unaudited)</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542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3,035,111</w:t>
            </w:r>
          </w:p>
        </w:tc>
        <w:tc>
          <w:tcPr>
            <w:tcW w:w="120" w:type="dxa"/>
            <w:vAlign w:val="bottom"/>
          </w:tcPr>
          <w:p>
            <w:pPr>
              <w:spacing w:after="0"/>
              <w:rPr>
                <w:sz w:val="21"/>
                <w:szCs w:val="21"/>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2,435,041</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242,148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174,399</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Receivables, net</w:t>
            </w:r>
          </w:p>
        </w:tc>
        <w:tc>
          <w:tcPr>
            <w:tcW w:w="24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218,905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241,932</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70,132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74,739</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Prepaid expenses and other</w:t>
            </w:r>
          </w:p>
        </w:tc>
        <w:tc>
          <w:tcPr>
            <w:tcW w:w="24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51,884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42,703</w:t>
            </w:r>
          </w:p>
        </w:tc>
        <w:tc>
          <w:tcPr>
            <w:tcW w:w="0" w:type="dxa"/>
            <w:vAlign w:val="bottom"/>
          </w:tcPr>
          <w:p>
            <w:pPr>
              <w:spacing w:after="0"/>
              <w:rPr>
                <w:sz w:val="1"/>
                <w:szCs w:val="1"/>
                <w:color w:val="auto"/>
              </w:rPr>
            </w:pP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3,618,180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2,968,814</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5,215,723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4,934,449</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199,936</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Investment securities</w:t>
            </w:r>
          </w:p>
        </w:tc>
        <w:tc>
          <w:tcPr>
            <w:tcW w:w="24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8,525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79,989</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29,576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30,767</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Deferred financing costs, net</w:t>
            </w:r>
          </w:p>
        </w:tc>
        <w:tc>
          <w:tcPr>
            <w:tcW w:w="24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68,389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67,926</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Deposits and 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126,855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91,001</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Investment in unconsolidated affiliates</w:t>
            </w:r>
          </w:p>
        </w:tc>
        <w:tc>
          <w:tcPr>
            <w:tcW w:w="24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4,094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4,148</w:t>
            </w:r>
          </w:p>
        </w:tc>
        <w:tc>
          <w:tcPr>
            <w:tcW w:w="0" w:type="dxa"/>
            <w:vAlign w:val="bottom"/>
          </w:tcPr>
          <w:p>
            <w:pPr>
              <w:spacing w:after="0"/>
              <w:rPr>
                <w:sz w:val="1"/>
                <w:szCs w:val="1"/>
                <w:color w:val="auto"/>
              </w:rPr>
            </w:pP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9,071,342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8,377,030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0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3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Accounts and construction payables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223,961</w:t>
            </w:r>
          </w:p>
        </w:tc>
        <w:tc>
          <w:tcPr>
            <w:tcW w:w="120" w:type="dxa"/>
            <w:vAlign w:val="bottom"/>
          </w:tcPr>
          <w:p>
            <w:pPr>
              <w:spacing w:after="0"/>
              <w:rPr>
                <w:sz w:val="21"/>
                <w:szCs w:val="21"/>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272,861</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1,050</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Current portion of land concession obligation</w:t>
            </w:r>
          </w:p>
        </w:tc>
        <w:tc>
          <w:tcPr>
            <w:tcW w:w="24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30,084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29,341</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Customer deposits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616,223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704,401</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Gaming taxes payable</w:t>
            </w:r>
          </w:p>
        </w:tc>
        <w:tc>
          <w:tcPr>
            <w:tcW w:w="24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144,382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205,260</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compensation and benefits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118,792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83,769</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Accrued interest</w:t>
            </w:r>
          </w:p>
        </w:tc>
        <w:tc>
          <w:tcPr>
            <w:tcW w:w="24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89,350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101,442</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accrued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57,288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53,375</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Deferred income taxes, net</w:t>
            </w:r>
          </w:p>
        </w:tc>
        <w:tc>
          <w:tcPr>
            <w:tcW w:w="24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4,035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4,035</w:t>
            </w:r>
          </w:p>
        </w:tc>
        <w:tc>
          <w:tcPr>
            <w:tcW w:w="0" w:type="dxa"/>
            <w:vAlign w:val="bottom"/>
          </w:tcPr>
          <w:p>
            <w:pPr>
              <w:spacing w:after="0"/>
              <w:rPr>
                <w:sz w:val="1"/>
                <w:szCs w:val="1"/>
                <w:color w:val="auto"/>
              </w:rPr>
            </w:pP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1,285,165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1,455,534</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7,310,134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6,586,518</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concession obligation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31,608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46,819</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24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117,621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141,465</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 net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38,649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14,343</w:t>
            </w:r>
          </w:p>
        </w:tc>
        <w:tc>
          <w:tcPr>
            <w:tcW w:w="0" w:type="dxa"/>
            <w:vAlign w:val="bottom"/>
          </w:tcPr>
          <w:p>
            <w:pPr>
              <w:spacing w:after="0"/>
              <w:rPr>
                <w:sz w:val="1"/>
                <w:szCs w:val="1"/>
                <w:color w:val="auto"/>
              </w:rPr>
            </w:pPr>
          </w:p>
        </w:tc>
      </w:tr>
      <w:tr>
        <w:trPr>
          <w:trHeight w:val="229"/>
        </w:trPr>
        <w:tc>
          <w:tcPr>
            <w:tcW w:w="8340" w:type="dxa"/>
            <w:vAlign w:val="bottom"/>
          </w:tcPr>
          <w:p>
            <w:pPr>
              <w:ind w:left="720"/>
              <w:spacing w:after="0"/>
              <w:rPr>
                <w:sz w:val="20"/>
                <w:szCs w:val="20"/>
                <w:color w:val="auto"/>
              </w:rPr>
            </w:pPr>
            <w:r>
              <w:rPr>
                <w:rFonts w:ascii="Arial" w:cs="Arial" w:eastAsia="Arial" w:hAnsi="Arial"/>
                <w:sz w:val="16"/>
                <w:szCs w:val="16"/>
                <w:color w:val="auto"/>
              </w:rPr>
              <w:t>Total liabilities</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8,783,177</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8,244,679</w:t>
            </w:r>
          </w:p>
        </w:tc>
        <w:tc>
          <w:tcPr>
            <w:tcW w:w="0" w:type="dxa"/>
            <w:vAlign w:val="bottom"/>
          </w:tcPr>
          <w:p>
            <w:pPr>
              <w:spacing w:after="0"/>
              <w:rPr>
                <w:sz w:val="1"/>
                <w:szCs w:val="1"/>
                <w:color w:val="auto"/>
              </w:rPr>
            </w:pP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14)</w:t>
            </w: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Preferred stock, par value $0.01; 40,000,000 shares authorized; zero shares issued and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8340" w:type="dxa"/>
            <w:vAlign w:val="bottom"/>
          </w:tcPr>
          <w:p>
            <w:pPr>
              <w:ind w:left="380"/>
              <w:spacing w:after="0"/>
              <w:rPr>
                <w:sz w:val="20"/>
                <w:szCs w:val="20"/>
                <w:color w:val="auto"/>
              </w:rPr>
            </w:pPr>
            <w:r>
              <w:rPr>
                <w:rFonts w:ascii="Arial" w:cs="Arial" w:eastAsia="Arial" w:hAnsi="Arial"/>
                <w:sz w:val="16"/>
                <w:szCs w:val="16"/>
                <w:color w:val="auto"/>
                <w:w w:val="90"/>
              </w:rPr>
              <w:t>Common stock, par value $0.01; 400,000,000 shares authorized; 114,335,360 and 114,170,493 shares issued; 101,348,244</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340" w:type="dxa"/>
            <w:vAlign w:val="bottom"/>
          </w:tcPr>
          <w:p>
            <w:pPr>
              <w:ind w:left="380"/>
              <w:spacing w:after="0"/>
              <w:rPr>
                <w:sz w:val="20"/>
                <w:szCs w:val="20"/>
                <w:color w:val="auto"/>
              </w:rPr>
            </w:pPr>
            <w:r>
              <w:rPr>
                <w:rFonts w:ascii="Arial" w:cs="Arial" w:eastAsia="Arial" w:hAnsi="Arial"/>
                <w:sz w:val="16"/>
                <w:szCs w:val="16"/>
                <w:color w:val="auto"/>
              </w:rPr>
              <w:t>and 101,192,408 shares outstanding, respectively</w:t>
            </w:r>
          </w:p>
        </w:tc>
        <w:tc>
          <w:tcPr>
            <w:tcW w:w="240" w:type="dxa"/>
            <w:vAlign w:val="bottom"/>
          </w:tcPr>
          <w:p>
            <w:pPr>
              <w:spacing w:after="0"/>
              <w:rPr>
                <w:sz w:val="17"/>
                <w:szCs w:val="17"/>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1,143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1,142</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Treasury stock, at cost; 12,987,116 and 12,978,085 shares,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(1,145,380)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(1,143,419)</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918,612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888,727</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2,913</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243,921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66,130</w:t>
            </w:r>
          </w:p>
        </w:tc>
        <w:tc>
          <w:tcPr>
            <w:tcW w:w="0" w:type="dxa"/>
            <w:vAlign w:val="bottom"/>
          </w:tcPr>
          <w:p>
            <w:pPr>
              <w:spacing w:after="0"/>
              <w:rPr>
                <w:sz w:val="1"/>
                <w:szCs w:val="1"/>
                <w:color w:val="auto"/>
              </w:rPr>
            </w:pP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Wynn Resorts, Limited stockholders’ equity (deficit)</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21,410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(184,507)</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Noncontrolling interest</w:t>
            </w:r>
          </w:p>
        </w:tc>
        <w:tc>
          <w:tcPr>
            <w:tcW w:w="24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266,755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316,858</w:t>
            </w:r>
          </w:p>
        </w:tc>
        <w:tc>
          <w:tcPr>
            <w:tcW w:w="0" w:type="dxa"/>
            <w:vAlign w:val="bottom"/>
          </w:tcPr>
          <w:p>
            <w:pPr>
              <w:spacing w:after="0"/>
              <w:rPr>
                <w:sz w:val="1"/>
                <w:szCs w:val="1"/>
                <w:color w:val="auto"/>
              </w:rPr>
            </w:pP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equity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288,165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132,351</w:t>
            </w:r>
          </w:p>
        </w:tc>
        <w:tc>
          <w:tcPr>
            <w:tcW w:w="0" w:type="dxa"/>
            <w:vAlign w:val="bottom"/>
          </w:tcPr>
          <w:p>
            <w:pPr>
              <w:spacing w:after="0"/>
              <w:rPr>
                <w:sz w:val="1"/>
                <w:szCs w:val="1"/>
                <w:color w:val="auto"/>
              </w:rPr>
            </w:pPr>
          </w:p>
        </w:tc>
      </w:tr>
      <w:tr>
        <w:trPr>
          <w:trHeight w:val="215"/>
        </w:trPr>
        <w:tc>
          <w:tcPr>
            <w:tcW w:w="8340" w:type="dxa"/>
            <w:vAlign w:val="bottom"/>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9,071,342</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8,377,030</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732"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1" w:right="239" w:bottom="732"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Casino</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1,091,595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1,016,148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2,317,728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2,122,651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141,355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129,373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277,831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249,853</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174,308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169,555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316,145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309,256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98,635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103,046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205,495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204,594</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Gross revenues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1,505,893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1,418,122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3,117,199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2,886,354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promotional allowances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(93,830)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(85,849)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(191,523)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(175,427)</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Net revenues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1,412,063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1,332,273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2,925,676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2,710,927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Casino</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681,236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665,422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1,464,970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1,362,610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67,374</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100,686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95,467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175,639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169,340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42,956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84,413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83,282</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128,520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132,381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239,797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227,290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for doubtful accounts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8,074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93,218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155,010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185,736</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5,612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12,034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10,958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1,070,721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1,058,249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2,207,503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2,103,255</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341,342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274,024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718,173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607,672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5,505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4,158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10,258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8,380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capitalized interest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(157,021)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(149,141)</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(Decrease) increase in swap fair value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13,512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16,656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(26,578)</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(82,176)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(80,184)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(153,355)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(146,830)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259,166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193,840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564,818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460,842</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(Provision) benefit for income taxes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4,018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258,402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192,716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561,445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464,860</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Less: net income attributable to noncontrolling interest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(54,496)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(62,931)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(130,643)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(132,112)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203,906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129,785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430,802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332,748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and diluted income per common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Wynn Resorts, Limited:</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72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100,915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100,484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100,869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100,361</w:t>
            </w:r>
          </w:p>
        </w:tc>
        <w:tc>
          <w:tcPr>
            <w:tcW w:w="0" w:type="dxa"/>
            <w:vAlign w:val="bottom"/>
          </w:tcPr>
          <w:p>
            <w:pPr>
              <w:spacing w:after="0"/>
              <w:rPr>
                <w:sz w:val="1"/>
                <w:szCs w:val="1"/>
                <w:color w:val="auto"/>
              </w:rPr>
            </w:pPr>
          </w:p>
        </w:tc>
      </w:tr>
      <w:tr>
        <w:trPr>
          <w:trHeight w:val="243"/>
        </w:trPr>
        <w:tc>
          <w:tcPr>
            <w:tcW w:w="5620" w:type="dxa"/>
            <w:vAlign w:val="bottom"/>
          </w:tcPr>
          <w:p>
            <w:pPr>
              <w:ind w:left="72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102,018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101,549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101,979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101,493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declared per common share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258,402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192,716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561,445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464,860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 net of tax</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(1,786)</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w w:val="94"/>
              </w:rPr>
              <w:t>Unrealized gain (loss) on available-for-sale securities, net of tax</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259,201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193,266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561,699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462,890</w:t>
            </w:r>
          </w:p>
        </w:tc>
      </w:tr>
      <w:tr>
        <w:trPr>
          <w:trHeight w:val="229"/>
        </w:trPr>
        <w:tc>
          <w:tcPr>
            <w:tcW w:w="5160" w:type="dxa"/>
            <w:vAlign w:val="bottom"/>
          </w:tcPr>
          <w:p>
            <w:pPr>
              <w:ind w:left="380"/>
              <w:spacing w:after="0"/>
              <w:rPr>
                <w:sz w:val="20"/>
                <w:szCs w:val="20"/>
                <w:color w:val="auto"/>
              </w:rPr>
            </w:pPr>
            <w:r>
              <w:rPr>
                <w:rFonts w:ascii="Arial" w:cs="Arial" w:eastAsia="Arial" w:hAnsi="Arial"/>
                <w:sz w:val="18"/>
                <w:szCs w:val="18"/>
                <w:color w:val="auto"/>
              </w:rPr>
              <w:t>Less: comprehensive income attributable to noncontrolling</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60" w:type="dxa"/>
            <w:vAlign w:val="bottom"/>
          </w:tcPr>
          <w:p>
            <w:pPr>
              <w:ind w:left="380"/>
              <w:spacing w:after="0"/>
              <w:rPr>
                <w:sz w:val="20"/>
                <w:szCs w:val="20"/>
                <w:color w:val="auto"/>
              </w:rPr>
            </w:pPr>
            <w:r>
              <w:rPr>
                <w:rFonts w:ascii="Arial" w:cs="Arial" w:eastAsia="Arial" w:hAnsi="Arial"/>
                <w:sz w:val="18"/>
                <w:szCs w:val="18"/>
                <w:color w:val="auto"/>
              </w:rPr>
              <w:t>interest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(54,709)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(63,185)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(130,696)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(131,641)</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Wynn Resorts, Limited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204,492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130,081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431,003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331,249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0" w:right="460"/>
        <w:spacing w:after="0" w:line="327" w:lineRule="auto"/>
        <w:rPr>
          <w:sz w:val="20"/>
          <w:szCs w:val="20"/>
          <w:color w:val="auto"/>
        </w:rPr>
      </w:pPr>
      <w:r>
        <w:rPr>
          <w:rFonts w:ascii="Arial" w:cs="Arial" w:eastAsia="Arial" w:hAnsi="Arial"/>
          <w:sz w:val="13"/>
          <w:szCs w:val="13"/>
          <w:b w:val="1"/>
          <w:bCs w:val="1"/>
          <w:color w:val="auto"/>
        </w:rPr>
        <w:t xml:space="preserve">Balances, January 1, 2014 </w:t>
      </w:r>
      <w:r>
        <w:rPr>
          <w:rFonts w:ascii="Arial" w:cs="Arial" w:eastAsia="Arial" w:hAnsi="Arial"/>
          <w:sz w:val="13"/>
          <w:szCs w:val="13"/>
          <w:color w:val="auto"/>
        </w:rPr>
        <w:t>Net income</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Currency translation adjustment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1"/>
          <w:szCs w:val="11"/>
          <w:color w:val="auto"/>
        </w:rPr>
        <w:t>Net unrealized gain on investments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Exercise of stock options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Cancellation of restricted stock</w:t>
      </w:r>
    </w:p>
    <w:p>
      <w:pPr>
        <w:spacing w:after="0" w:line="121" w:lineRule="exact"/>
        <w:rPr>
          <w:sz w:val="20"/>
          <w:szCs w:val="20"/>
          <w:color w:val="auto"/>
        </w:rPr>
      </w:pPr>
    </w:p>
    <w:p>
      <w:pPr>
        <w:ind w:left="520" w:right="20"/>
        <w:spacing w:after="0" w:line="307" w:lineRule="auto"/>
        <w:rPr>
          <w:sz w:val="20"/>
          <w:szCs w:val="20"/>
          <w:color w:val="auto"/>
        </w:rPr>
      </w:pPr>
      <w:r>
        <w:rPr>
          <w:rFonts w:ascii="Arial" w:cs="Arial" w:eastAsia="Arial" w:hAnsi="Arial"/>
          <w:sz w:val="11"/>
          <w:szCs w:val="11"/>
          <w:color w:val="auto"/>
        </w:rPr>
        <w:t>Shares repurchased by the Company and held as treasury shares</w:t>
      </w:r>
    </w:p>
    <w:p>
      <w:pPr>
        <w:spacing w:after="0" w:line="1" w:lineRule="exact"/>
        <w:rPr>
          <w:sz w:val="20"/>
          <w:szCs w:val="20"/>
          <w:color w:val="auto"/>
        </w:rPr>
      </w:pPr>
    </w:p>
    <w:p>
      <w:pPr>
        <w:ind w:left="520" w:right="500"/>
        <w:spacing w:after="0" w:line="512" w:lineRule="auto"/>
        <w:rPr>
          <w:sz w:val="20"/>
          <w:szCs w:val="20"/>
          <w:color w:val="auto"/>
        </w:rPr>
      </w:pPr>
      <w:r>
        <w:rPr>
          <w:rFonts w:ascii="Arial" w:cs="Arial" w:eastAsia="Arial" w:hAnsi="Arial"/>
          <w:sz w:val="11"/>
          <w:szCs w:val="11"/>
          <w:color w:val="auto"/>
        </w:rPr>
        <w:t>Issuance of restricted stock Cash dividends declared</w:t>
      </w:r>
    </w:p>
    <w:p>
      <w:pPr>
        <w:spacing w:after="0" w:line="1" w:lineRule="exact"/>
        <w:rPr>
          <w:sz w:val="20"/>
          <w:szCs w:val="20"/>
          <w:color w:val="auto"/>
        </w:rPr>
      </w:pPr>
    </w:p>
    <w:p>
      <w:pPr>
        <w:ind w:left="520"/>
        <w:spacing w:after="0" w:line="237" w:lineRule="auto"/>
        <w:rPr>
          <w:sz w:val="20"/>
          <w:szCs w:val="20"/>
          <w:color w:val="auto"/>
        </w:rPr>
      </w:pPr>
      <w:r>
        <w:rPr>
          <w:rFonts w:ascii="Arial" w:cs="Arial" w:eastAsia="Arial" w:hAnsi="Arial"/>
          <w:sz w:val="13"/>
          <w:szCs w:val="13"/>
          <w:color w:val="auto"/>
        </w:rPr>
        <w:t>Excess tax benefits from stock-based compensation</w:t>
      </w:r>
    </w:p>
    <w:p>
      <w:pPr>
        <w:spacing w:after="0" w:line="2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Stock-based compensation</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Balances, June 30, 2014</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jc w:val="center"/>
        <w:ind w:right="246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ind w:right="2460"/>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ind w:right="2460"/>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246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20" w:type="dxa"/>
            <w:vAlign w:val="bottom"/>
            <w:gridSpan w:val="5"/>
          </w:tcPr>
          <w:p>
            <w:pPr>
              <w:ind w:left="46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30"/>
        </w:trPr>
        <w:tc>
          <w:tcPr>
            <w:tcW w:w="9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91"/>
              </w:rPr>
              <w:t>Total Wynn</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5"/>
        </w:trPr>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other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Resorts, Ltd.</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2"/>
              </w:rPr>
              <w:t>Shares</w:t>
            </w:r>
          </w:p>
        </w:tc>
        <w:tc>
          <w:tcPr>
            <w:tcW w:w="140" w:type="dxa"/>
            <w:vAlign w:val="bottom"/>
          </w:tcPr>
          <w:p>
            <w:pPr>
              <w:spacing w:after="0"/>
              <w:rPr>
                <w:sz w:val="11"/>
                <w:szCs w:val="11"/>
                <w:color w:val="auto"/>
              </w:rPr>
            </w:pPr>
          </w:p>
        </w:tc>
        <w:tc>
          <w:tcPr>
            <w:tcW w:w="6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Par</w:t>
            </w:r>
          </w:p>
        </w:tc>
        <w:tc>
          <w:tcPr>
            <w:tcW w:w="14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Treasury</w:t>
            </w:r>
          </w:p>
        </w:tc>
        <w:tc>
          <w:tcPr>
            <w:tcW w:w="10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3"/>
              </w:rPr>
              <w:t>paid-in</w:t>
            </w: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10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stockholders’</w:t>
            </w: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20" w:type="dxa"/>
            <w:vAlign w:val="bottom"/>
          </w:tcPr>
          <w:p>
            <w:pPr>
              <w:spacing w:after="0"/>
              <w:rPr>
                <w:sz w:val="11"/>
                <w:szCs w:val="11"/>
                <w:color w:val="auto"/>
              </w:rPr>
            </w:pPr>
          </w:p>
        </w:tc>
        <w:tc>
          <w:tcPr>
            <w:tcW w:w="8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5"/>
              </w:rPr>
              <w:t>stockholders’</w:t>
            </w:r>
          </w:p>
        </w:tc>
      </w:tr>
      <w:tr>
        <w:trPr>
          <w:trHeight w:val="174"/>
        </w:trPr>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outstanding</w:t>
            </w:r>
          </w:p>
        </w:tc>
        <w:tc>
          <w:tcPr>
            <w:tcW w:w="140" w:type="dxa"/>
            <w:vAlign w:val="bottom"/>
          </w:tcPr>
          <w:p>
            <w:pPr>
              <w:spacing w:after="0"/>
              <w:rPr>
                <w:sz w:val="15"/>
                <w:szCs w:val="15"/>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value</w:t>
            </w:r>
          </w:p>
        </w:tc>
        <w:tc>
          <w:tcPr>
            <w:tcW w:w="14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stock</w:t>
            </w:r>
          </w:p>
        </w:tc>
        <w:tc>
          <w:tcPr>
            <w:tcW w:w="100" w:type="dxa"/>
            <w:vAlign w:val="bottom"/>
          </w:tcPr>
          <w:p>
            <w:pPr>
              <w:spacing w:after="0"/>
              <w:rPr>
                <w:sz w:val="15"/>
                <w:szCs w:val="15"/>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3"/>
              </w:rPr>
              <w:t>income</w:t>
            </w:r>
          </w:p>
        </w:tc>
        <w:tc>
          <w:tcPr>
            <w:tcW w:w="10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equity (deficit)</w:t>
            </w: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interest</w:t>
            </w:r>
          </w:p>
        </w:tc>
        <w:tc>
          <w:tcPr>
            <w:tcW w:w="120" w:type="dxa"/>
            <w:vAlign w:val="bottom"/>
          </w:tcPr>
          <w:p>
            <w:pPr>
              <w:spacing w:after="0"/>
              <w:rPr>
                <w:sz w:val="15"/>
                <w:szCs w:val="15"/>
                <w:color w:val="auto"/>
              </w:rPr>
            </w:pPr>
          </w:p>
        </w:tc>
        <w:tc>
          <w:tcPr>
            <w:tcW w:w="860" w:type="dxa"/>
            <w:vAlign w:val="bottom"/>
          </w:tcPr>
          <w:p>
            <w:pPr>
              <w:jc w:val="center"/>
              <w:ind w:right="57"/>
              <w:spacing w:after="0"/>
              <w:rPr>
                <w:sz w:val="20"/>
                <w:szCs w:val="20"/>
                <w:color w:val="auto"/>
              </w:rPr>
            </w:pPr>
            <w:r>
              <w:rPr>
                <w:rFonts w:ascii="Arial" w:cs="Arial" w:eastAsia="Arial" w:hAnsi="Arial"/>
                <w:sz w:val="13"/>
                <w:szCs w:val="13"/>
                <w:b w:val="1"/>
                <w:bCs w:val="1"/>
                <w:color w:val="auto"/>
                <w:w w:val="88"/>
              </w:rPr>
              <w:t>equity</w:t>
            </w:r>
          </w:p>
        </w:tc>
      </w:tr>
      <w:tr>
        <w:trPr>
          <w:trHeight w:val="241"/>
        </w:trPr>
        <w:tc>
          <w:tcPr>
            <w:tcW w:w="9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101,192,408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5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1,142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6"/>
              </w:rPr>
              <w:t>(1,143,419)</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888,727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2,913</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66,130</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(184,507)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316,858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132,351</w:t>
            </w:r>
          </w:p>
        </w:tc>
      </w:tr>
      <w:tr>
        <w:trPr>
          <w:trHeight w:val="270"/>
        </w:trPr>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430,802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430,802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130,643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561,445</w:t>
            </w:r>
          </w:p>
        </w:tc>
      </w:tr>
      <w:tr>
        <w:trPr>
          <w:trHeight w:val="270"/>
        </w:trPr>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112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155</w:t>
            </w:r>
          </w:p>
        </w:tc>
      </w:tr>
      <w:tr>
        <w:trPr>
          <w:trHeight w:val="270"/>
        </w:trPr>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89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89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99</w:t>
            </w:r>
          </w:p>
        </w:tc>
      </w:tr>
      <w:tr>
        <w:trPr>
          <w:trHeight w:val="270"/>
        </w:trPr>
        <w:tc>
          <w:tcPr>
            <w:tcW w:w="900" w:type="dxa"/>
            <w:vAlign w:val="bottom"/>
          </w:tcPr>
          <w:p>
            <w:pPr>
              <w:jc w:val="right"/>
              <w:ind w:right="57"/>
              <w:spacing w:after="0"/>
              <w:rPr>
                <w:sz w:val="20"/>
                <w:szCs w:val="20"/>
                <w:color w:val="auto"/>
              </w:rPr>
            </w:pPr>
            <w:r>
              <w:rPr>
                <w:rFonts w:ascii="Arial" w:cs="Arial" w:eastAsia="Arial" w:hAnsi="Arial"/>
                <w:sz w:val="13"/>
                <w:szCs w:val="13"/>
                <w:color w:val="auto"/>
              </w:rPr>
              <w:t>121,533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6,223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6,224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163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6,387</w:t>
            </w:r>
          </w:p>
        </w:tc>
      </w:tr>
      <w:tr>
        <w:trPr>
          <w:trHeight w:val="270"/>
        </w:trPr>
        <w:tc>
          <w:tcPr>
            <w:tcW w:w="900" w:type="dxa"/>
            <w:vAlign w:val="bottom"/>
          </w:tcPr>
          <w:p>
            <w:pPr>
              <w:jc w:val="right"/>
              <w:ind w:right="17"/>
              <w:spacing w:after="0"/>
              <w:rPr>
                <w:sz w:val="20"/>
                <w:szCs w:val="20"/>
                <w:color w:val="auto"/>
              </w:rPr>
            </w:pPr>
            <w:r>
              <w:rPr>
                <w:rFonts w:ascii="Arial" w:cs="Arial" w:eastAsia="Arial" w:hAnsi="Arial"/>
                <w:sz w:val="13"/>
                <w:szCs w:val="13"/>
                <w:color w:val="auto"/>
              </w:rPr>
              <w:t>(9,166)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324"/>
        </w:trPr>
        <w:tc>
          <w:tcPr>
            <w:tcW w:w="900" w:type="dxa"/>
            <w:vAlign w:val="bottom"/>
          </w:tcPr>
          <w:p>
            <w:pPr>
              <w:jc w:val="right"/>
              <w:ind w:right="17"/>
              <w:spacing w:after="0"/>
              <w:rPr>
                <w:sz w:val="20"/>
                <w:szCs w:val="20"/>
                <w:color w:val="auto"/>
              </w:rPr>
            </w:pPr>
            <w:r>
              <w:rPr>
                <w:rFonts w:ascii="Arial" w:cs="Arial" w:eastAsia="Arial" w:hAnsi="Arial"/>
                <w:sz w:val="13"/>
                <w:szCs w:val="13"/>
                <w:color w:val="auto"/>
              </w:rPr>
              <w:t>(9,031)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(1,961)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(1,961)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(1,961)</w:t>
            </w:r>
          </w:p>
        </w:tc>
      </w:tr>
      <w:tr>
        <w:trPr>
          <w:trHeight w:val="270"/>
        </w:trPr>
        <w:tc>
          <w:tcPr>
            <w:tcW w:w="900" w:type="dxa"/>
            <w:vAlign w:val="bottom"/>
          </w:tcPr>
          <w:p>
            <w:pPr>
              <w:jc w:val="right"/>
              <w:ind w:right="57"/>
              <w:spacing w:after="0"/>
              <w:rPr>
                <w:sz w:val="20"/>
                <w:szCs w:val="20"/>
                <w:color w:val="auto"/>
              </w:rPr>
            </w:pPr>
            <w:r>
              <w:rPr>
                <w:rFonts w:ascii="Arial" w:cs="Arial" w:eastAsia="Arial" w:hAnsi="Arial"/>
                <w:sz w:val="13"/>
                <w:szCs w:val="13"/>
                <w:color w:val="auto"/>
              </w:rPr>
              <w:t>52,500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(253,011)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(252,952)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(181,764)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(434,716)</w:t>
            </w:r>
          </w:p>
        </w:tc>
      </w:tr>
      <w:tr>
        <w:trPr>
          <w:trHeight w:val="324"/>
        </w:trPr>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6,476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6,476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6,476</w:t>
            </w:r>
          </w:p>
        </w:tc>
      </w:tr>
      <w:tr>
        <w:trPr>
          <w:trHeight w:val="280"/>
        </w:trPr>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17,127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17,127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802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17,929</w:t>
            </w:r>
          </w:p>
        </w:tc>
      </w:tr>
      <w:tr>
        <w:trPr>
          <w:trHeight w:val="237"/>
        </w:trPr>
        <w:tc>
          <w:tcPr>
            <w:tcW w:w="9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101,348,244</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5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1,143</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6"/>
              </w:rPr>
              <w:t>(1,145,380)</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918,612</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3,114</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243,921</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21,410</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266,755</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288,165</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-2143125</wp:posOffset>
            </wp:positionV>
            <wp:extent cx="693801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38010" cy="171450"/>
                    </a:xfrm>
                    <a:prstGeom prst="rect">
                      <a:avLst/>
                    </a:prstGeom>
                    <a:noFill/>
                  </pic:spPr>
                </pic:pic>
              </a:graphicData>
            </a:graphic>
          </wp:anchor>
        </w:drawing>
        <w:drawing>
          <wp:anchor simplePos="0" relativeHeight="251657728" behindDoc="1" locked="0" layoutInCell="0" allowOverlap="1">
            <wp:simplePos x="0" y="0"/>
            <wp:positionH relativeFrom="column">
              <wp:posOffset>-1247775</wp:posOffset>
            </wp:positionH>
            <wp:positionV relativeFrom="paragraph">
              <wp:posOffset>-1800225</wp:posOffset>
            </wp:positionV>
            <wp:extent cx="693801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38010" cy="171450"/>
                    </a:xfrm>
                    <a:prstGeom prst="rect">
                      <a:avLst/>
                    </a:prstGeom>
                    <a:noFill/>
                  </pic:spPr>
                </pic:pic>
              </a:graphicData>
            </a:graphic>
          </wp:anchor>
        </w:drawing>
        <w:drawing>
          <wp:anchor simplePos="0" relativeHeight="251657728" behindDoc="1" locked="0" layoutInCell="0" allowOverlap="1">
            <wp:simplePos x="0" y="0"/>
            <wp:positionH relativeFrom="column">
              <wp:posOffset>-1247775</wp:posOffset>
            </wp:positionH>
            <wp:positionV relativeFrom="paragraph">
              <wp:posOffset>-1457325</wp:posOffset>
            </wp:positionV>
            <wp:extent cx="693801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38010" cy="171450"/>
                    </a:xfrm>
                    <a:prstGeom prst="rect">
                      <a:avLst/>
                    </a:prstGeom>
                    <a:noFill/>
                  </pic:spPr>
                </pic:pic>
              </a:graphicData>
            </a:graphic>
          </wp:anchor>
        </w:drawing>
        <w:drawing>
          <wp:anchor simplePos="0" relativeHeight="251657728" behindDoc="1" locked="0" layoutInCell="0" allowOverlap="1">
            <wp:simplePos x="0" y="0"/>
            <wp:positionH relativeFrom="column">
              <wp:posOffset>-1247775</wp:posOffset>
            </wp:positionH>
            <wp:positionV relativeFrom="paragraph">
              <wp:posOffset>-1114425</wp:posOffset>
            </wp:positionV>
            <wp:extent cx="6938010"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38010" cy="205740"/>
                    </a:xfrm>
                    <a:prstGeom prst="rect">
                      <a:avLst/>
                    </a:prstGeom>
                    <a:noFill/>
                  </pic:spPr>
                </pic:pic>
              </a:graphicData>
            </a:graphic>
          </wp:anchor>
        </w:drawing>
        <w:drawing>
          <wp:anchor simplePos="0" relativeHeight="251657728" behindDoc="1" locked="0" layoutInCell="0" allowOverlap="1">
            <wp:simplePos x="0" y="0"/>
            <wp:positionH relativeFrom="column">
              <wp:posOffset>-1247775</wp:posOffset>
            </wp:positionH>
            <wp:positionV relativeFrom="paragraph">
              <wp:posOffset>-736600</wp:posOffset>
            </wp:positionV>
            <wp:extent cx="693801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38010" cy="171450"/>
                    </a:xfrm>
                    <a:prstGeom prst="rect">
                      <a:avLst/>
                    </a:prstGeom>
                    <a:noFill/>
                  </pic:spPr>
                </pic:pic>
              </a:graphicData>
            </a:graphic>
          </wp:anchor>
        </w:drawing>
        <w:drawing>
          <wp:anchor simplePos="0" relativeHeight="251657728" behindDoc="1" locked="0" layoutInCell="0" allowOverlap="1">
            <wp:simplePos x="0" y="0"/>
            <wp:positionH relativeFrom="column">
              <wp:posOffset>-1247775</wp:posOffset>
            </wp:positionH>
            <wp:positionV relativeFrom="paragraph">
              <wp:posOffset>-359410</wp:posOffset>
            </wp:positionV>
            <wp:extent cx="693801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3801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80"/>
            <w:col w:w="8960"/>
          </w:cols>
          <w:pgMar w:left="240" w:top="121"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4"/>
                <w:szCs w:val="14"/>
                <w:b w:val="1"/>
                <w:bCs w:val="1"/>
                <w:color w:val="auto"/>
              </w:rPr>
              <w:t>Six Months Ended June 30,</w:t>
            </w: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2013</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561,445</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464,860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155,010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185,736</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(5,758)</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12,345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29,868</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Excess tax benefits from 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(9,891)</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Amortization and write-offs of deferred financing costs and other</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11,809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8,106</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26,578</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Benefit for doubtful accounts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(5,438)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(4,221)</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Property charges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1,727</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Equity in income of unconsolidated affiliates, net of distributions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165</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Decrease (increase) in swap fair value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(16,656)</w:t>
            </w:r>
          </w:p>
        </w:tc>
      </w:tr>
      <w:tr>
        <w:trPr>
          <w:trHeight w:val="224"/>
        </w:trPr>
        <w:tc>
          <w:tcPr>
            <w:tcW w:w="8340" w:type="dxa"/>
            <w:vAlign w:val="bottom"/>
          </w:tcPr>
          <w:p>
            <w:pPr>
              <w:ind w:left="380"/>
              <w:spacing w:after="0"/>
              <w:rPr>
                <w:sz w:val="20"/>
                <w:szCs w:val="20"/>
                <w:color w:val="auto"/>
              </w:rPr>
            </w:pPr>
            <w:r>
              <w:rPr>
                <w:rFonts w:ascii="Arial" w:cs="Arial" w:eastAsia="Arial" w:hAnsi="Arial"/>
                <w:sz w:val="16"/>
                <w:szCs w:val="16"/>
                <w:color w:val="auto"/>
              </w:rPr>
              <w:t>Increase (decrease) in cash from changes in:</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Receivables,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36,094</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Inventories and prepaid expenses and other</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(2,831)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(9,001)</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Customer deposits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(89,132)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199,834</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Accounts payable and accrued expenses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(108,359)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3,365</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578,093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910,806</w:t>
            </w:r>
          </w:p>
        </w:tc>
      </w:tr>
      <w:tr>
        <w:trPr>
          <w:trHeight w:val="204"/>
        </w:trPr>
        <w:tc>
          <w:tcPr>
            <w:tcW w:w="834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8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Capital expenditures, net of construction payables and retention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(415,583)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(189,722)</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Purchase of corporate debt securities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(92,539)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(126,056)</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or maturity of corporate debt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93,951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77,728</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Restricted cash</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199,805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99,169</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Deposits and purchase of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(6,509)</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Proceeds from sale of assets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3,038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20,284</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(254,188)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(125,106)</w:t>
            </w:r>
          </w:p>
        </w:tc>
      </w:tr>
      <w:tr>
        <w:trPr>
          <w:trHeight w:val="204"/>
        </w:trPr>
        <w:tc>
          <w:tcPr>
            <w:tcW w:w="834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8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15,137</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Excess tax benefits from stock-based compensation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6,451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9,891</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Dividends paid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(434,331)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(438,248)</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Proceeds from issuance of long-term debt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756,229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500,000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Principal payments on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(275,405)</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Repurchase of common stock</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(1,961)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(13,862)</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(243,038)</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Repurchase of first mortgage notes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(32,000)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on long-term land concession obligation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(13,784)</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Payments for financing costs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(10,047)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(24,372)</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Net cash provided by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275,543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(483,681)</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Effect of exchange rate on cash</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622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991</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Increase in cash and cash equivalents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600,070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303,010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Balance,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2,435,041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1,725,219</w:t>
            </w: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color w:val="auto"/>
              </w:rPr>
              <w:t>Balance, end of period</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3,035,111</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2,028,229</w:t>
            </w:r>
          </w:p>
        </w:tc>
      </w:tr>
      <w:tr>
        <w:trPr>
          <w:trHeight w:val="73"/>
        </w:trPr>
        <w:tc>
          <w:tcPr>
            <w:tcW w:w="834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24"/>
        </w:trPr>
        <w:tc>
          <w:tcPr>
            <w:tcW w:w="8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Supplemental cash flow disclosures: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transactions: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Cash paid for interest, net of amounts capitalized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162,518</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163,998</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transactions: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Stock-based compensation capitalized into construction</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5,584</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96</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Change in property and equipment included in accounts and construction payables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24,878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24,833</w:t>
            </w:r>
          </w:p>
        </w:tc>
      </w:tr>
      <w:tr>
        <w:trPr>
          <w:trHeight w:val="33"/>
        </w:trPr>
        <w:tc>
          <w:tcPr>
            <w:tcW w:w="8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sectPr>
          <w:pgSz w:w="11900" w:h="16838" w:orient="portrait"/>
          <w:cols w:equalWidth="0" w:num="1">
            <w:col w:w="11420"/>
          </w:cols>
          <w:pgMar w:left="240" w:top="121" w:right="239" w:bottom="0" w:gutter="0" w:footer="0" w:header="0"/>
        </w:sect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420"/>
          </w:cols>
          <w:pgMar w:left="240" w:top="121" w:right="239" w:bottom="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019"/>
          </w:cols>
          <w:pgMar w:left="1440" w:top="125" w:right="1440"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1 -</w:t>
      </w:r>
      <w:r>
        <w:rPr>
          <w:sz w:val="20"/>
          <w:szCs w:val="20"/>
          <w:color w:val="auto"/>
        </w:rPr>
        <w:tab/>
      </w:r>
      <w:r>
        <w:rPr>
          <w:rFonts w:ascii="Arial" w:cs="Arial" w:eastAsia="Arial" w:hAnsi="Arial"/>
          <w:sz w:val="16"/>
          <w:szCs w:val="16"/>
          <w:b w:val="1"/>
          <w:bCs w:val="1"/>
          <w:color w:val="auto"/>
        </w:rPr>
        <w:t>Organization and Basis of Presentation</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Organization</w:t>
      </w:r>
    </w:p>
    <w:p>
      <w:pPr>
        <w:spacing w:after="0" w:line="225"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owns 72.3% of Wynn Macau, Limited, which operates a destination casino hotel resort in the Macau Special Administrative Region of the People’s Republic of China. The Company also owns 100% of and operates a destination casino hotel resort in Las Vegas, Nevada.</w:t>
      </w:r>
    </w:p>
    <w:p>
      <w:pPr>
        <w:spacing w:after="0" w:line="18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Company's fully integrated Macau resort of Wynn Macau and Encore at Wynn Macau features two luxury hotel towers with a total of 1,008 spacious guest rooms and suites, approximately 280,000 square feet of casino space, casual and fine dining in eight restaurants, approximately 31,000 square feet of lounge and meeting space, approximately 57,000 square feet of retail space, recreation and leisure facilities, including two health clubs, spas and one pool. The Company refers to this fully integrated resort as its Macau Operations.</w:t>
      </w:r>
    </w:p>
    <w:p>
      <w:pPr>
        <w:spacing w:after="0" w:line="187"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The Company's fully integrated Las Vegas resort of Wynn Las Vegas and Encore at Wynn Las Vegas features two luxury hotel towers with a total of 4,748 spacious guest rooms, suites and villas, approximately 186,000 square feet of casino space, 34 food and beverage outlets featuring signature chefs, an on-site 18-hole golf course, approximately 284,000 square feet of meeting and convention space, a Ferrari and Maserati dealership, approximately 99,000 square feet of retail space, as well as two showrooms, three nightclubs and a beach club. The Company refers to this fully integrated resort as its Las Vegas Operations.</w:t>
      </w:r>
    </w:p>
    <w:p>
      <w:pPr>
        <w:spacing w:after="0" w:line="188"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The Company is also currently constructing Wynn Palace, a fully integrated resort in the Cotai area of Macau, containing a 1,700-room hotel, performance lake, meeting space, casino, spa, retail offerings, and food and beverage outlets. The Company expects to open Wynn Palace in the first half of 2016.</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six months ended June 30, 2014,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2013.</w:t>
      </w:r>
    </w:p>
    <w:p>
      <w:pPr>
        <w:spacing w:after="0" w:line="17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2 -</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majority-owned subsidiaries. Investments in the 50%-owned joint ventures operating the Ferrari and Maserati automobile dealership and the Brioni mens’ retail clothing store inside Wynn Las Vegas are accounted for under the equity method. All significant intercompany accounts and transactions have been eliminated. Certain amounts in the condensed consolidated financial statements for the previous years have been reclassified to be consistent with the current year presentation. These reclassifications had no effect on the previously reported net income.</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Cash and cash equivalents are comprised of highly liquid investments with original maturities of three months or less and include both U.S. dollar-denominated and foreign currency-denominated securities. Cash equivalents are carried at cost, which approximates fair value. Cash equivalents of $1,706.7 million and $1,349.6 million at June 30, 2014 and December 31, 2013,</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121" w:right="31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respectively, were invested in bank time deposits, money market funds and commercial paper. In addition, the Company held bank deposits and cash on hand of approximately $1,328.4 million and $1,085.4 million as of June 30, 2014 and December 31, 2013, respectively.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Cash</w:t>
      </w:r>
    </w:p>
    <w:p>
      <w:pPr>
        <w:spacing w:after="0" w:line="225"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Restricted cash consists primarily of certain proceeds of the Company’s financing activities that are restricted by the agreements governing the Company’s debt instruments for the payment of certain Wynn Palace related construction and development costs. Restricted cash balances totaled approximately $199.9 million at December 31, 2013. During the first quarter of 2014, the Company applied the restricted cash balances to payment of certain Wynn Palace related construction and development costs. The Company had no restricted cash at June 30, 2014.</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Investment Securities</w:t>
      </w:r>
    </w:p>
    <w:p>
      <w:pPr>
        <w:spacing w:after="0" w:line="225" w:lineRule="exact"/>
        <w:rPr>
          <w:sz w:val="20"/>
          <w:szCs w:val="20"/>
          <w:color w:val="auto"/>
        </w:rPr>
      </w:pPr>
    </w:p>
    <w:p>
      <w:pPr>
        <w:ind w:right="120" w:firstLine="405"/>
        <w:spacing w:after="0" w:line="291" w:lineRule="auto"/>
        <w:rPr>
          <w:sz w:val="20"/>
          <w:szCs w:val="20"/>
          <w:color w:val="auto"/>
        </w:rPr>
      </w:pPr>
      <w:r>
        <w:rPr>
          <w:rFonts w:ascii="Arial" w:cs="Arial" w:eastAsia="Arial" w:hAnsi="Arial"/>
          <w:sz w:val="16"/>
          <w:szCs w:val="16"/>
          <w:color w:val="auto"/>
        </w:rPr>
        <w:t>Investment securities consist of domestic and foreign short-term and long-term investments in corporate bonds and commercial paper reported at fair value, with unrealized gains and losses, net of tax, reported in other comprehensive income. Short-term investments have maturities of greater than three months but equal to or less than one year and long-term investments are those with a maturity date greater than one year. The Company’s investment policy limits the amount of exposure to any one issuer with the objective of minimizing the potential risk of principal loss. Management determines the appropriate classification (held-to-maturity/available-for-sale) of its securities at the time of purchase and reevaluates such designation as of each balance sheet date. Adjustments are made for amortization of premiums and accretion of discounts to maturity computed under the effective interest method. Such amortization is included in interest income together with realized gains and losses and the stated interest on such securities.</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Accounts Receivable and Credit Risk</w:t>
      </w:r>
    </w:p>
    <w:p>
      <w:pPr>
        <w:spacing w:after="0" w:line="225" w:lineRule="exact"/>
        <w:rPr>
          <w:sz w:val="20"/>
          <w:szCs w:val="20"/>
          <w:color w:val="auto"/>
        </w:rPr>
      </w:pPr>
    </w:p>
    <w:p>
      <w:pPr>
        <w:ind w:right="500" w:firstLine="432"/>
        <w:spacing w:after="0" w:line="302"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June 30, 2014 and December 31, 2013, approximately 84% and 86%, respectively of the Company’s markers were due from customers residing outside the United States, primarily in Asia. Business or economic conditions or other significant events in these countries could affect the collectability of such receivables.</w:t>
      </w:r>
    </w:p>
    <w:p>
      <w:pPr>
        <w:spacing w:after="0" w:line="154"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 to their carrying amount, which approximates fair value. The allowance is estimated based on historical collection patterns and current collection trends. In addition, the estimate reflects specific review of customer accounts as well as management's experience with collection trends in the casino industry and current economic and business conditions. During the three months ended June 30, 2014, the Company recorded an adjustment to its reserve estimates for casino accounts receivable based on results of historical collection patterns and current collection trends. This adjustment benefited operating income by $8.7 million and net income attributable to Wynn Resorts, Limited by $6.8 million (or $0.07 per share on a fully diluted basis for the three and six months ended June 30, 2014). This change in estimate was the primary factor that resulted in a $2.7 million benefit for doubtful accounts for the three months ended June 30, 2014.</w:t>
      </w:r>
    </w:p>
    <w:p>
      <w:pPr>
        <w:spacing w:after="0" w:line="182" w:lineRule="exact"/>
        <w:rPr>
          <w:sz w:val="20"/>
          <w:szCs w:val="20"/>
          <w:color w:val="auto"/>
        </w:rPr>
      </w:pPr>
    </w:p>
    <w:p>
      <w:pPr>
        <w:jc w:val="both"/>
        <w:ind w:right="80" w:firstLine="405"/>
        <w:spacing w:after="0" w:line="312" w:lineRule="auto"/>
        <w:rPr>
          <w:sz w:val="20"/>
          <w:szCs w:val="20"/>
          <w:color w:val="auto"/>
        </w:rPr>
      </w:pPr>
      <w:r>
        <w:rPr>
          <w:rFonts w:ascii="Arial" w:cs="Arial" w:eastAsia="Arial" w:hAnsi="Arial"/>
          <w:sz w:val="16"/>
          <w:szCs w:val="16"/>
          <w:color w:val="auto"/>
        </w:rPr>
        <w:t>During the three months ended June 30, 2013, the Company recorded a similar adjustment which benefited operating income by $14.9 million and net income attributable to Wynn Resorts, Limited by $12.0 million (or $0.12 per share on a fully diluted basis for the three and six months ended June 30, 2013). This change in estimate was the primary factor that resulted in an $11.2 million benefit for doubtful accounts for the three months ended June 30, 2013.</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Redemption Price Promissory Note</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recorded the fair value of the Redemption Price Promissory Note (the “Redemption Note”) of approximately $1.94 billion in accordance with applicable accounting guidance. In determining this fair value, the Company estimated the Redemption Note’s present value using discounted cash flows with a probability weighted expected return for redemption assumptions and a discount rate which included time value and non-performance risk adjustments commensurate with risk of the Redemption Note.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53"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Considerations for the redemption assumptions included the stated maturity of the Redemption Note, uncertainty of the related cash flows as well as potential effects of the following: uncertainties surrounding the potential outcome and timing of pending litigation with Aruze USA, Inc., Universal Entertainment Corporation and Mr. Kazuo Okada (collectively, the “Okada Parties”) (see Note 14 “Commitments and Contingencies”); the outcome of on-going investigations of Aruze USA, Inc. by the United States Attorney’s Office, the U.S. Department of Justice and the Nevada Gaming Control Board; and other potential legal and regulatory actions. In addition, in the furtherance of various future business objectives, the Company considered its ability, at its sole option, to prepay the Redemption Note at any time in accordance with its terms without penalty. Accordingly, the Company reasonably determined that the estimated life of the Redemption Note could be less than the contractual life of the Redemption Note.</w:t>
      </w:r>
    </w:p>
    <w:p>
      <w:pPr>
        <w:spacing w:after="0" w:line="178"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In determination of the appropriate discount rate to be used in the estimated present value, the Redemption Note’s subordinated position relative to all other debt in the Company’s capital structure and credit ratings associated with the Company’s traded debt were considered. Observable inputs for the risk free rate based on Federal Reserve rates for U.S. Treasury securities and credit risk spread based on a yield curve index of similarly rated debt were used. As a result of this analysis, the Company concluded the Redemption Note's stated rate of 2% approximated a market rate.</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22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70"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the customers’ possession. Cash discounts, other cash incentives related to casino play and commissions rebated through junkets to customers are recorded as a reduction to casino revenue. Hotel,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65" w:lineRule="exact"/>
        <w:rPr>
          <w:sz w:val="20"/>
          <w:szCs w:val="20"/>
          <w:color w:val="auto"/>
        </w:rPr>
      </w:pPr>
    </w:p>
    <w:p>
      <w:pPr>
        <w:ind w:right="440" w:firstLine="405"/>
        <w:spacing w:after="0" w:line="308" w:lineRule="auto"/>
        <w:rPr>
          <w:sz w:val="20"/>
          <w:szCs w:val="20"/>
          <w:color w:val="auto"/>
        </w:rPr>
      </w:pPr>
      <w:r>
        <w:rPr>
          <w:rFonts w:ascii="Arial" w:cs="Arial" w:eastAsia="Arial" w:hAnsi="Arial"/>
          <w:sz w:val="17"/>
          <w:szCs w:val="17"/>
          <w:color w:val="auto"/>
        </w:rPr>
        <w:t>Revenues are recognized net of certain sales incentives which are required to be recorded as a reduction of revenues; consequently, the Company’s casino revenues are reduced by discounts, commissions and points earned in the player’s club loyalty program.</w:t>
      </w:r>
    </w:p>
    <w:p>
      <w:pPr>
        <w:spacing w:after="0" w:line="14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Such amounts are then deducted as promotional allowances. The estimated cost of providing such promotional allowances is primarily included in casino expenses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Rooms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13,255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26,009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25,229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Food and beverage</w:t>
            </w: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28,904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25,829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59,946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53,593</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Entertainment, retail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3,040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6,644</w:t>
            </w:r>
          </w:p>
        </w:tc>
      </w:tr>
      <w:tr>
        <w:trPr>
          <w:trHeight w:val="237"/>
        </w:trPr>
        <w:tc>
          <w:tcPr>
            <w:tcW w:w="516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45,199</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41,088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92,791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85,466</w:t>
            </w: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Gaming Taxes</w:t>
      </w:r>
    </w:p>
    <w:p>
      <w:pPr>
        <w:spacing w:after="0" w:line="225" w:lineRule="exact"/>
        <w:rPr>
          <w:sz w:val="20"/>
          <w:szCs w:val="20"/>
          <w:color w:val="auto"/>
        </w:rPr>
      </w:pPr>
    </w:p>
    <w:p>
      <w:pPr>
        <w:ind w:right="320" w:firstLine="432"/>
        <w:spacing w:after="0" w:line="257" w:lineRule="auto"/>
        <w:rPr>
          <w:sz w:val="20"/>
          <w:szCs w:val="20"/>
          <w:color w:val="auto"/>
        </w:rPr>
      </w:pPr>
      <w:r>
        <w:rPr>
          <w:rFonts w:ascii="Arial" w:cs="Arial" w:eastAsia="Arial" w:hAnsi="Arial"/>
          <w:sz w:val="18"/>
          <w:szCs w:val="18"/>
          <w:color w:val="auto"/>
        </w:rPr>
        <w:t>The Company is subject to taxes based on gross gaming revenues in the jurisdictions in which it operates, subject to applicable jurisdictional adjustments. These gaming taxes are an assessment on the Company’s gross gaming revenues and are recorded as casino expenses in the accompanying Condensed Consolidated Statements of Income. These taxes totaled approximately $466.3 million and $462.0 million for the three months ended June 30, 2014 and 2013, respectively. These taxes totaled approximately $1.0 billion and $943.2 million for the six months ended June 30, 2014 and 2013, respectively.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The Company measures certain of its financial assets and liabilities, such as cash equivalents, available-for-sale securities and interest rate swaps,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assets and liabilities carried at fair value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center"/>
              <w:ind w:left="881"/>
              <w:spacing w:after="0"/>
              <w:rPr>
                <w:sz w:val="20"/>
                <w:szCs w:val="20"/>
                <w:color w:val="auto"/>
              </w:rPr>
            </w:pPr>
            <w:r>
              <w:rPr>
                <w:rFonts w:ascii="Arial" w:cs="Arial" w:eastAsia="Arial" w:hAnsi="Arial"/>
                <w:sz w:val="14"/>
                <w:szCs w:val="14"/>
                <w:b w:val="1"/>
                <w:bCs w:val="1"/>
                <w:color w:val="auto"/>
                <w:w w:val="93"/>
              </w:rPr>
              <w:t>Fair Value Measurements Using:</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Market</w:t>
            </w:r>
          </w:p>
        </w:tc>
        <w:tc>
          <w:tcPr>
            <w:tcW w:w="260" w:type="dxa"/>
            <w:vAlign w:val="bottom"/>
          </w:tcPr>
          <w:p>
            <w:pPr>
              <w:spacing w:after="0"/>
              <w:rPr>
                <w:sz w:val="12"/>
                <w:szCs w:val="12"/>
                <w:color w:val="auto"/>
              </w:rPr>
            </w:pPr>
          </w:p>
        </w:tc>
        <w:tc>
          <w:tcPr>
            <w:tcW w:w="156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6"/>
              </w:rPr>
              <w:t>Other</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24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260" w:type="dxa"/>
            <w:vAlign w:val="bottom"/>
          </w:tcPr>
          <w:p>
            <w:pPr>
              <w:spacing w:after="0"/>
              <w:rPr>
                <w:sz w:val="12"/>
                <w:szCs w:val="12"/>
                <w:color w:val="auto"/>
              </w:rPr>
            </w:pPr>
          </w:p>
        </w:tc>
        <w:tc>
          <w:tcPr>
            <w:tcW w:w="15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5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Inputs</w:t>
            </w:r>
          </w:p>
        </w:tc>
        <w:tc>
          <w:tcPr>
            <w:tcW w:w="12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5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4"/>
              </w:rPr>
              <w:t>(Level 2)</w:t>
            </w:r>
          </w:p>
        </w:tc>
        <w:tc>
          <w:tcPr>
            <w:tcW w:w="1240" w:type="dxa"/>
            <w:vAlign w:val="bottom"/>
          </w:tcPr>
          <w:p>
            <w:pPr>
              <w:jc w:val="center"/>
              <w:ind w:right="17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1,706,677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41"/>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1,706,492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6,498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6,498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250,673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250,673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Redemption Note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1,936,443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1,936,443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8"/>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center"/>
              <w:ind w:left="881"/>
              <w:spacing w:after="0"/>
              <w:rPr>
                <w:sz w:val="20"/>
                <w:szCs w:val="20"/>
                <w:color w:val="auto"/>
              </w:rPr>
            </w:pPr>
            <w:r>
              <w:rPr>
                <w:rFonts w:ascii="Arial" w:cs="Arial" w:eastAsia="Arial" w:hAnsi="Arial"/>
                <w:sz w:val="14"/>
                <w:szCs w:val="14"/>
                <w:b w:val="1"/>
                <w:bCs w:val="1"/>
                <w:color w:val="auto"/>
                <w:w w:val="93"/>
              </w:rPr>
              <w:t>Fair Value Measurements Using:</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Market</w:t>
            </w:r>
          </w:p>
        </w:tc>
        <w:tc>
          <w:tcPr>
            <w:tcW w:w="260" w:type="dxa"/>
            <w:vAlign w:val="bottom"/>
          </w:tcPr>
          <w:p>
            <w:pPr>
              <w:spacing w:after="0"/>
              <w:rPr>
                <w:sz w:val="12"/>
                <w:szCs w:val="12"/>
                <w:color w:val="auto"/>
              </w:rPr>
            </w:pPr>
          </w:p>
        </w:tc>
        <w:tc>
          <w:tcPr>
            <w:tcW w:w="156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6"/>
              </w:rPr>
              <w:t>Other</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24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260" w:type="dxa"/>
            <w:vAlign w:val="bottom"/>
          </w:tcPr>
          <w:p>
            <w:pPr>
              <w:spacing w:after="0"/>
              <w:rPr>
                <w:sz w:val="12"/>
                <w:szCs w:val="12"/>
                <w:color w:val="auto"/>
              </w:rPr>
            </w:pPr>
          </w:p>
        </w:tc>
        <w:tc>
          <w:tcPr>
            <w:tcW w:w="15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5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Inputs</w:t>
            </w:r>
          </w:p>
        </w:tc>
        <w:tc>
          <w:tcPr>
            <w:tcW w:w="12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5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4"/>
              </w:rPr>
              <w:t>(Level 2)</w:t>
            </w:r>
          </w:p>
        </w:tc>
        <w:tc>
          <w:tcPr>
            <w:tcW w:w="1240" w:type="dxa"/>
            <w:vAlign w:val="bottom"/>
          </w:tcPr>
          <w:p>
            <w:pPr>
              <w:jc w:val="center"/>
              <w:ind w:right="17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1,349,647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41"/>
              <w:spacing w:after="0"/>
              <w:rPr>
                <w:sz w:val="20"/>
                <w:szCs w:val="20"/>
                <w:color w:val="auto"/>
              </w:rPr>
            </w:pPr>
            <w:r>
              <w:rPr>
                <w:rFonts w:ascii="Arial" w:cs="Arial" w:eastAsia="Arial" w:hAnsi="Arial"/>
                <w:sz w:val="18"/>
                <w:szCs w:val="18"/>
                <w:color w:val="auto"/>
              </w:rPr>
              <w:t>220,923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1,128,724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10,308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10,308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199,936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199,936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254,388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254,388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Redemption Note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1,936,443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1,936,443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As of June 30, 2014 and December 31, 2013, approximately 22% and 91% of the Company’s cash equivalents categorized as Level 2 were deposits held in foreign currencies,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June 2014, the Financial Accounting Standards Board ("FASB") issued an accounting standards update that requires that a performance target that affects vesting, and that could be achieved after the requisite service period, be treated as a performance condition. As such, the performance target should not be reflected in estimating the grant date fair value of the award. This update further clarifies that compensation cost should be recognized in the period in which it becomes probable that the performance target will be achieved and should represent the compensation cost attributable to the period or periods for which the requisite service has already been rendered. The effective date for this update is for the annual and interim periods beginning after December 15, 2015. Early application is permitted. The Company does not anticipate that the adoption of this standard will have a material impact on its consolidated financial statements.</w:t>
      </w:r>
    </w:p>
    <w:p>
      <w:pPr>
        <w:spacing w:after="0" w:line="189"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In May 2014, the FASB issued an accounting standards update that amends the FASB Accounting Standards Codification and creates a new topic for Revenue from Contracts with Customers. The new guidance is expected to clarify the principles for revenue recognition and to develop a common revenue standard for U.S. GAAP applicable to revenue transactions. This guidance provides that an entity should recognize revenue to depict the transfer of promised goods or services to customers in an amount that reflects the consideration to which the entity expects to be entitled in exchange for those goods and services. This guidance also provides substantial revision of interim and annual disclosures. The update allows for either full retrospective adoption, meaning the guidance is applied for all periods presented, or modified retrospective adoption, meaning the guidance is applied only to the most current period presented in the financial statements with the cumulative effect of initially applying the guidance recognized at the date of initial application. The effective date for this update is for the annual and interim periods beginning after December 15, 2016. Early application is not permitted. The Company will adopt this standard effective January 1, 2017. The Company is currently assessing the impact the adoption of this standard will have on its consolidated financial statements.</w:t>
      </w:r>
    </w:p>
    <w:p>
      <w:pPr>
        <w:spacing w:after="0" w:line="167"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In July 2013, the FASB issued an accounting standards update that amends the presentation requirements of an unrecognized tax benefit when a loss or other carryforward exists. The update would require the netting of unrecognized tax benefits against a deferred tax asset for a loss or other carryforward that would apply in settlement of the uncertain tax positions. The effective date for this update is for the annual and interim periods beginning after December 15, 2013. The Company adopted this standard during the first quarter of 2014. The adoption of this update prospectively resulted in the presentation of unrecognized tax benefits of $29.3 million previously reflected in other long-term liabilities to be classified in long-term deferred income taxes, net, in the Condensed Consolidated Balance Sheet, at June 30, 2014.</w:t>
      </w:r>
    </w:p>
    <w:p>
      <w:pPr>
        <w:spacing w:after="0" w:line="18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3 -</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Basic earnings per share (“EPS”) is computed by dividing net income attributable to Wynn Resorts by the weighted average number of common shares outstanding during the period. Diluted EPS is computed by dividing net income attributable to Wynn Resorts by the weighted average number of common shares outstanding during the period increased to include the number of additional shares of common stock that would have been outstanding if the potential dilutive securities had been issued. Potentially dilutive securities include outstanding stock options and unvested restricted stock.</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2" w:right="25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3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(in thousands, except per share amounts):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Net income attributable to Wynn Resorts, Ltd.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203,906</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129,785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430,802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332,748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100,915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100,484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100,869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100,361</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Potential dilutive effect of stock options and restricted stock</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1,103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Weighted average common and common equivalent shares</w:t>
            </w:r>
          </w:p>
        </w:tc>
        <w:tc>
          <w:tcPr>
            <w:tcW w:w="36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102,018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101,549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101,979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101,493</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outstanding</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Net income attributable to Wynn Resorts, Ltd. per common share,</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280"/>
              <w:spacing w:after="0"/>
              <w:rPr>
                <w:sz w:val="20"/>
                <w:szCs w:val="20"/>
                <w:color w:val="auto"/>
              </w:rPr>
            </w:pPr>
            <w:r>
              <w:rPr>
                <w:rFonts w:ascii="Arial" w:cs="Arial" w:eastAsia="Arial" w:hAnsi="Arial"/>
                <w:sz w:val="18"/>
                <w:szCs w:val="18"/>
                <w:color w:val="auto"/>
                <w:w w:val="92"/>
              </w:rPr>
              <w:t>Net income attributable to Wynn Resorts, Ltd. per common share,</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160" w:type="dxa"/>
            <w:vAlign w:val="bottom"/>
            <w:vMerge w:val="continue"/>
          </w:tcPr>
          <w:p>
            <w:pPr>
              <w:spacing w:after="0"/>
              <w:rPr>
                <w:sz w:val="16"/>
                <w:szCs w:val="16"/>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34"/>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6"/>
                <w:szCs w:val="16"/>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6"/>
                <w:szCs w:val="16"/>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4"/>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6"/>
                <w:szCs w:val="16"/>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77"/>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80"/>
              <w:spacing w:after="0"/>
              <w:rPr>
                <w:sz w:val="20"/>
                <w:szCs w:val="20"/>
                <w:color w:val="auto"/>
              </w:rPr>
            </w:pPr>
            <w:r>
              <w:rPr>
                <w:rFonts w:ascii="Arial" w:cs="Arial" w:eastAsia="Arial" w:hAnsi="Arial"/>
                <w:sz w:val="18"/>
                <w:szCs w:val="18"/>
                <w:color w:val="auto"/>
              </w:rPr>
              <w:t>Anti-dilutive stock options excluded from the calculation of</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80"/>
              <w:spacing w:after="0"/>
              <w:rPr>
                <w:sz w:val="20"/>
                <w:szCs w:val="20"/>
                <w:color w:val="auto"/>
              </w:rPr>
            </w:pPr>
            <w:r>
              <w:rPr>
                <w:rFonts w:ascii="Arial" w:cs="Arial" w:eastAsia="Arial" w:hAnsi="Arial"/>
                <w:sz w:val="18"/>
                <w:szCs w:val="18"/>
                <w:color w:val="auto"/>
              </w:rPr>
              <w:t>diluted earnings per share</w:t>
            </w:r>
          </w:p>
        </w:tc>
        <w:tc>
          <w:tcPr>
            <w:tcW w:w="360" w:type="dxa"/>
            <w:vAlign w:val="bottom"/>
          </w:tcPr>
          <w:p>
            <w:pPr>
              <w:spacing w:after="0"/>
              <w:rPr>
                <w:sz w:val="20"/>
                <w:szCs w:val="20"/>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4 -</w:t>
      </w:r>
      <w:r>
        <w:rPr>
          <w:sz w:val="20"/>
          <w:szCs w:val="20"/>
          <w:color w:val="auto"/>
        </w:rPr>
        <w:tab/>
      </w:r>
      <w:r>
        <w:rPr>
          <w:rFonts w:ascii="Arial" w:cs="Arial" w:eastAsia="Arial" w:hAnsi="Arial"/>
          <w:sz w:val="16"/>
          <w:szCs w:val="16"/>
          <w:b w:val="1"/>
          <w:bCs w:val="1"/>
          <w:color w:val="auto"/>
        </w:rPr>
        <w:t>Accumulated Other Comprehensive Income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the changes by component, net of tax and noncontrolling interest, in accumulated other comprehensive income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60" w:type="dxa"/>
            <w:vAlign w:val="bottom"/>
          </w:tcPr>
          <w:p>
            <w:pPr>
              <w:spacing w:after="0"/>
              <w:rPr>
                <w:sz w:val="14"/>
                <w:szCs w:val="14"/>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4"/>
                <w:szCs w:val="14"/>
                <w:color w:val="auto"/>
              </w:rPr>
            </w:pPr>
          </w:p>
        </w:tc>
        <w:tc>
          <w:tcPr>
            <w:tcW w:w="1280" w:type="dxa"/>
            <w:vAlign w:val="bottom"/>
          </w:tcPr>
          <w:p>
            <w:pPr>
              <w:jc w:val="center"/>
              <w:ind w:right="98"/>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1"/>
              </w:rPr>
              <w:t>other</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currency</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gain on</w:t>
            </w:r>
          </w:p>
        </w:tc>
        <w:tc>
          <w:tcPr>
            <w:tcW w:w="200" w:type="dxa"/>
            <w:vAlign w:val="bottom"/>
          </w:tcPr>
          <w:p>
            <w:pPr>
              <w:spacing w:after="0"/>
              <w:rPr>
                <w:sz w:val="12"/>
                <w:szCs w:val="12"/>
                <w:color w:val="auto"/>
              </w:rPr>
            </w:pPr>
          </w:p>
        </w:tc>
        <w:tc>
          <w:tcPr>
            <w:tcW w:w="128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translation</w:t>
            </w: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securities</w:t>
            </w:r>
          </w:p>
        </w:tc>
        <w:tc>
          <w:tcPr>
            <w:tcW w:w="200" w:type="dxa"/>
            <w:vAlign w:val="bottom"/>
          </w:tcPr>
          <w:p>
            <w:pPr>
              <w:spacing w:after="0"/>
              <w:rPr>
                <w:sz w:val="16"/>
                <w:szCs w:val="16"/>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27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2013</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2,874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Current period other comprehensive gain</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 comprehensive income</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current period other comprehensive gain</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2,986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3,114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5 -</w:t>
      </w:r>
      <w:r>
        <w:rPr>
          <w:sz w:val="20"/>
          <w:szCs w:val="20"/>
          <w:color w:val="auto"/>
        </w:rPr>
        <w:tab/>
      </w:r>
      <w:r>
        <w:rPr>
          <w:rFonts w:ascii="Arial" w:cs="Arial" w:eastAsia="Arial" w:hAnsi="Arial"/>
          <w:sz w:val="16"/>
          <w:szCs w:val="16"/>
          <w:b w:val="1"/>
          <w:bCs w:val="1"/>
          <w:color w:val="auto"/>
        </w:rPr>
        <w:t>Investment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Investment securities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June 30, 2014</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December 31, 2013</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Fair value</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860" w:type="dxa"/>
            <w:vAlign w:val="bottom"/>
          </w:tcPr>
          <w:p>
            <w:pPr>
              <w:jc w:val="center"/>
              <w:ind w:right="80"/>
              <w:spacing w:after="0" w:line="153" w:lineRule="exact"/>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(net</w:t>
            </w: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(net</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86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gains</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7"/>
              </w:rPr>
              <w:t>losses</w:t>
            </w:r>
          </w:p>
        </w:tc>
        <w:tc>
          <w:tcPr>
            <w:tcW w:w="16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gains</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7"/>
              </w:rPr>
              <w:t>losses</w:t>
            </w:r>
          </w:p>
        </w:tc>
        <w:tc>
          <w:tcPr>
            <w:tcW w:w="160" w:type="dxa"/>
            <w:vAlign w:val="bottom"/>
          </w:tcPr>
          <w:p>
            <w:pPr>
              <w:spacing w:after="0"/>
              <w:rPr>
                <w:sz w:val="16"/>
                <w:szCs w:val="16"/>
                <w:color w:val="auto"/>
              </w:rPr>
            </w:pPr>
          </w:p>
        </w:tc>
        <w:tc>
          <w:tcPr>
            <w:tcW w:w="860" w:type="dxa"/>
            <w:vAlign w:val="bottom"/>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5"/>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Domestic and foreign corporate</w:t>
            </w: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191,369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191,488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221,418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221,434</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59,175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Arial" w:cs="Arial" w:eastAsia="Arial" w:hAnsi="Arial"/>
                <w:sz w:val="18"/>
                <w:szCs w:val="18"/>
                <w:color w:val="auto"/>
              </w:rPr>
              <w:t>59,185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32,941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Arial" w:cs="Arial" w:eastAsia="Arial" w:hAnsi="Arial"/>
                <w:sz w:val="18"/>
                <w:szCs w:val="18"/>
                <w:color w:val="auto"/>
              </w:rPr>
              <w:t>32,954</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250,544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250,673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254,359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254,388</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For investments with unrealized losses as of June 30, 2014 and December 31, 2013, the Company has determined that (i) it does not have the intent to sell any of these investments, and (ii) it is not likely that the Company will be required to sell</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3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these investments prior to the recovery of the amortized cost. Accordingly, the Company has determined that no other-than-temporary impairments exist at the reporting dates.</w:t>
      </w:r>
    </w:p>
    <w:p>
      <w:pPr>
        <w:spacing w:after="0" w:line="170"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The Company obtains pricing information in determining the fair value of its available-for-sale securities from independent pricing vendors. Based on management’s inquiries, the pricing vendors use various pricing models consistent with what other market participants would use. The assumptions and inputs used by the pricing vendors are derived from market observable sources including: reported trades, broker/dealer quotes, issuer spreads, benchmark curves, bids, offers and other market-related data. The Company has not made adjustments to such prices. Each quarter, the Company validates the fair value pricing methodology to determine the fair value is consistent with applicable accounting guidance and to confirm that the securities are classified properly in the fair value hierarchy. The Company compares the pricing received from its vendors to independent sources for the same or similar securities.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 of these investment securities at June 30, 2014, by contractual maturity,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Due in one year or less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242,148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Due after one year through two years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8,525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250,673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6 -  Receivables, net</w:t>
            </w: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8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420"/>
              <w:spacing w:after="0"/>
              <w:rPr>
                <w:sz w:val="20"/>
                <w:szCs w:val="20"/>
                <w:color w:val="auto"/>
              </w:rPr>
            </w:pPr>
            <w:r>
              <w:rPr>
                <w:rFonts w:ascii="Arial" w:cs="Arial" w:eastAsia="Arial" w:hAnsi="Arial"/>
                <w:sz w:val="18"/>
                <w:szCs w:val="18"/>
                <w:color w:val="auto"/>
              </w:rPr>
              <w:t>Receivables, net consisted of the following (in thousands):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215,950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252,998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Hotel</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16,690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15,386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leases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47,555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47,539</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280,195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315,923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doubtful accounts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(61,290)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(73,991)</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218,905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241,932</w:t>
            </w:r>
          </w:p>
        </w:tc>
        <w:tc>
          <w:tcPr>
            <w:tcW w:w="0" w:type="dxa"/>
            <w:vAlign w:val="bottom"/>
          </w:tcPr>
          <w:p>
            <w:pPr>
              <w:spacing w:after="0"/>
              <w:rPr>
                <w:sz w:val="1"/>
                <w:szCs w:val="1"/>
                <w:color w:val="auto"/>
              </w:rPr>
            </w:pPr>
          </w:p>
        </w:tc>
      </w:tr>
      <w:tr>
        <w:trPr>
          <w:trHeight w:val="27"/>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Note 7 -  Property and Equipment, net</w:t>
            </w: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44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improvements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733,495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733,233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3,876,350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3,883,442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Airplanes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135,040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135,040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Furniture, fixtures and equipment</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1,715,607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1,686,522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interests in land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316,654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316,550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946,018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558,624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7,723,164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7,313,411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(2,507,441)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(2,378,962)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5,215,723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4,934,449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Construction in progress consists primarily of costs capitalized, including interest, for the construction of Wynn Palace.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3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8 -</w:t>
      </w:r>
      <w:r>
        <w:rPr>
          <w:sz w:val="20"/>
          <w:szCs w:val="20"/>
          <w:color w:val="auto"/>
        </w:rPr>
        <w:tab/>
      </w:r>
      <w:r>
        <w:rPr>
          <w:rFonts w:ascii="Arial" w:cs="Arial" w:eastAsia="Arial" w:hAnsi="Arial"/>
          <w:sz w:val="16"/>
          <w:szCs w:val="16"/>
          <w:b w:val="1"/>
          <w:bCs w:val="1"/>
          <w:color w:val="auto"/>
        </w:rPr>
        <w:t>Long-Term Debt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140" w:type="dxa"/>
            <w:vAlign w:val="bottom"/>
            <w:tcBorders>
              <w:bottom w:val="single" w:sz="8" w:color="CCEEFF"/>
            </w:tcBorders>
          </w:tcPr>
          <w:p>
            <w:pPr>
              <w:spacing w:after="0"/>
              <w:rPr>
                <w:sz w:val="16"/>
                <w:szCs w:val="16"/>
                <w:color w:val="auto"/>
              </w:rPr>
            </w:pPr>
          </w:p>
        </w:tc>
        <w:tc>
          <w:tcPr>
            <w:tcW w:w="8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15"/>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2"/>
              </w:rPr>
              <w:t>Wynn Macau Senior Term Loan, due July 31, 2017 and July 31, 2018; interest at LIBOR or HIBOR plus 1.75%—</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2.50%, net of original issue discount of $4,366 at June 30, 2014 and $4,900 at December 31, 2013</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948,801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948,028</w:t>
            </w:r>
          </w:p>
        </w:tc>
      </w:tr>
      <w:tr>
        <w:trPr>
          <w:trHeight w:val="229"/>
        </w:trPr>
        <w:tc>
          <w:tcPr>
            <w:tcW w:w="140" w:type="dxa"/>
            <w:vAlign w:val="bottom"/>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tcPr>
          <w:p>
            <w:pPr>
              <w:ind w:left="40"/>
              <w:spacing w:after="0"/>
              <w:rPr>
                <w:sz w:val="20"/>
                <w:szCs w:val="20"/>
                <w:color w:val="auto"/>
              </w:rPr>
            </w:pPr>
            <w:r>
              <w:rPr>
                <w:rFonts w:ascii="Arial" w:cs="Arial" w:eastAsia="Arial" w:hAnsi="Arial"/>
                <w:sz w:val="18"/>
                <w:szCs w:val="18"/>
                <w:color w:val="auto"/>
                <w:w w:val="92"/>
              </w:rPr>
              <w:t>1/4% Wynn Macau, Limited Senior Notes, due October 15, 2021, including original issue premium of $5,453 at</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June 30, 2014 and none at December 31, 2013</w:t>
            </w:r>
          </w:p>
        </w:tc>
        <w:tc>
          <w:tcPr>
            <w:tcW w:w="30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1,355,453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600,000</w:t>
            </w: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7</w:t>
            </w:r>
          </w:p>
        </w:tc>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7/8% Wynn Las Vegas First Mortgage Notes, due May 1, 2020, net of original issue discount of $1,373 at June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30, 2014 and $1,463 at December 31, 2013</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345,637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350,547</w:t>
            </w:r>
          </w:p>
        </w:tc>
      </w:tr>
      <w:tr>
        <w:trPr>
          <w:trHeight w:val="243"/>
        </w:trPr>
        <w:tc>
          <w:tcPr>
            <w:tcW w:w="140" w:type="dxa"/>
            <w:vAlign w:val="bottom"/>
          </w:tcPr>
          <w:p>
            <w:pPr>
              <w:ind w:left="40"/>
              <w:spacing w:after="0"/>
              <w:rPr>
                <w:sz w:val="20"/>
                <w:szCs w:val="20"/>
                <w:color w:val="auto"/>
              </w:rPr>
            </w:pPr>
            <w:r>
              <w:rPr>
                <w:rFonts w:ascii="Arial" w:cs="Arial" w:eastAsia="Arial" w:hAnsi="Arial"/>
                <w:sz w:val="18"/>
                <w:szCs w:val="18"/>
                <w:color w:val="auto"/>
                <w:w w:val="79"/>
              </w:rPr>
              <w:t>7</w:t>
            </w:r>
          </w:p>
        </w:tc>
        <w:tc>
          <w:tcPr>
            <w:tcW w:w="8200" w:type="dxa"/>
            <w:vAlign w:val="bottom"/>
          </w:tcPr>
          <w:p>
            <w:pPr>
              <w:ind w:left="40"/>
              <w:spacing w:after="0"/>
              <w:rPr>
                <w:sz w:val="20"/>
                <w:szCs w:val="20"/>
                <w:color w:val="auto"/>
              </w:rPr>
            </w:pPr>
            <w:r>
              <w:rPr>
                <w:rFonts w:ascii="Arial" w:cs="Arial" w:eastAsia="Arial" w:hAnsi="Arial"/>
                <w:sz w:val="18"/>
                <w:szCs w:val="18"/>
                <w:color w:val="auto"/>
              </w:rPr>
              <w:t>3/4% Wynn Las Vegas First Mortgage Notes, due August 15, 2020</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1,293,000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1,320,000</w:t>
            </w: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3/8% Wynn Las Vegas First Mortgage Notes, due March 15, 2022</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900,000</w:t>
            </w:r>
          </w:p>
        </w:tc>
      </w:tr>
      <w:tr>
        <w:trPr>
          <w:trHeight w:val="243"/>
        </w:trPr>
        <w:tc>
          <w:tcPr>
            <w:tcW w:w="140" w:type="dxa"/>
            <w:vAlign w:val="bottom"/>
          </w:tcPr>
          <w:p>
            <w:pPr>
              <w:ind w:left="40"/>
              <w:spacing w:after="0"/>
              <w:rPr>
                <w:sz w:val="20"/>
                <w:szCs w:val="20"/>
                <w:color w:val="auto"/>
              </w:rPr>
            </w:pPr>
            <w:r>
              <w:rPr>
                <w:rFonts w:ascii="Arial" w:cs="Arial" w:eastAsia="Arial" w:hAnsi="Arial"/>
                <w:sz w:val="18"/>
                <w:szCs w:val="18"/>
                <w:color w:val="auto"/>
                <w:w w:val="79"/>
              </w:rPr>
              <w:t>4</w:t>
            </w:r>
          </w:p>
        </w:tc>
        <w:tc>
          <w:tcPr>
            <w:tcW w:w="8200" w:type="dxa"/>
            <w:vAlign w:val="bottom"/>
          </w:tcPr>
          <w:p>
            <w:pPr>
              <w:ind w:left="40"/>
              <w:spacing w:after="0"/>
              <w:rPr>
                <w:sz w:val="20"/>
                <w:szCs w:val="20"/>
                <w:color w:val="auto"/>
              </w:rPr>
            </w:pPr>
            <w:r>
              <w:rPr>
                <w:rFonts w:ascii="Arial" w:cs="Arial" w:eastAsia="Arial" w:hAnsi="Arial"/>
                <w:sz w:val="18"/>
                <w:szCs w:val="18"/>
                <w:color w:val="auto"/>
              </w:rPr>
              <w:t>1/4% Wynn Las Vegas Senior Notes, due May 30, 2023</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500,000</w:t>
            </w:r>
          </w:p>
        </w:tc>
      </w:tr>
      <w:tr>
        <w:trPr>
          <w:trHeight w:val="27"/>
        </w:trPr>
        <w:tc>
          <w:tcPr>
            <w:tcW w:w="8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2"/>
              </w:rPr>
              <w:t>Redemption Price Promissory Note with former stockholder and related party, due February 18, 2022; interest at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1,936,443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1,936,443</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3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31,850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32,550</w:t>
            </w:r>
          </w:p>
        </w:tc>
      </w:tr>
      <w:tr>
        <w:trPr>
          <w:trHeight w:val="27"/>
        </w:trPr>
        <w:tc>
          <w:tcPr>
            <w:tcW w:w="140" w:type="dxa"/>
            <w:vAlign w:val="bottom"/>
            <w:tcBorders>
              <w:bottom w:val="single" w:sz="8" w:color="CCEEFF"/>
            </w:tcBorders>
          </w:tcPr>
          <w:p>
            <w:pPr>
              <w:spacing w:after="0"/>
              <w:rPr>
                <w:sz w:val="2"/>
                <w:szCs w:val="2"/>
                <w:color w:val="auto"/>
              </w:rPr>
            </w:pPr>
          </w:p>
        </w:tc>
        <w:tc>
          <w:tcPr>
            <w:tcW w:w="8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1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7,311,184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6,587,568</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Less: current portion of long-term debt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(1,050)</w:t>
            </w:r>
          </w:p>
        </w:tc>
      </w:tr>
      <w:tr>
        <w:trPr>
          <w:trHeight w:val="27"/>
        </w:trPr>
        <w:tc>
          <w:tcPr>
            <w:tcW w:w="140" w:type="dxa"/>
            <w:vAlign w:val="bottom"/>
            <w:tcBorders>
              <w:bottom w:val="single" w:sz="8" w:color="CCEEFF"/>
            </w:tcBorders>
          </w:tcPr>
          <w:p>
            <w:pPr>
              <w:spacing w:after="0"/>
              <w:rPr>
                <w:sz w:val="2"/>
                <w:szCs w:val="2"/>
                <w:color w:val="auto"/>
              </w:rPr>
            </w:pPr>
          </w:p>
        </w:tc>
        <w:tc>
          <w:tcPr>
            <w:tcW w:w="8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140" w:type="dxa"/>
            <w:vAlign w:val="bottom"/>
            <w:tcBorders>
              <w:bottom w:val="single" w:sz="8" w:color="CCEEFF"/>
            </w:tcBorders>
            <w:shd w:val="clear" w:color="auto" w:fill="CCEEFF"/>
          </w:tcPr>
          <w:p>
            <w:pPr>
              <w:spacing w:after="0"/>
              <w:rPr>
                <w:sz w:val="22"/>
                <w:szCs w:val="22"/>
                <w:color w:val="auto"/>
              </w:rPr>
            </w:pPr>
          </w:p>
        </w:tc>
        <w:tc>
          <w:tcPr>
            <w:tcW w:w="8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7,310,134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6,586,518</w:t>
            </w: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8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5 1/4% Wynn Macau, Limited Senior Notes due 2021</w:t>
      </w:r>
    </w:p>
    <w:p>
      <w:pPr>
        <w:spacing w:after="0" w:line="225"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On March 20, 2014, Wynn Macau, Limited (“WML”), an indirect subsidiary of Wynn Resorts, Limited, issued $750 million aggregate principal amount of 5 1/4% Senior Notes due 2021 (the “Additional 2021 Notes”), which were consolidated and form a single series with the $600 million aggregate principal amount of 5 1/4% Senior Notes due 2021 issued by WML on October 16, 2013 (the “Original 2021 Notes” and together with the “Additional 2021 Notes”, the “2021 Notes”). WML received net proceeds of approximately $748.8 million after adding the original issue premium and deducting commissions and estimated expenses of the offering. WML will use the net proceeds for working capital requirements and general corporate purposes.</w:t>
      </w:r>
    </w:p>
    <w:p>
      <w:pPr>
        <w:spacing w:after="0" w:line="158"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The Additional 2021 Notes have the same terms and conditions as those of the Original 2021 Notes. The 2021 Notes will bear interest at the rate of 5 1/4% per annum and will mature on October 15, 2021. Interest on the 2021 Notes is payable semi-annually in arrears on April 15 and October 15 of each year, beginning on April 15, 2014. At any time on or before October 14, 2016, WML may redeem the 2021 Notes, in whole or in part, at a redemption price equal to the greater of (a) 100% of the aggregate principal amount of the 2021 Notes or (b) a “make-whole” amount as determined by an independent investment banker in accordance with the terms of the WML Indenture, in either case, plus accrued and unpaid interest. In addition, on or after October 15, 2016, WML may redeem the 2021 Notes, in whole or in part, at a premium decreasing annually from 103.94% of the principal amount to zero, plus accrued and unpaid interest. If WML undergoes a Change of Control (as defined in the WML Indenture), it must offer to repurchase the 2021 Notes at a price equal to 101% of the aggregate principal amount thereof, plus accrued and unpaid interest. In addition, the Company may redeem the 2021 Notes, in whole but not in part, at a redemption price equal to 100% of the principal amount, plus accrued and unpaid interest, in response to any change in or amendment to certain tax laws or tax positions. Further, if a holder or beneficial owner of the 2021 Notes fails to meet certain requirements imposed by any Gaming Authority (as defined in the WML Indenture), WML may require the holder or beneficial owner to dispose of or redeem its 2021 Notes.</w:t>
      </w:r>
    </w:p>
    <w:p>
      <w:pPr>
        <w:spacing w:after="0" w:line="173"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The 2021 Notes are WML’s general unsecured obligations and rank pari passu in right of payment with all of WML’s existing and future senior unsecured indebtedness; will rank senior to all of WML’s future subordinated indebtedness, if any; will be effectively subordinated to all of WML’s future secured indebtedness to the extent of the value of the assets securing such debt; and will be structurally subordinated to all existing and future obligations of WML’s subsidiaries, including Wynn Resorts (Macau) S.A.’s existing credit facilities. The 2021 Notes are not registered under the Securities Act of 1933, as amended (the “Securities Act”), and the 2021 Notes are subject to restrictions on transferability and resale.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37"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The WML Indenture contains covenants limiting WML’s (and certain of its subsidiaries’) ability to, among other things: merge or consolidate with another company; transfer or sell all or substantially all of its properties or assets; and lease all or substantially all of its properties or assets. The terms of the WML Indenture contain customary events of default, including, but not limited to: default for 30 days in the payment when due of interest on the 2021 Notes; default in the payment when due of the principal of, or premium, if any, on the 2021 Notes; failure to comply with any payment obligations relating to the repurchase by WML of the 2021 Notes upon a change of control; failure to comply with certain covenants in the WML Indenture; certain defaults on certain other indebtedness; failure to pay judgments against WML or certain subsidiaries that, in the aggregate, exceed $50 million; and certain events of bankruptcy or insolvency. In the case of an event of default arising from certain events of bankruptcy or insolvency, all 2021 Notes then outstanding will become due and payable immediately without further action or notice.</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7 7/8% Wynn Las Vegas First Mortgage Notes due 2020</w:t>
      </w:r>
    </w:p>
    <w:p>
      <w:pPr>
        <w:spacing w:after="0" w:line="22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During the six months ended June 30, 2014, Wynn Las Vegas, LLC repurchased and canceled $5.0 million in principal, plus interest, of its 7 7/8% first mortgage notes due May 1, 2020 through the open market. The Company incurred $0.5 million in expenses associated primarily with the premium paid for the repurchases and unamortized deferred financing costs and original issue discount included in loss on extinguishment of debt in the accompanying Condensed Consolidated Statements of Income.</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7 3/4% Wynn Las Vegas First Mortgage Notes due 2020</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During the six months ended June 30, 2014, Wynn Las Vegas, LLC repurchased and canceled $27.0 million in principal, plus interest, of its 7 3/4% first mortgage notes due August 15, 2020 through the open market. The Company incurred $3.3 million in expenses associated primarily with the premium paid for the repurchases and unamortized deferred financing costs included in loss on extinguishment of debt in the accompanying Condensed Consolidated Statements of Income.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Wynn Macau Credit Facilities</w:t>
      </w:r>
    </w:p>
    <w:p>
      <w:pPr>
        <w:spacing w:after="0" w:line="225" w:lineRule="exact"/>
        <w:rPr>
          <w:sz w:val="20"/>
          <w:szCs w:val="20"/>
          <w:color w:val="auto"/>
        </w:rPr>
      </w:pPr>
    </w:p>
    <w:p>
      <w:pPr>
        <w:jc w:val="both"/>
        <w:ind w:right="420" w:firstLine="405"/>
        <w:spacing w:after="0" w:line="259" w:lineRule="auto"/>
        <w:rPr>
          <w:sz w:val="20"/>
          <w:szCs w:val="20"/>
          <w:color w:val="auto"/>
        </w:rPr>
      </w:pPr>
      <w:r>
        <w:rPr>
          <w:rFonts w:ascii="Arial" w:cs="Arial" w:eastAsia="Arial" w:hAnsi="Arial"/>
          <w:sz w:val="18"/>
          <w:szCs w:val="18"/>
          <w:color w:val="auto"/>
        </w:rPr>
        <w:t>The Company's credit facilities consist of a $950 million equivalent fully funded senior secured term loan facility (the "Wynn Macau Senior Term Loan") and a $1.55 billion equivalent senior secured revolving credit facility (the "Wynn Macau Senior Revolving Credit Facility" and together with the Wynn Macau Senior Term Loan, the "Wynn Macau Credit Facilities"). As of June 30, 2014, there were no amounts outstanding under the Wynn Macau Senior Revolving Credit Facility.</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Debt Covenant Compliance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2014, management believes the Company was in compliance with all debt covenants.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The estimated fair value of the Company's long-term debt, excluding the Redemption Note, as of June 30, 2014 and December 31, 2013, was approximately $5.6 billion and $4.8 billion, respectively, compared to its carrying value of $5.4 billion and $4.7 billion, respectively. The estimated fair value of the Company's long-term debt, excluding the Redemption Note, is based on recent trades, if available, and indicative pricing from market information (level 2 inputs). See Note 2 "Summary of Significant Accounting Policies" for discussion on the estimated fair value of the Redemption Note.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Interest Rate Swaps</w:t>
      </w:r>
    </w:p>
    <w:p>
      <w:pPr>
        <w:spacing w:after="0" w:line="175"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as an increase/decrease in swap fair value in the accompanying Condensed Consolidated Statements of Income, as the interest rate swaps do not qualify for hedge accounting.</w:t>
      </w:r>
    </w:p>
    <w:p>
      <w:pPr>
        <w:spacing w:after="0" w:line="173"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Company utilized Level 2 inputs as described in Note 2 “Summary of Significant Accounting Policies” to determine fair value. The fair value approximates the amount the Company would pay if these contracts were settled at the respective valuation dates. Fair value is estimated based upon current, and predictions of future, interest rate levels along a yield curve, the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2" w:right="25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37"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remaining duration of the instruments and other market conditions, and therefore, is subject to significant estimation and a high degree of variability and fluctuation between periods. The fair value is adjusted, to reflect the impact of credit ratings of the counterparties or the Company, as applicable. These adjustments resulted in a reduction in the fair values as compared to their settlement values. As of June 30, 2014 and December 31, 2013, the interest rate swaps were recorded as an asset of $6.5 million and $10.3 million, respectively, and included in deposits and other assets.</w:t>
      </w:r>
    </w:p>
    <w:p>
      <w:pPr>
        <w:spacing w:after="0" w:line="154"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The Company currently has three interest rate swap agreements intended to hedge a portion of the underlying interest rate risk on borrowings under the Wynn Macau Senior Term Loan. Under two of the swap agreements, the Company pays a fixed interest rate (excluding the applicable interest margin) of</w:t>
      </w:r>
    </w:p>
    <w:p>
      <w:pPr>
        <w:ind w:right="60"/>
        <w:spacing w:after="0" w:line="277" w:lineRule="auto"/>
        <w:rPr>
          <w:sz w:val="20"/>
          <w:szCs w:val="20"/>
          <w:color w:val="auto"/>
        </w:rPr>
      </w:pPr>
      <w:r>
        <w:rPr>
          <w:rFonts w:ascii="Arial" w:cs="Arial" w:eastAsia="Arial" w:hAnsi="Arial"/>
          <w:sz w:val="17"/>
          <w:szCs w:val="17"/>
          <w:color w:val="auto"/>
        </w:rPr>
        <w:t>0.73% on notional amounts corresponding to borrowings of HK$3.95 billion (approximately $509.4 million) incurred under the Wynn Macau Senior Term Loan in exchange for receipts on the same amount at a variable interest rate based on the applicable HIBOR at the time of payment. These interest rate swaps fix the all-in interest rate on such amounts at 2.48% to 3.23%. These interest rate swap agreements mature in July 2017.</w:t>
      </w:r>
    </w:p>
    <w:p>
      <w:pPr>
        <w:spacing w:after="0" w:line="17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Under the third swap agreement, the Company pays a fixed interest rate (excluding the applicable interest margin) of 0.68% on notional amounts corresponding to borrowings of $243.8 million incurred under the Wynn Macau Senior Term Loan in exchange for receipts on the same amount at a variable-rate based on the applicable LIBOR at the time of payment. This interest rate swap fixes the all-in interest rate on such amounts at 2.43% to 3.18%. This interest rate swap agreement matures in July 2017.</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Related Party Transactions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Amounts Due to Officers</w:t>
      </w:r>
    </w:p>
    <w:p>
      <w:pPr>
        <w:spacing w:after="0" w:line="22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Company periodically provides services to Stephen A. Wynn, Chairman of the Board of Directors and Chief Executive Officer (“Mr. Wynn”), and certain other officers and directors of the Company, including the personal use of employees, construction work and other personal services. Mr. Wynn and other officers and directors have deposits with the Company to prepay any such items, which are replenished on an ongoing basis as needed. As of June 30, 2014 and December 31, 2013, Mr. Wynn and the other officers and directors had a net deposit balance with the Company of approximately $1.3 million and $0.8 million, respectively.</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Villa Lease</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Mr. Wynn currently leases from Wynn Las Vegas a villa which serves as Mr. Wynn’s personal residence. The restated lease agreement and amendments (“SW Lease”) were approved by the Audit Committee of the Board of Directors of Wynn Resorts. Pursuant to the SW Lease, Mr. Wynn pays Wynn Las Vegas annual rent for the villa of $525,000, which amount was determined to be the fair market value of the accommodations based on a third-party appraisal. In addition, pursuant to the SW Lease, Wynn Las Vegas pays for all capital improvements to the villa. The rental value for the villa will be re-determined every two years during the term of the SW Lease by the Audit Committee, with the current rent rate effective through February 28, 2015. Certain services for, and maintenance of, the villa are included in the annual rent.</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Aircraft Purchase Option Agreement</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On January 3, 2013, the Company and Mr. Wynn entered into an agreement pursuant to which Mr. Wynn agreed to terminate a previously granted option to purchase an approximately two acre tract of land located on the Wynn Las Vegas golf course and, in return, the Company granted Mr. Wynn the right to purchase any or all of the aircraft owned by the Company or its direct wholly owned subsidiaries. The aircraft purchase option is exercisable upon 30 days written notice and at a price equal to the book value of such aircraft, and will terminate on the date of termination of the employment agreement between the Company and Mr. Wynn, which expires in October 2020.</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The “Wynn” Surname Rights Agreement</w:t>
      </w:r>
    </w:p>
    <w:p>
      <w:pPr>
        <w:spacing w:after="0" w:line="22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On August 6, 2004, the Company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2" w:right="25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3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Property Charges and Other</w:t>
      </w:r>
    </w:p>
    <w:p>
      <w:pPr>
        <w:spacing w:after="0" w:line="229" w:lineRule="exact"/>
        <w:rPr>
          <w:sz w:val="20"/>
          <w:szCs w:val="20"/>
          <w:color w:val="auto"/>
        </w:rPr>
      </w:pPr>
    </w:p>
    <w:p>
      <w:pPr>
        <w:ind w:right="240" w:firstLine="432"/>
        <w:spacing w:after="0" w:line="276" w:lineRule="auto"/>
        <w:rPr>
          <w:sz w:val="20"/>
          <w:szCs w:val="20"/>
          <w:color w:val="auto"/>
        </w:rPr>
      </w:pPr>
      <w:r>
        <w:rPr>
          <w:rFonts w:ascii="Arial" w:cs="Arial" w:eastAsia="Arial" w:hAnsi="Arial"/>
          <w:sz w:val="17"/>
          <w:szCs w:val="17"/>
          <w:color w:val="auto"/>
        </w:rPr>
        <w:t>Property charges and other for the three and six months ended June 30, 2014 were $2.1 million and $12.0 million, respectively. During 2014, the Company incurred property charges primarily associated with the renovation of approximately 27,000 square feet of casino space at Wynn Macau for new VIP gaming rooms. The Company expects to complete this renovation before Chinese New Year of 2015. Property charges and other for the three and six months ended June 30, 2013 were $5.6 million and $11.0 million, respectively, which includes miscellaneous renovations and abandonments at our resorts, entertainment development costs and fees paid in connection with the termination of a contract.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Noncontrolling Interest</w:t>
      </w:r>
    </w:p>
    <w:p>
      <w:pPr>
        <w:spacing w:after="0" w:line="243" w:lineRule="exact"/>
        <w:rPr>
          <w:sz w:val="20"/>
          <w:szCs w:val="20"/>
          <w:color w:val="auto"/>
        </w:rPr>
      </w:pPr>
    </w:p>
    <w:p>
      <w:pPr>
        <w:ind w:right="80" w:firstLine="432"/>
        <w:spacing w:after="0" w:line="308" w:lineRule="auto"/>
        <w:rPr>
          <w:sz w:val="20"/>
          <w:szCs w:val="20"/>
          <w:color w:val="auto"/>
        </w:rPr>
      </w:pPr>
      <w:r>
        <w:rPr>
          <w:rFonts w:ascii="Arial" w:cs="Arial" w:eastAsia="Arial" w:hAnsi="Arial"/>
          <w:sz w:val="17"/>
          <w:szCs w:val="17"/>
          <w:color w:val="auto"/>
        </w:rPr>
        <w:t>On June 6, 2014, Wynn Macau, Limited paid a dividend of HK$0.98 per share for a total of $655.8 million. The Company’s share of this dividend was $474.0 million with a reduction of $181.8 million to noncontrolling interest in the accompanying Condensed Consolidated Balance Sheets.</w:t>
      </w:r>
    </w:p>
    <w:p>
      <w:pPr>
        <w:spacing w:after="0" w:line="147" w:lineRule="exact"/>
        <w:rPr>
          <w:sz w:val="20"/>
          <w:szCs w:val="20"/>
          <w:color w:val="auto"/>
        </w:rPr>
      </w:pPr>
    </w:p>
    <w:p>
      <w:pPr>
        <w:ind w:right="80" w:firstLine="432"/>
        <w:spacing w:after="0" w:line="308" w:lineRule="auto"/>
        <w:rPr>
          <w:sz w:val="20"/>
          <w:szCs w:val="20"/>
          <w:color w:val="auto"/>
        </w:rPr>
      </w:pPr>
      <w:r>
        <w:rPr>
          <w:rFonts w:ascii="Arial" w:cs="Arial" w:eastAsia="Arial" w:hAnsi="Arial"/>
          <w:sz w:val="17"/>
          <w:szCs w:val="17"/>
          <w:color w:val="auto"/>
        </w:rPr>
        <w:t>On June 6, 2013, Wynn Macau, Limited paid a dividend of HK$1.24 per share for a total of $828.6 million. The Company’s share of this dividend was $599.1 million with a reduction of $229.6 million to noncontrolling interest in the accompanying Condensed Consolidated Balance Sheets.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Stock-Based Compensation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total compensation cost relating both to stock options and nonvested stock is allocated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0" w:type="dxa"/>
            <w:vAlign w:val="bottom"/>
            <w:gridSpan w:val="6"/>
          </w:tcPr>
          <w:p>
            <w:pPr>
              <w:ind w:left="64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1,396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Rooms</w:t>
            </w:r>
          </w:p>
        </w:tc>
        <w:tc>
          <w:tcPr>
            <w:tcW w:w="94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438</w:t>
            </w: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and beverage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Entertainment, retail and other</w:t>
            </w:r>
          </w:p>
        </w:tc>
        <w:tc>
          <w:tcPr>
            <w:tcW w:w="94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226</w:t>
            </w: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7,001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24,877</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 stock-based compensation expense</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8,424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28,746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12,345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29,868</w:t>
            </w: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 capitalized</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 stock-based compensation costs</w:t>
            </w:r>
          </w:p>
        </w:tc>
        <w:tc>
          <w:tcPr>
            <w:tcW w:w="940" w:type="dxa"/>
            <w:vAlign w:val="bottom"/>
            <w:tcBorders>
              <w:top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8,473</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28,794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17,929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29,964</w:t>
            </w:r>
          </w:p>
        </w:tc>
      </w:tr>
      <w:tr>
        <w:trPr>
          <w:trHeight w:val="27"/>
        </w:trPr>
        <w:tc>
          <w:tcPr>
            <w:tcW w:w="5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During the first quarter of 2014, the Company capitalized $5.5 million of stock-based compensation into construction for a restricted stock award granted which immediately vested. The restricted stock award was granted to an employee of the Company's design, development and construction subsidiary and will be amortized over the useful life of the related asset.</w:t>
      </w:r>
    </w:p>
    <w:p>
      <w:pPr>
        <w:spacing w:after="0" w:line="181"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During the second quarter of 2013, the Company recorded $23.0 million of stock-based compensation expense due to the retirement of the Company's former chief operating officer and the related accelerated vesting of shares previously granted to him.</w:t>
      </w:r>
    </w:p>
    <w:p>
      <w:pPr>
        <w:spacing w:after="0" w:line="17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During the first quarter of 2013, the Company reversed $10.6 million of stock-based compensation expense allocated to general and administrative. The reversal was related to restricted stock granted in 2008 and 2011 with an average nine year cliff vest provision that were modified and forfeited during the first quarter of 2013.</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Cotai Development and Land Concession Contract</w:t>
      </w:r>
    </w:p>
    <w:p>
      <w:pPr>
        <w:spacing w:after="0" w:line="225"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Company is currently constructing Wynn Palace, a fully integrated resort containing a 1,700-room hotel, performance lake, meeting space, casino, spa, retail and food and beverage outlets.</w:t>
      </w:r>
    </w:p>
    <w:p>
      <w:pPr>
        <w:spacing w:after="0" w:line="17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In September 2011, Wynn Resorts (Macau) S.A. and Palo Real Estate Company Limited (“Palo”), each an indirect subsidiary of Wynn Macau Limited, formally accepted the terms and conditions of a draft land concession contract from the Macau government for approximately 51 acres of land in the Cotai area of Macau. On May 2, 2012, the land concession contract was gazetted by the government of Macau evidencing the final step in the granting of the land concession. The initial term of the land concession contract is 25 years from May 2, 2012, and it may be renewed with government approval for successive periods. The total land premium payable, including interest as required by the land concession contract, is $193.4 million. An initial payment of $62.5 million was paid in December 2011, with eight additional semi-annual payments of approximately $16.4 million each (which includes interest at 5%) due beginning November 2012. As of June 30, 2014 and December 31, 2013, the Company has recorded this obligation and related asset with $30.1 million and $29.3 million included as a current liability, respectively and $31.6 million and $46.8 million, respectively, included as a long-term liability. The Company is also required to make annual lease payments of $0.8 million during the resort construction period and annual payments of approximately $1.1 million once the development is completed.</w:t>
      </w:r>
    </w:p>
    <w:p>
      <w:pPr>
        <w:spacing w:after="0" w:line="178"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On July 29, 2013, Wynn Resorts (Macau) S.A. and Palo finalized and executed a guaranteed maximum price construction (“GMP”) contract with Leighton Contractors (Asia) Limited, acting as the general contractor. Under the GMP contract, the general contractor is responsible for both the design and construction of the Wynn Palace. The general contractor is obligated to substantially complete the project in the first half of 2016 for a guaranteed maximum price of HK$20 billion (approximately US$2.6 billion). An early completion bonus for achievement of substantial completion on or before January 25, 2016 will be paid to the general contractor if certain conditions are satisfied under the GMP contract. Both the contract time and guaranteed maximum price are subject to further adjustment under certain specified conditions. The performance of the general contractor is backed by a full completion guarantee given by Leighton Holdings Limited, the parent company of the general contractor, as well as a performance bond for 5% of the guaranteed maximum price.</w:t>
      </w:r>
    </w:p>
    <w:p>
      <w:pPr>
        <w:spacing w:after="0" w:line="16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As of June 30, 2014, the Company incurred approximately $1.1 billion of the approximately $4.0 billion in total project budget costs. The total project budget includes all construction costs, capitalized interest, pre-opening expenses, land costs and financing fees. The Company expects to open its resort on Cotai in the first half of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360" w:firstLine="432"/>
        <w:spacing w:after="0" w:line="342" w:lineRule="auto"/>
        <w:rPr>
          <w:sz w:val="20"/>
          <w:szCs w:val="20"/>
          <w:color w:val="auto"/>
        </w:rPr>
      </w:pPr>
      <w:r>
        <w:rPr>
          <w:rFonts w:ascii="Arial" w:cs="Arial" w:eastAsia="Arial" w:hAnsi="Arial"/>
          <w:sz w:val="16"/>
          <w:szCs w:val="16"/>
          <w:color w:val="auto"/>
        </w:rPr>
        <w:t>In addition to the actions noted below, the Company’s affiliates are involved in litigation arising in the normal course of business. In the opinion of management, such litigation is not expected to have a material effect on the Company’s financial condition, results of operations or cash flows.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Atlantic-Pacific Capital</w:t>
      </w:r>
    </w:p>
    <w:p>
      <w:pPr>
        <w:spacing w:after="0" w:line="225"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On May 3, 2010, Atlantic-Pacific Capital, Inc. (“APC”) filed an arbitration demand with JAMS, a private alternative dispute resolution provider, regarding an agreement with the Company. The action concerns a claim for compensation pursuant to an agreement entered into between APC and the Company on or about March 30, 2009, whereby APC was engaged to raise private equity capital for a specific investment vehicle to be sponsored by the Company. The investment vehicle was never formed. The Company has denied APC’s claims for compensation. After APC's demand in early 2010, the Company filed a Complaint for Damages and Declaratory Relief against APC in the Eighth Judicial District Court, Clark County, Nevada, on May 10, 2010, which APC removed to the United States District Court, District of Nevada. In March 2011, the District Court denied APC’s motion to compel arbitration, and dismissed the action. APC appealed, and on November 13, 2012, the United States Court of Appeals for the Ninth Circuit reversed the District Court and compelled arbitration. The arbitration hearing took place during April 2014. On July 25, 2014, the arbitrator issued a decision denying APC's claim in its entirety and awarding attorney's fees to the Company.</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121" w:right="27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Determination of Unsuitability and Redemption of Aruze USA, Inc. and Affiliates</w:t>
      </w:r>
    </w:p>
    <w:p>
      <w:pPr>
        <w:spacing w:after="0" w:line="225"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On February 18, 2012, Wynn Resorts’ Gaming Compliance Committee received an independent report by Freeh, Sporkin &amp; Sullivan, LLP (the “Freeh Report”) detailing a pattern of misconduct by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 Mr. Okada denied the impropriety of such conduct to members of the Board of Directors of Wynn Resorts and, while serving as one of the Company’s directors, Mr. Okada refused to acknowledge or abide by Wynn Resorts’ anti-bribery policies and refused to participate in the training all other directors received concerning these policies.</w:t>
      </w:r>
    </w:p>
    <w:p>
      <w:pPr>
        <w:spacing w:after="0" w:line="178"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Based on the Freeh Report, the Board of Directors of Wynn Resorts determined that the Okada Parties are “unsuitable persons” under Article VII of the Company’s articles of incorporation. The Board of Directors was unanimous (other than Mr. Okada) in its determination. After authorizing the redemption of the Aruze shares, as discussed below, the Board of Directors took certain actions to protect the Company and its operations from any influence of an unsuitable person, including placing limitations on the provision of certain operating information to unsuitable persons and formation of an Executive Committee of the Board to manage the business and affairs of the Company during the period between each annual meeting. The Charter of the Executive Committee provides that “Unsuitable Persons” are not permitted to serve on the Committee. All members of the Board, other than Mr. Okada, were appointed to the Executive Committee on February 18, 2012.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On February 18, 2012, Mr. Okada was removed from the Board of Directors of Wynn Las Vegas Capital Corp., an indirect wholly owned subsidiary of Wynn Resorts. On February 24, 2012, Mr. Okada was removed from the Board of Directors of Wynn Macau, Limited and on February 22, 2013, he was removed from the Board of Directors of Wynn Resorts by a stockholder vote in which 99.6% of the over 86 million shares voted were cast in favor of removal. Mr. Okada resigned from the Board of Directors of Wynn Resorts on February 21, 2013. Although the Company has retained the structure of the Executive Committee, the Board has resumed its past role in managing the business and affairs of the Company.</w:t>
      </w:r>
    </w:p>
    <w:p>
      <w:pPr>
        <w:spacing w:after="0" w:line="175"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Based on the Board of Directors’ finding of “unsuitability,” on February 18, 2012, Wynn Resorts redeemed and canceled Aruze USA, Inc.’s 24,549,222 shares of Wynn Resorts’ common stock. Following a finding of “unsuitability,” Article VII of Wynn Resorts’ articles of incorporation authorizes redemption at “fair value” of the shares held by unsuitable persons. The Company engaged an independent financial adviser to assist in the fair value calculation and concluded that a discount to the then current trading price was appropriate because of, among other things, restrictions on most of the shares held by Aruze USA, Inc. under the terms of the Stockholders Agreement (as defined below). Pursuant to its articles of incorporation, Wynn Resorts issued the Redemption Note to Aruze USA, Inc. in redemption of the shares. The Redemption Note has a principal amount of $1.94 billion, matures on February 18, 2022, and bears interest at the rate of 2% per annum, payable annually in arrears on each anniversary of the date of the Redemption Note. The Company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69"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The Company provided the Freeh Report to appropriate regulators and law enforcement agencies and has been cooperating with related investigations that such regulators and agencies have undertaken. The conduct of the Okada Parties and any resulting regulatory investigations could have adverse consequences to the Company and its subsidiaries. A finding by regulatory authorities that Mr. Okada violated anti-corruption statutes and/or other laws or regulations applicable to persons affiliated with a gaming licensee on Company property and/or otherwise involved the Company in criminal or civil violations could result in actions by regulatory authorities against the Company and its subsidiaries.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Redemption Action and Counterclaim</w:t>
      </w:r>
    </w:p>
    <w:p>
      <w:pPr>
        <w:spacing w:after="0" w:line="225" w:lineRule="exact"/>
        <w:rPr>
          <w:sz w:val="20"/>
          <w:szCs w:val="20"/>
          <w:color w:val="auto"/>
        </w:rPr>
      </w:pPr>
    </w:p>
    <w:p>
      <w:pPr>
        <w:ind w:right="360" w:firstLine="432"/>
        <w:spacing w:after="0" w:line="279" w:lineRule="auto"/>
        <w:rPr>
          <w:sz w:val="20"/>
          <w:szCs w:val="20"/>
          <w:color w:val="auto"/>
        </w:rPr>
      </w:pPr>
      <w:r>
        <w:rPr>
          <w:rFonts w:ascii="Arial" w:cs="Arial" w:eastAsia="Arial" w:hAnsi="Arial"/>
          <w:sz w:val="17"/>
          <w:szCs w:val="17"/>
          <w:color w:val="auto"/>
        </w:rPr>
        <w:t>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The Company is seeking compensatory and special damages as well as a declaration that it acted lawfully and in full compliance with its articles of incorporation, bylaws and other governing documents in redeeming and canceling the shares of Aruze, USA, Inc.</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53" w:lineRule="exact"/>
        <w:rPr>
          <w:sz w:val="20"/>
          <w:szCs w:val="20"/>
          <w:color w:val="auto"/>
        </w:rPr>
      </w:pPr>
    </w:p>
    <w:p>
      <w:pPr>
        <w:ind w:right="60" w:firstLine="432"/>
        <w:spacing w:after="0" w:line="268" w:lineRule="auto"/>
        <w:rPr>
          <w:sz w:val="20"/>
          <w:szCs w:val="20"/>
          <w:color w:val="auto"/>
        </w:rPr>
      </w:pPr>
      <w:r>
        <w:rPr>
          <w:rFonts w:ascii="Arial" w:cs="Arial" w:eastAsia="Arial" w:hAnsi="Arial"/>
          <w:sz w:val="17"/>
          <w:szCs w:val="17"/>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(as amended, the “Counterclaim”) that purports to assert claims against the Company, each of the members of the Company’s Board of Directors (other than Mr. Okada) and Wynn Resorts’ General Counsel (the “Wynn Parties”). The Counterclaim alleges, among other things: (1) that the shares of Wynn Resorts common stock owned by Aruze USA, Inc. were exempt from the redemption-for-unsuitability provisions in the Wynn Resorts articles of incorporation (the “Articles”) pursuant to certain agreements executed in 2002; (2) that the Wynn Resorts directors who authorized the redemption of Aruze USA, Inc.’s shares acted at the direction of Stephen A. Wynn and did not independently and objectively evaluate the Okada Parties’ suitability, and by so doing, breached their fiduciary duties; (3) that the Wynn Resorts directors violated the terms of the Wynn Resorts Articles by failing to pay Aruze USA, Inc. fair value for the redeemed shares; and (4) that the terms of the Redemption Note that Aruze USA, Inc. received in exchange for the redeemed shares, including the Redemption Note’s principal amount, duration, interest rate, and subordinated status, were unconscionable. Among other relief, the Counterclaim seeks a declaration that the redemption of Aruze USA, Inc.’s shares was void, an injunction restoring Aruze USA, Inc.’s share ownership, damages in an unspecified amount and rescission of the Amended and Restated Stockholders Agreement, dated as of January 6, 2010, by and among Aruze USA, Inc., Stephen A. Wynn, and Elaine Wynn (the “Stockholders Agreement”).</w:t>
      </w:r>
    </w:p>
    <w:p>
      <w:pPr>
        <w:spacing w:after="0" w:line="188" w:lineRule="exact"/>
        <w:rPr>
          <w:sz w:val="20"/>
          <w:szCs w:val="20"/>
          <w:color w:val="auto"/>
        </w:rPr>
      </w:pPr>
    </w:p>
    <w:p>
      <w:pPr>
        <w:ind w:right="80" w:firstLine="432"/>
        <w:spacing w:after="0" w:line="285" w:lineRule="auto"/>
        <w:rPr>
          <w:sz w:val="20"/>
          <w:szCs w:val="20"/>
          <w:color w:val="auto"/>
        </w:rPr>
      </w:pPr>
      <w:r>
        <w:rPr>
          <w:rFonts w:ascii="Arial" w:cs="Arial" w:eastAsia="Arial" w:hAnsi="Arial"/>
          <w:sz w:val="16"/>
          <w:szCs w:val="16"/>
          <w:color w:val="auto"/>
        </w:rPr>
        <w:t>On June 19, 2012, Elaine Wynn asserted a cross claim against Stephen A. Wynn and Aruze USA, Inc. seeking a declaration that (1) any and all of Elaine Wynn’s duties under the Stockholders Agreement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The indentures for Wynn Las Vegas, LLC's 7 7/8% first mortgage notes due 2020, 7 3/4% first mortgage notes due 2020 (together, the "2020 Indentures") and the indenture for Wynn Las Vegas, LLC's 4 1/4% Senior Notes due 2023 (the "2023 Indenture," and, together with the 2020 Indentures, the "Indentures") provide that if Stephen A. Wynn, together with certain related parties, in the aggregate beneficially owns a lesser percentage of the outstanding common stock of the Company than are beneficially owned by any other person, a change of control will have occurred. The indentures for Wynn Las Vegas, LLC's 5 3/8% first mortgage notes due 2022 (the "2022 Indenture") provide that if any event constitutes a "change of control" under the 2020 Indentures, it will constitute a change of control under the 2022 Indenture. If Elaine Wynn prevails in her cross claim, Stephen A. Wynn would not beneficially own or control Elaine Wynn’s shares and a change in control may result under the Wynn Las Vegas debt documents. Under the 2020 Indentures and the 2022 Indenture, the occurrence of a change of control requires that the Company make an offer to each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Under the 2023 Indenture, if a change of control occurs and within 60 days after that occurrence the 4 1/4% Senior Notes due 2023 are rated below investment grade by both rating agencies that rate such notes, the Company is required to make an offer to each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Mr. Wynn is opposing Ms. Wynn’s cross claim.</w:t>
      </w:r>
    </w:p>
    <w:p>
      <w:pPr>
        <w:spacing w:after="0" w:line="175"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The Company’s Complaint and the Okada Parties’ Counterclaim have been, and continue to be, challenged through motion practice. At a hearing held on November 13, 2012, the Nevada state court granted the Wynn Parties’ motion to dismiss the Counterclaim with respect to the Okada Parties’ claim under the Nevada Racketeer Influenced and Corrupt Organizations Act with respect to certain Company executives but otherwise denied the motion. At a hearing held on January 15, 2013, the court denied the Okada Parties’ motion to dismiss the Company’s Complaint. On April 22, 2013, the Company filed a second amended complaint. On August 30, 2013, the Okada Parties filed their third amended Counterclaim. On September 18, 2013, the Company filed a Partial Motion to Dismiss related to a claim in the third amended Counterclaim alleging civil extortion by Mr. Wynn and the Company’s General Counsel. On October 29, 2013, the court granted the motion and dismissed the claim. On November 26, 2013, the Okada Parties filed their fourth amended Counterclaim, and the Company filed an answer to that pleading on December 16, 2013.</w:t>
      </w:r>
    </w:p>
    <w:p>
      <w:pPr>
        <w:spacing w:after="0" w:line="179"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On each of February 14, 2013, and February 13, 2014, the Company issued a check to Aruze USA, Inc. in the amount of $38.7 million, representing the interest payments due on the Redemption Note at those times. However, those checks were not cashed. The parties engaged in discussions regarding the terms of an escrow agreement in accordance with a prior court order. However, in February 2014, the Okada Parties advised of their intent to deposit any checks for interest and principal, past and future, due under the terms of the Redemption Note to the clerk of the court for deposit into the clerk’s trust account. On March 17, 2014, the parties stipulated that the checks be returned to the Company for reissue in the same amounts, payable to the clerk of the court for deposit into the clerk's trust account. Pursuant to the stipulation, on March 20, 2014, the Company delivered to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the clerk of the court the reissued checks that were deposited into the clerk's trust account and filed a notice with the court with respect to the same.</w:t>
      </w:r>
    </w:p>
    <w:p>
      <w:pPr>
        <w:spacing w:after="0" w:line="237"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On April 8, 2013, the United States Attorney’s Office and the U.S. Department of Justice filed a Motion to Intervene and for Temporary and Partial Stay of Discovery in the Redemption Action. The parties had been engaged in discovery at the time of the filing. The motion stated that the federal government has been conducting a criminal investigation of the Okada Parties involving the “same underlying allegations of misconduct-that is, potential violations of the Foreign Corrupt Practice Act and related fraudulent conduct-that form the basis of” the Company’s complaint, as amended, in the Redemption Action. The motion sought to stay all discovery in the Redemption Action related to the Okada Parties’ allegedly unlawful activities in connection with their casino project in the Philippines until the conclusion of the criminal investigation and any resulting criminal prosecution, with an interim status update to the court in six months. At a hearing on May 2, 2013, the court granted the motion and ordered that all discovery in the Redemption Action be stayed for a period of six months (the “Stay”). On May 30, 2013, Elaine Wynn filed a motion for partial relief from the Stay, to allow her to conduct limited discovery related to her cross and counterclaims. The Wynn Parties opposed the motion so as to not interfere with the United States government’s investigation. At a hearing on August 1, 2013, the court denied the motion. On October 29, 2013, the United States Attorney’s Office and the U.S. Department of Justice filed a Motion to Extend the Stay for a further period of six months. At a hearing on October 31, 2013, the court granted the requested extension based upon an affidavit provided under seal that outlined, among other things, concerns for witness safety. The court did, however, order the parties to exchange written discovery propounded prior to May 2, 2013, including discovery related to the Elaine Wynn cross and counterclaims referred to above. The extended Stay expired on May 5, 2014. On April 29, 2014, the United States Attorney's Office and the U.S. Department of Justice filed a Motion for a Second Extension of Temporary Stay of Discovery for a further six months. At a hearing on May 1, 2014, the court denied the motion.</w:t>
      </w:r>
    </w:p>
    <w:p>
      <w:pPr>
        <w:spacing w:after="0" w:line="16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Company will continue to vigorously pursue its claims against the Okada Parties, and the Company and the Wynn Parties will continue to vigorously defend against the counterclaims asserted against them. The Company’s claims and the Okada Parties’ counterclaims remain in an early stage and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our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Commenced by Kazuo Okada</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Japan Action:</w:t>
      </w:r>
    </w:p>
    <w:p>
      <w:pPr>
        <w:spacing w:after="0" w:line="2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On August 28, 2012, Mr. Okada, Universal Entertainment Corporation and Okada Holdings (“Okada Japan Parties”) filed a complaint in Tokyo District Court against the Wynn Parties, alleging that the press release issued by the Company with respect to the redemption has damaged plaintiffs’ social evaluation and credibility. The Okada Japan Parties seek damages and legal fees from the Wynn Parties. After asking the Okada Japan Parties to clarify the allegations in their complaint, the Wynn Parties objected to the jurisdiction of the Japanese court. On April 30, 2013, the Wynn Parties filed a memorandum in support of their jurisdictional position. On October 21, 2013, the court dismissed the action on jurisdictional grounds. On November 1, 2013, the Okada Japan Parties filed an appeal moving the matter to the Tokyo High Court. On June 11, 2014, the Tokyo High Court ruled in favor of the Wynn Parties and upheld the motion for dismissal. On June 25, 2014, the Okada Japan Parties filed a notice of appeal to the Supreme Court of Japan.</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Indemnification Action:</w:t>
      </w:r>
    </w:p>
    <w:p>
      <w:pPr>
        <w:spacing w:after="0" w:line="225" w:lineRule="exact"/>
        <w:rPr>
          <w:sz w:val="20"/>
          <w:szCs w:val="20"/>
          <w:color w:val="auto"/>
        </w:rPr>
      </w:pPr>
    </w:p>
    <w:p>
      <w:pPr>
        <w:ind w:right="60" w:firstLine="432"/>
        <w:spacing w:after="0" w:line="284" w:lineRule="auto"/>
        <w:rPr>
          <w:sz w:val="20"/>
          <w:szCs w:val="20"/>
          <w:color w:val="auto"/>
        </w:rPr>
      </w:pPr>
      <w:r>
        <w:rPr>
          <w:rFonts w:ascii="Arial" w:cs="Arial" w:eastAsia="Arial" w:hAnsi="Arial"/>
          <w:sz w:val="16"/>
          <w:szCs w:val="16"/>
          <w:color w:val="auto"/>
        </w:rPr>
        <w:t>On March 20, 2013, Mr. Okada filed a complaint against the Company in Nevada state court for indemnification under the Company’s Articles, bylaws and agreements with its directors. The complaint sought advancement of Mr. Okada’s costs and expenses (including attorney’s fees) incurred pursuant to the various legal proceedings and related regulatory investigations described above. The Company’s answer and counterclaim was filed on April 15, 2013. The counterclaim named each of the Okada Parties as defendants and sought indemnification under the Company’s Articles for costs and expenses (including attorney’s fees) incurred pursuant to the various legal proceedings and related regulatory investigations described above. On April 30, 2013, Mr. Okada filed his reply to the counterclaim. On February 4, 2014, the court entered an order on the parties’ stipulation that: (1) dismissed all claims Mr. Okada asserted against the Company; (2) reserved Mr. Okada’s right to assert, in the future, any claims for indemnity following the resolution of the Redemption Action; and</w:t>
      </w:r>
    </w:p>
    <w:p>
      <w:pPr>
        <w:spacing w:after="0" w:line="3" w:lineRule="exact"/>
        <w:rPr>
          <w:sz w:val="20"/>
          <w:szCs w:val="20"/>
          <w:color w:val="auto"/>
        </w:rPr>
      </w:pPr>
    </w:p>
    <w:p>
      <w:pPr>
        <w:ind w:left="5620" w:right="3060" w:hanging="5612"/>
        <w:spacing w:after="0" w:line="793" w:lineRule="auto"/>
        <w:tabs>
          <w:tab w:leader="none" w:pos="259"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stayed the claims asserted by the Company against Mr. Okada pending the resolution of the Redemption Action. 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37"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Management has determined that based on proceedings to date, it is currently unable to determine the probability of the outcome of this action or the range of reasonably possible loss, if 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Investigations and Derivative Litigation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Investigations:</w:t>
      </w:r>
    </w:p>
    <w:p>
      <w:pPr>
        <w:spacing w:after="0" w:line="225"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In the U.S. Department of Justice’s Motion to Intervene and for Temporary and Partial Stay of Discovery in the Redemption Action, the Department of Justice states in a footnote that the government also has been conducting a criminal investigation into the Company’s donation to the University of Macau discussed above. The Company has not received any target letter or subpoena in connection with such an investigation. The Company intends to cooperate fully with the government in response to any inquiry related to the donation to the University of Macau.</w:t>
      </w:r>
    </w:p>
    <w:p>
      <w:pPr>
        <w:spacing w:after="0" w:line="171"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Other regulators may pursue separate investigations into the Company’s compliance with applicable laws arising from the allegations in the matters described above and in response to the Counterclaim and other litigation filed by Mr. Okada suggesting improprieties in connection with the Company’s donation to the University of Macau. While the Company believes that it is in full compliance with all applicable laws, any such investigations could result in actions by regulators against the Company. Prior investigations by the Nevada Gaming Control Board and SEC were closed with no actions taken.</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Derivative Claims:</w:t>
      </w:r>
    </w:p>
    <w:p>
      <w:pPr>
        <w:spacing w:after="0" w:line="225"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Six derivative actions were commenced against the Company and all members of its Board of Directors: four in the United States District Court, District of Nevada, and two in the Eighth Judicial District Court of Clark County, Nevada.</w:t>
      </w:r>
    </w:p>
    <w:p>
      <w:pPr>
        <w:spacing w:after="0" w:line="17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four federal actions brought by the following plaintiffs have been consolidated: (1) The Louisiana Municipal Police Employees’ Retirement System, (2) Maryanne Solak, (3) Excavators Union Local 731 Welfare Fund, and (4) Boilermakers Lodge No. 154 Retirement Fund (collectively, the “Federal Plaintiffs”).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Federal Plaintiffs filed a consolidated complaint on August 6, 2012, asserting claims for: (1) breach of fiduciary duty; (2) waste of corporate assets;</w:t>
      </w:r>
    </w:p>
    <w:p>
      <w:pPr>
        <w:spacing w:after="0" w:line="46" w:lineRule="exact"/>
        <w:rPr>
          <w:sz w:val="20"/>
          <w:szCs w:val="20"/>
          <w:color w:val="auto"/>
        </w:rPr>
      </w:pPr>
    </w:p>
    <w:p>
      <w:pPr>
        <w:ind w:right="20" w:firstLine="8"/>
        <w:spacing w:after="0" w:line="285" w:lineRule="auto"/>
        <w:tabs>
          <w:tab w:leader="none" w:pos="255" w:val="left"/>
        </w:tabs>
        <w:numPr>
          <w:ilvl w:val="0"/>
          <w:numId w:val="4"/>
        </w:numPr>
        <w:rPr>
          <w:rFonts w:ascii="Arial" w:cs="Arial" w:eastAsia="Arial" w:hAnsi="Arial"/>
          <w:sz w:val="16"/>
          <w:szCs w:val="16"/>
          <w:color w:val="auto"/>
        </w:rPr>
      </w:pPr>
      <w:r>
        <w:rPr>
          <w:rFonts w:ascii="Arial" w:cs="Arial" w:eastAsia="Arial" w:hAnsi="Arial"/>
          <w:sz w:val="16"/>
          <w:szCs w:val="16"/>
          <w:color w:val="auto"/>
        </w:rPr>
        <w:t>injunctive relief; and (4) unjust enrichment. The claims were against the Company and all Company directors, including Mr. Okada, however, the plaintiffs voluntarily dismissed Mr. Okada as a defendant in this consolidated action on September 27, 2012. The Federal Plaintiffs claimed that the individual defendants breached their fiduciary duties and wasted assets by: (a) failing to ensure the Company’s officers and directors complied with federal and state laws and the Company’s Code of Conduct; (b) voting to allow the Company’s subsidiary to make the donation to the University of Macau; and (c) redeeming Aruze USA, Inc.’s stock such that the Company incurs the debt associated with the redemption. The Federal Plaintiffs seek unspecified compensatory damages, restitution in the form of disgorgement, reformation of corporate governance procedures, an injunction against all future payments related to the donation/pledge, and all fees (attorneys, accountants, and experts) and costs. The directors responded to the consolidated complaint by filing a motion to dismiss on September 14, 2012. On February 1, 2013, the federal court dismissed the complaint for failure to plead adequately the futility of a pre-suit demand on the Board. The dismissal was without prejudice to the Federal Plaintiffs’ ability to file a motion within 30 days seeking leave to file an amended complaint. On April 9, 2013, the Federal Plaintiffs filed their amended complaint. The Company and the directors filed their motion to dismiss the amended complaint on May 23, 2013. On March 13, 2014, the federal court granted the motion to dismiss and entered judgment in favor of the Company and directors and against the Federal Plaintiffs without prejudice. On April 10, 2014, the Federal Plaintiffs filed a notice of appeal to the United States Court of Appeals for the Ninth Circuit. The Federal Plaintiffs' brief is due August 14, 2014, with response from the Company due September 15, 2014.</w:t>
      </w:r>
    </w:p>
    <w:p>
      <w:pPr>
        <w:spacing w:after="0" w:line="171"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The two state court actions brought by the following plaintiffs have also been consolidated: (1) IBEW Local 98 Pension Fund and (2) Danny Hinson (collectively, the “State Plaintiffs”). Through a coordination of efforts by all parties, the directors and the Company (a nominal defendant) have been served in all of the actions. The State Plaintiffs filed a consolidated complaint on July 20, 2012 asserting claims for (1) breach of fiduciary duty; (2) abuse of control;</w:t>
      </w:r>
    </w:p>
    <w:p>
      <w:pPr>
        <w:ind w:right="60" w:firstLine="8"/>
        <w:spacing w:after="0" w:line="292" w:lineRule="auto"/>
        <w:tabs>
          <w:tab w:leader="none" w:pos="255" w:val="left"/>
        </w:tabs>
        <w:numPr>
          <w:ilvl w:val="0"/>
          <w:numId w:val="5"/>
        </w:numPr>
        <w:rPr>
          <w:rFonts w:ascii="Arial" w:cs="Arial" w:eastAsia="Arial" w:hAnsi="Arial"/>
          <w:sz w:val="16"/>
          <w:szCs w:val="16"/>
          <w:color w:val="auto"/>
        </w:rPr>
      </w:pPr>
      <w:r>
        <w:rPr>
          <w:rFonts w:ascii="Arial" w:cs="Arial" w:eastAsia="Arial" w:hAnsi="Arial"/>
          <w:sz w:val="16"/>
          <w:szCs w:val="16"/>
          <w:color w:val="auto"/>
        </w:rPr>
        <w:t>gross mismanagement; and (4) unjust enrichment. The claims are against the Company and all Company directors, including Mr. Okada, as well as the Company’s Chief Financial Officer, who signs financial disclosures filed with the SEC. The State Plaintiffs claim that the individual defendants failed to disclose to the Company’s stockholders the investigation into, and the dispute with director Okada as well as the alleged potential violations of the FCPA related to, the University of Macau Development Foundation donation. The State Plaintiffs seek unspecified monetary damages (compensatory and punitive), disgorgement, reformation of corporate governance procedures, an order directing the Company to internally investigate the donation, as well as attorneys’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3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fees and costs. On October 13, 2012, the court entered the parties’ stipulation providing for a stay of the state derivative action for 90 days, subject to the parties’ obligation to monitor the progress of the pending litigation, discussed above, between Wynn Resorts (among others) and Mr. Okada (among others). Per the stipulation, the Company and the individual defendants were not required to respond to the consolidated complaint while the stay remained in effect. Following the expiration of the stay, the State Plaintiffs advised the Company and the individual defendants that they intended to resume the action by filing an amended complaint, which they did, on April 26, 2013. The Company and directors filed their motion to dismiss on June 10, 2013. However, on July 31, 2013, the parties agreed to a stipulation that was submitted to, and approved by the court. The stipulation contemplates a stay of the consolidated state court derivative action of equal duration as the Stay entered by the court in the Redemption Action. On June 18, 2014, the court entered a new stipulation between the parties that provides for further stay of the state derivative action and directs the parties, within 45 days of the conclusion of the latter of the Redemption Action or the federal derivative action, to discuss how the state derivative action should proceed and to file a joint report with the court.</w:t>
      </w:r>
    </w:p>
    <w:p>
      <w:pPr>
        <w:spacing w:after="0" w:line="167"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The individual defendants are vigorously defending against the claims pleaded against them in the state derivative action. Management has determined that based on proceedings to date, it is currently unable to determine the probability of the outcome of this action or the range of reasonably possible loss, if 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Income Taxes</w:t>
      </w:r>
    </w:p>
    <w:p>
      <w:pPr>
        <w:spacing w:after="0" w:line="229"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color w:val="auto"/>
        </w:rPr>
        <w:t>For the three months ended June 30, 2014 and 2013, the Company recorded a tax expense of $0.8 million and $1.1 million, respectively. For the six months ended June 30, 2014 and 2013, the Company recorded a tax expense of $3.4 million and a tax benefit of $4.0 million, respectively. The Company’s income tax expense is primarily related to an increase in the domestic valuation allowance for U.S. deferred tax assets that are not expected to provide a U.S. tax benefit in future years. The Company’s income tax benefit is primarily related to a decrease in deferred tax liabilities offset by foreign taxes assessable on the dividends of Wynn Resorts (Macau) S.A. and foreign tax provisions related to international marketing offices. Since June 30, 2010, the Company no longer considers its portion of the tax earnings and profits of Wynn Macau, Limited to be permanently invested. No additional U.S. tax provision has been made with respect to amounts not considered permanently invested as the Company anticipates that U.S. foreign tax credits should be sufficient to eliminate any U.S. tax provision relating to such repatriation. The Company has not provided deferred U.S. income taxes or foreign withholding taxes on temporary differences as these amounts are permanently reinvested. For the six months ended June 30, 2014 and 2013, the Company recognized income tax benefits related to excess tax deductions associated with stock compensation costs of $6.5 million and $10.1 million, respectively.</w:t>
      </w:r>
    </w:p>
    <w:p>
      <w:pPr>
        <w:spacing w:after="0" w:line="169"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The Company assesses the recoverability of its deferred tax asset for foreign tax credits ("FTCs") and the appropriateness for a valuation allowance on a quarterly basis. The Company considers factors such as: its three year cumulative pre-tax book income, the reversal of taxable timing differences, and expectations regarding the occurrence of U.S. source income versus foreign source income within the FTCs carryforward period. Historically, the Company has recorded a partial valuation allowance on FTCs. If, based on future results and reviews of these factors, the Company was to conclude that the deferred tax asset is not recoverable and an additional valuation allowance is necessary, there could be a significant impact on its effective tax rate.</w:t>
      </w:r>
    </w:p>
    <w:p>
      <w:pPr>
        <w:spacing w:after="0" w:line="118"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Wynn Resorts (Macau) S.A. has received a 5-year exemption from Macau’s Complementary Tax on casino gaming profits through December 31, 2015. Accordingly, the Company was exempted from the payment of $23.0 million and $24.2 million in such taxes during each of the three months ended June 30, 2014 and 2013, respectively. For the six months ended June 30, 2014 and 2013, the Company was exempted from the payment of such taxes totaling $54.6 million and $50.7 million, respectively. The Company’s non-gaming profits remain subject to the Macau Complementary Tax and casino winnings remain subject to the Macau Special Gaming tax and other levies together totaling 39% in accordance with its concession agreement.</w:t>
      </w:r>
    </w:p>
    <w:p>
      <w:pPr>
        <w:spacing w:after="0" w:line="104"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In December 2013, the Company received notification that for the 2014 tax year it had been accepted for the Compliance Maintenance phase of the Internal Revenue Service (“IRS”) Compliance Assurance Program (“CAP”), which accelerates IRS examination of key transactions with the goal of resolving any issues before the taxpayer files its return. In the Compliance Maintenance phase, the IRS, at its discretion, may reduce the level of review of the taxpayer’s tax positions based on the complexity and number of issues, and the taxpayer’s history of compliance, cooperation and transparency in the CAP.</w:t>
      </w:r>
    </w:p>
    <w:p>
      <w:pPr>
        <w:spacing w:after="0" w:line="10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In February 2014, the Company received notification that the IRS completed its examination of the Company’s 2012 U.S. income tax return and had no changes.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37"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In March 2013, the Financial Services Bureau commenced an examination of the 2009, 2010, and 2011 Macau income tax returns of Wynn Resorts (Macau) S.A. Since the examination is in its initial stages, the Company is unable to determine if it will conclude within the next 12 months. The Company believes that its liability for uncertain tax positions is adequate with respect to these years.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Segment Information</w:t>
      </w:r>
    </w:p>
    <w:p>
      <w:pPr>
        <w:spacing w:after="0" w:line="229"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Company monitors its operations and evaluates earnings by reviewing the assets and operations of its Macau Operations and its Las Vegas Operations. The Company’s total assets by segment are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6"/>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tcPr>
          <w:p>
            <w:pPr>
              <w:spacing w:after="0"/>
              <w:rPr>
                <w:sz w:val="16"/>
                <w:szCs w:val="16"/>
                <w:color w:val="auto"/>
              </w:rPr>
            </w:pPr>
          </w:p>
        </w:tc>
        <w:tc>
          <w:tcPr>
            <w:tcW w:w="45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Macau Operations</w:t>
            </w:r>
          </w:p>
        </w:tc>
        <w:tc>
          <w:tcPr>
            <w:tcW w:w="4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4,341,385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3,918,163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Las Vegas Operations</w:t>
            </w:r>
          </w:p>
        </w:tc>
        <w:tc>
          <w:tcPr>
            <w:tcW w:w="4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3,571,338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3,576,648</w:t>
            </w:r>
          </w:p>
        </w:tc>
        <w:tc>
          <w:tcPr>
            <w:tcW w:w="0" w:type="dxa"/>
            <w:vAlign w:val="bottom"/>
          </w:tcPr>
          <w:p>
            <w:pPr>
              <w:spacing w:after="0"/>
              <w:rPr>
                <w:sz w:val="1"/>
                <w:szCs w:val="1"/>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Corporate and other</w:t>
            </w:r>
          </w:p>
        </w:tc>
        <w:tc>
          <w:tcPr>
            <w:tcW w:w="4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1,158,619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882,219</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spacing w:after="0"/>
              <w:rPr>
                <w:sz w:val="22"/>
                <w:szCs w:val="22"/>
                <w:color w:val="auto"/>
              </w:rPr>
            </w:pPr>
          </w:p>
        </w:tc>
        <w:tc>
          <w:tcPr>
            <w:tcW w:w="4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9,071,342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8,377,030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25</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78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segment information for its results of operations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Macau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960,635</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930,891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2,093,333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1,922,956</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Las Vegas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451,428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401,382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832,343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787,971</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1,412,063</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1,332,273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2,925,676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2,710,927</w:t>
            </w: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Adjusted Property EBITDA (1)</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Macau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307,001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290,088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691,329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620,799</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Las Vegas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160,424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135,657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270,712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256,014</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467,425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425,745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962,041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876,813</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operating 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5,001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8,074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886</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78,351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93,218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155,010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185,736</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5,612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12,034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10,958</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expenses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55,799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41,102</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8,424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28,746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12,345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29,868</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126,083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151,721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243,868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269,141</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341,342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274,024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718,173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607,672</w:t>
            </w: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Non-operating income and expenses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5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8,380</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expense, net of capitalized interest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(81,765)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(73,764)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(157,021)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(149,141)</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increase in swap fair value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16,656</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(2,254)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(26,578)</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3,262</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(82,176)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(153,355)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(146,830)</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259,166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193,840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564,818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460,842</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benefit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4,018</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258,402</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192,716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561,445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464,860</w:t>
            </w: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hanging="332"/>
        <w:spacing w:after="0" w:line="286"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“Adjusted Property EBITDA” is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WYNN RESORTS, LIMITED AND SUBSIDIARIES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264" w:lineRule="exact"/>
        <w:rPr>
          <w:sz w:val="20"/>
          <w:szCs w:val="20"/>
          <w:color w:val="auto"/>
        </w:rPr>
      </w:pPr>
    </w:p>
    <w:p>
      <w:pPr>
        <w:ind w:left="340"/>
        <w:spacing w:after="0" w:line="306" w:lineRule="auto"/>
        <w:rPr>
          <w:sz w:val="20"/>
          <w:szCs w:val="20"/>
          <w:color w:val="auto"/>
        </w:rPr>
      </w:pPr>
      <w:r>
        <w:rPr>
          <w:rFonts w:ascii="Arial" w:cs="Arial" w:eastAsia="Arial" w:hAnsi="Arial"/>
          <w:sz w:val="18"/>
          <w:szCs w:val="18"/>
          <w:color w:val="auto"/>
        </w:rPr>
        <w:t>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Subsequent Events</w:t>
      </w:r>
    </w:p>
    <w:p>
      <w:pPr>
        <w:spacing w:after="0" w:line="229" w:lineRule="exact"/>
        <w:rPr>
          <w:sz w:val="20"/>
          <w:szCs w:val="20"/>
          <w:color w:val="auto"/>
        </w:rPr>
      </w:pPr>
    </w:p>
    <w:p>
      <w:pPr>
        <w:ind w:right="860" w:firstLine="243"/>
        <w:spacing w:after="0" w:line="277" w:lineRule="auto"/>
        <w:rPr>
          <w:sz w:val="20"/>
          <w:szCs w:val="20"/>
          <w:color w:val="auto"/>
        </w:rPr>
      </w:pPr>
      <w:r>
        <w:rPr>
          <w:rFonts w:ascii="Arial" w:cs="Arial" w:eastAsia="Arial" w:hAnsi="Arial"/>
          <w:sz w:val="18"/>
          <w:szCs w:val="18"/>
          <w:color w:val="auto"/>
        </w:rPr>
        <w:t>On July 29, 2014, the Company announced a cash dividend of $1.25 per share of its outstanding common stock payable on August 26, 2014 to stockholders of record on August 12, 2014.</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21" w:right="27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20" w:firstLine="432"/>
        <w:spacing w:after="0" w:line="27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condensed consolidated financial statements and related notes included elsewhere in this Form 10-Q and our consolidated financial statements appearing in our annual report on Form 10-K for the year ended December 31, 2013. Unless the context otherwise requires, all references herein to the “Company,” “we,” “us” or “our,” or similar terms, refer to Wynn Resorts, Limited, a Nevada corporation, and its consolidated subsidiaries. This discussion and analysis contains forward-looking statements. Please refer to the section below entitled “Special Note Regarding Forward-Looking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80" w:firstLine="432"/>
        <w:spacing w:after="0" w:line="257" w:lineRule="auto"/>
        <w:rPr>
          <w:sz w:val="20"/>
          <w:szCs w:val="20"/>
          <w:color w:val="auto"/>
        </w:rPr>
      </w:pPr>
      <w:r>
        <w:rPr>
          <w:rFonts w:ascii="Arial" w:cs="Arial" w:eastAsia="Arial" w:hAnsi="Arial"/>
          <w:sz w:val="18"/>
          <w:szCs w:val="18"/>
          <w:color w:val="auto"/>
        </w:rPr>
        <w:t>We are a developer, owner and operator of destination casino resorts. In the Macau Special Administrative Region of the People’s Republic of China (“Macau”), we own 72.3% of and operate Wynn Macau and Encore at Wynn Macau. We refer to the fully integrated Wynn Macau and Encore at Wynn Macau resort as Wynn Macau | Encore or as our Macau Operations. In Las Vegas, Nevada, we own 100% of and operate Wynn Las Vegas and Encore at Wynn Las Vegas, which we refer to as Wynn Las Vegas | Encore or our Las Vegas Operations. We are developing Wynn Palace, a fully integrated casino resort in the Cotai area of Macau.</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Macau Operations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operate Wynn Macau | Encore under a 20-year casino concession agreement granted by the Macau government in June 2002.</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Macau resort complex features:</w:t>
      </w:r>
    </w:p>
    <w:p>
      <w:pPr>
        <w:spacing w:after="0" w:line="279" w:lineRule="exact"/>
        <w:rPr>
          <w:sz w:val="20"/>
          <w:szCs w:val="20"/>
          <w:color w:val="auto"/>
        </w:rPr>
      </w:pPr>
    </w:p>
    <w:p>
      <w:pPr>
        <w:ind w:left="1300" w:right="24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280,000 square feet of casino space, offering 24-hour gaming and a full range of games, including private gaming salons, sky casinos and a poker pit;</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Two luxury hotel towers with a total of 1,008 spacious guest rooms and suites;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Casual and fine dining in eight restaurants;</w:t>
      </w:r>
    </w:p>
    <w:p>
      <w:pPr>
        <w:spacing w:after="0" w:line="117" w:lineRule="exact"/>
        <w:rPr>
          <w:rFonts w:ascii="Arial" w:cs="Arial" w:eastAsia="Arial" w:hAnsi="Arial"/>
          <w:sz w:val="18"/>
          <w:szCs w:val="18"/>
          <w:color w:val="auto"/>
        </w:rPr>
      </w:pPr>
    </w:p>
    <w:p>
      <w:pPr>
        <w:ind w:left="1300" w:right="180" w:hanging="644"/>
        <w:spacing w:after="0" w:line="31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Approximately 57,000 square feet of high-end, brand-name retail shopping, including stores and boutiques by Bvlgari, Cartier, Chanel, Dior, Dunhill, Ferrari, Giorgio Armani, Graff, Gucci, Hermes, Hugo Boss, Jaegar-LeCoultre, Loro Piana, Louis Vuitton, Miu Miu, Piaget, Prada, Roger Dubuis, Rolex, Tiffany, Vacheron Constantin, Van Cleef &amp; Arpels, Versace, Vertu, Ermenegildo Zegna and others;</w:t>
      </w:r>
    </w:p>
    <w:p>
      <w:pPr>
        <w:spacing w:after="0" w:line="38" w:lineRule="exact"/>
        <w:rPr>
          <w:rFonts w:ascii="Arial" w:cs="Arial" w:eastAsia="Arial" w:hAnsi="Arial"/>
          <w:sz w:val="16"/>
          <w:szCs w:val="16"/>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Recreation and leisure facilities, including two health clubs, spas, a salon and a pool;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31,000 square feet of space for lounges and meeting facilities.</w:t>
      </w:r>
    </w:p>
    <w:p>
      <w:pPr>
        <w:spacing w:after="0" w:line="27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response to our evaluation of our Macau Operations and the reactions of our guests, we have made and expect to continue to make enhancements and refinements to this resort complex. In March 2014, we began renovation of approximately 27,000 square feet of our casino space at Wynn Macau for new VIP gaming rooms. We expect to complete this renovation before Chinese New Year of 2015.</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Las Vegas Operations</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Wynn Las Vegas | Encore is located at the intersection of the Las Vegas Strip and Sands Avenue, and occupies approximately 215 acres of land fronting the Las Vegas Strip. In addition, we own approximately 18 acres across Sands Avenue, a portion of which is utilized for employee parking and an office building, and approximately 5 acres adjacent to the golf course on which an office building is located.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Las Vegas resort complex features:</w:t>
      </w:r>
    </w:p>
    <w:p>
      <w:pPr>
        <w:spacing w:after="0" w:line="387" w:lineRule="exact"/>
        <w:rPr>
          <w:sz w:val="20"/>
          <w:szCs w:val="20"/>
          <w:color w:val="auto"/>
        </w:rPr>
      </w:pPr>
    </w:p>
    <w:p>
      <w:pPr>
        <w:ind w:left="1300" w:right="12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186,000 square feet of casino space, offering 24-hour gaming and a full range of games, including private gaming salons, a sky casino, a poker room, and a race and sports book;</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Two luxury hotel towers with a total of 4,748 spacious guest rooms, suites and villas;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34 food and beverage outlets featuring signature chefs;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284,000 square feet of meeting and convention space;</w:t>
      </w:r>
    </w:p>
    <w:p>
      <w:pPr>
        <w:spacing w:after="0" w:line="117" w:lineRule="exact"/>
        <w:rPr>
          <w:rFonts w:ascii="Arial" w:cs="Arial" w:eastAsia="Arial" w:hAnsi="Arial"/>
          <w:sz w:val="18"/>
          <w:szCs w:val="18"/>
          <w:color w:val="auto"/>
        </w:rPr>
      </w:pPr>
    </w:p>
    <w:p>
      <w:pPr>
        <w:jc w:val="both"/>
        <w:ind w:left="1300" w:right="20" w:hanging="644"/>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99,000 square feet of high-end, brand-name retail shopping, including stores and boutiques by Alexander McQueen, Brioni, Cartier, Chanel, Chloé, Chopard, Dior, Givenchy, Graff, Hermes, IWC Schaffhausen, Jaeger-LeCoultre, Loro Piana, Louis Vuitton, Manolo Blahnik, Nicholas Kirkwood, Oscar de la Renta, Piaget, Rolex, Vertu and others;</w:t>
      </w:r>
    </w:p>
    <w:p>
      <w:pPr>
        <w:spacing w:after="0" w:line="73"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swimming pools, private cabanas and two full service spas and salons;</w:t>
      </w:r>
    </w:p>
    <w:p>
      <w:pPr>
        <w:spacing w:after="0" w:line="140" w:lineRule="exact"/>
        <w:rPr>
          <w:rFonts w:ascii="Arial" w:cs="Arial" w:eastAsia="Arial" w:hAnsi="Arial"/>
          <w:sz w:val="16"/>
          <w:szCs w:val="16"/>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Two showrooms;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Future Development</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are currently constructing Wynn Palace, a fully integrated resort containing a 1,700-room hotel, performance lake, meeting space, casino, spa, retail offerings and food and beverage outlets in the Cotai area of Macau. In July 2013, we signed a $2.6 billion guaranteed maximum price ("GMP") contract for the project's construction. The total project budget, including construction costs, capitalized interest, pre-opening expenses, land costs and financing fees, is approximately $4.0 billion. As of June 30, 2014, we have invested approximately $1.1 billion in the project. We expect to open Wynn Palace on Cotai in the first half of 2016.</w:t>
      </w:r>
    </w:p>
    <w:p>
      <w:pPr>
        <w:spacing w:after="0" w:line="188"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We continually seek out new opportunities for additional gaming or related businesses, in the United States, and worldwide. We have made an application for a gaming license in Massachusetts. The process is competitive and we expect to know if we will be awarded the gaming license by the end of the third quarter of 2014. Proceeding with this project will require significant expenditure of Company funds. On June 24, 2014, the Massachusetts Supreme Judicial Court ruled to allow for a ballot vote to repeal expanded gaming in Massachusetts in the November 2014 election. If we are awarded a gaming license prior to the November election, the outcome of this vote to repeal expanded gaming could impact our ability to proceed with this project.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Measures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Certain key operating statistics specific to the gaming industry are included in our discussion of our operational performance for the periods for which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 of Income is presented. Below are definitions of these key operating statistics discussed:</w:t>
      </w:r>
    </w:p>
    <w:p>
      <w:pPr>
        <w:spacing w:after="0" w:line="265" w:lineRule="exact"/>
        <w:rPr>
          <w:sz w:val="20"/>
          <w:szCs w:val="20"/>
          <w:color w:val="auto"/>
        </w:rPr>
      </w:pPr>
    </w:p>
    <w:p>
      <w:pPr>
        <w:ind w:left="1300" w:hanging="806"/>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Table games win is the amount of drop or turnover that is retained and recorded as casino revenue.</w:t>
      </w:r>
    </w:p>
    <w:p>
      <w:pPr>
        <w:spacing w:after="0" w:line="117" w:lineRule="exact"/>
        <w:rPr>
          <w:rFonts w:ascii="Arial" w:cs="Arial" w:eastAsia="Arial" w:hAnsi="Arial"/>
          <w:sz w:val="18"/>
          <w:szCs w:val="18"/>
          <w:color w:val="auto"/>
        </w:rPr>
      </w:pPr>
    </w:p>
    <w:p>
      <w:pPr>
        <w:ind w:left="1300" w:hanging="806"/>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117" w:lineRule="exact"/>
        <w:rPr>
          <w:rFonts w:ascii="Arial" w:cs="Arial" w:eastAsia="Arial" w:hAnsi="Arial"/>
          <w:sz w:val="18"/>
          <w:szCs w:val="18"/>
          <w:color w:val="auto"/>
        </w:rPr>
      </w:pPr>
    </w:p>
    <w:p>
      <w:pPr>
        <w:ind w:left="1300" w:hanging="806"/>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Wynn Macau Operations’ VIP program.</w:t>
      </w:r>
    </w:p>
    <w:p>
      <w:pPr>
        <w:spacing w:after="0" w:line="117" w:lineRule="exact"/>
        <w:rPr>
          <w:rFonts w:ascii="Arial" w:cs="Arial" w:eastAsia="Arial" w:hAnsi="Arial"/>
          <w:sz w:val="18"/>
          <w:szCs w:val="18"/>
          <w:color w:val="auto"/>
        </w:rPr>
      </w:pPr>
    </w:p>
    <w:p>
      <w:pPr>
        <w:ind w:left="1300" w:hanging="806"/>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Rolling chips are identifiable chips that are used to track turnover for purposes of calculating incentives.</w:t>
      </w:r>
    </w:p>
    <w:p>
      <w:pPr>
        <w:spacing w:after="0" w:line="117" w:lineRule="exact"/>
        <w:rPr>
          <w:rFonts w:ascii="Arial" w:cs="Arial" w:eastAsia="Arial" w:hAnsi="Arial"/>
          <w:sz w:val="18"/>
          <w:szCs w:val="18"/>
          <w:color w:val="auto"/>
        </w:rPr>
      </w:pPr>
    </w:p>
    <w:p>
      <w:pPr>
        <w:ind w:left="1300" w:hanging="806"/>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Slot win is the amount of handle (representing the total amount wagered) that is retained by us and is recorded as casino revenue.</w:t>
      </w:r>
    </w:p>
    <w:p>
      <w:pPr>
        <w:spacing w:after="0" w:line="128" w:lineRule="exact"/>
        <w:rPr>
          <w:rFonts w:ascii="Arial" w:cs="Arial" w:eastAsia="Arial" w:hAnsi="Arial"/>
          <w:sz w:val="17"/>
          <w:szCs w:val="17"/>
          <w:color w:val="auto"/>
        </w:rPr>
      </w:pPr>
    </w:p>
    <w:p>
      <w:pPr>
        <w:ind w:left="1300" w:right="100" w:hanging="806"/>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including the retail value of promotional allowances (less service charges, if any) by total rooms occupied including complimentary rooms.</w:t>
      </w:r>
    </w:p>
    <w:p>
      <w:pPr>
        <w:spacing w:after="0" w:line="62" w:lineRule="exact"/>
        <w:rPr>
          <w:rFonts w:ascii="Arial" w:cs="Arial" w:eastAsia="Arial" w:hAnsi="Arial"/>
          <w:sz w:val="18"/>
          <w:szCs w:val="18"/>
          <w:color w:val="auto"/>
        </w:rPr>
      </w:pPr>
    </w:p>
    <w:p>
      <w:pPr>
        <w:ind w:left="1300" w:right="20" w:hanging="806"/>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including the retail value of promotional allowances (less service charges, if any) by total rooms available.</w:t>
      </w:r>
    </w:p>
    <w:p>
      <w:pPr>
        <w:spacing w:after="0" w:line="62" w:lineRule="exact"/>
        <w:rPr>
          <w:rFonts w:ascii="Arial" w:cs="Arial" w:eastAsia="Arial" w:hAnsi="Arial"/>
          <w:sz w:val="18"/>
          <w:szCs w:val="18"/>
          <w:color w:val="auto"/>
        </w:rPr>
      </w:pPr>
    </w:p>
    <w:p>
      <w:pPr>
        <w:ind w:left="1300" w:hanging="806"/>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the total rooms available.</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Below is a discussion of the methodologies used to calculate win percentage at our resorts.</w:t>
      </w:r>
    </w:p>
    <w:p>
      <w:pPr>
        <w:spacing w:after="0" w:line="225"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In our VIP casino in Macau, customers primarily purchase non-negotiable chips, commonly referred to as rolling chips, from the casino cage and there is no deposit into a gaming table drop box from chips purchased from the cage. Non-negotiable chips can only be used to make wagers. Winning wagers are paid in cash chips. The loss of the non-negotiable chips in the VIP casino is recorded as turnover and provides a base for calculating VIP casino win percentage. It is customary in Macau to measure VIP casino play using this rolling chip method. We expect our win as a percentage of turnover in this segment to be within the range of 2.7% to 3.0%.</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1" w:right="27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The measurement base used in the general casino is not the same as that used in the VIP casino. In our general casino in Macau, customers may purchase cash chips at either the gaming tables or at the casino cage. The cash used to purchase the cash chips at the gaming tables is deposited into the gaming table’s drop box. This is the base of measurement that we use for calculating win percentage in our general casino. We do not report an expected range for the win percentage in our general casino as chips purchased at the casino cage are excluded from table games drop and distort our expected win percentage. With increased purchases at the casino cage, we believe the relevant indicator of volumes in the mass market segment should be table games win.</w:t>
      </w:r>
    </w:p>
    <w:p>
      <w:pPr>
        <w:spacing w:after="0" w:line="158"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The measurements in our VIP casino and the general casino are not comparable as the general casino tracks the initial purchase of chips at the table while the measurement method in our VIP casino tracks the sum of all losing wagers. Accordingly, the base measurement in the VIP casino is much larger than the base measurement in the general casino. As a result, the expected win percentage with the same amount of gaming win is smaller in the VIP casino when compared to the general casino.</w:t>
      </w:r>
    </w:p>
    <w:p>
      <w:pPr>
        <w:spacing w:after="0" w:line="187"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In Las Vegas, customers purchase chips at the gaming tables. The cash and net markers used to purchase chips are deposited in the gaming table’s drop box. This is the base of measurement that we use for calculating win percentage in Las Vegas. Each type of table game has its own theoretical win percentage. Our expected table games win percentage in Las Vegas is 21% to 24%.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Second quarter 2014 results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 June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2360" w:type="dxa"/>
            <w:vAlign w:val="bottom"/>
            <w:vMerge w:val="restart"/>
          </w:tcPr>
          <w:p>
            <w:pPr>
              <w:spacing w:after="0"/>
              <w:rPr>
                <w:sz w:val="20"/>
                <w:szCs w:val="20"/>
                <w:color w:val="auto"/>
              </w:rPr>
            </w:pPr>
            <w:r>
              <w:rPr>
                <w:rFonts w:ascii="Arial" w:cs="Arial" w:eastAsia="Arial" w:hAnsi="Arial"/>
                <w:sz w:val="16"/>
                <w:szCs w:val="16"/>
                <w:color w:val="auto"/>
                <w:w w:val="88"/>
              </w:rPr>
              <w:t>(in thousands, except per share data)</w:t>
            </w:r>
          </w:p>
        </w:tc>
        <w:tc>
          <w:tcPr>
            <w:tcW w:w="16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220"/>
              <w:spacing w:after="0" w:line="139" w:lineRule="exact"/>
              <w:rPr>
                <w:sz w:val="20"/>
                <w:szCs w:val="20"/>
                <w:color w:val="auto"/>
              </w:rPr>
            </w:pPr>
            <w:r>
              <w:rPr>
                <w:rFonts w:ascii="Arial" w:cs="Arial" w:eastAsia="Arial" w:hAnsi="Arial"/>
                <w:sz w:val="14"/>
                <w:szCs w:val="14"/>
                <w:b w:val="1"/>
                <w:bCs w:val="1"/>
                <w:color w:val="auto"/>
              </w:rPr>
              <w:t>Percent</w:t>
            </w: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136"/>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360" w:type="dxa"/>
            <w:vAlign w:val="bottom"/>
            <w:tcBorders>
              <w:bottom w:val="single" w:sz="8" w:color="auto"/>
            </w:tcBorders>
            <w:vMerge w:val="continue"/>
          </w:tcPr>
          <w:p>
            <w:pPr>
              <w:spacing w:after="0"/>
              <w:rPr>
                <w:sz w:val="11"/>
                <w:szCs w:val="11"/>
                <w:color w:val="auto"/>
              </w:rPr>
            </w:pPr>
          </w:p>
        </w:tc>
        <w:tc>
          <w:tcPr>
            <w:tcW w:w="1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jc w:val="right"/>
              <w:ind w:right="416"/>
              <w:spacing w:after="0" w:line="125"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right"/>
              <w:ind w:right="394"/>
              <w:spacing w:after="0" w:line="125"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1"/>
                <w:szCs w:val="11"/>
                <w:color w:val="auto"/>
              </w:rPr>
            </w:pPr>
          </w:p>
        </w:tc>
        <w:tc>
          <w:tcPr>
            <w:tcW w:w="1000" w:type="dxa"/>
            <w:vAlign w:val="bottom"/>
            <w:gridSpan w:val="2"/>
          </w:tcPr>
          <w:p>
            <w:pPr>
              <w:ind w:left="220"/>
              <w:spacing w:after="0" w:line="125" w:lineRule="exact"/>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1"/>
                <w:szCs w:val="11"/>
                <w:color w:val="auto"/>
              </w:rPr>
            </w:pPr>
          </w:p>
        </w:tc>
        <w:tc>
          <w:tcPr>
            <w:tcW w:w="980" w:type="dxa"/>
            <w:vAlign w:val="bottom"/>
          </w:tcPr>
          <w:p>
            <w:pPr>
              <w:ind w:left="220"/>
              <w:spacing w:after="0" w:line="125"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right"/>
              <w:ind w:right="394"/>
              <w:spacing w:after="0" w:line="125"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1"/>
                <w:szCs w:val="11"/>
                <w:color w:val="auto"/>
              </w:rPr>
            </w:pPr>
          </w:p>
        </w:tc>
        <w:tc>
          <w:tcPr>
            <w:tcW w:w="900" w:type="dxa"/>
            <w:vAlign w:val="bottom"/>
          </w:tcPr>
          <w:p>
            <w:pPr>
              <w:jc w:val="right"/>
              <w:ind w:right="136"/>
              <w:spacing w:after="0" w:line="125"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2360" w:type="dxa"/>
            <w:vAlign w:val="bottom"/>
            <w:tcBorders>
              <w:bottom w:val="single" w:sz="8" w:color="CCEEFF"/>
            </w:tcBorders>
          </w:tcPr>
          <w:p>
            <w:pPr>
              <w:spacing w:after="0"/>
              <w:rPr>
                <w:sz w:val="4"/>
                <w:szCs w:val="4"/>
                <w:color w:val="auto"/>
              </w:rPr>
            </w:pPr>
          </w:p>
        </w:tc>
        <w:tc>
          <w:tcPr>
            <w:tcW w:w="16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1,412,063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1,332,273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2,925,676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2,710,927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203,906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129,785</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430,802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332,748</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Diluted net income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Adjusted Property EBITDA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467,425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425,745</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962,041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876,813</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During the three months ended June 30, 2014, our net income attributable to Wynn Resorts, Limited was $203.9 million, an increase of 57.1% over the same period of 2013, resulting in diluted earnings per share of $2.00. Adjusted Property EBITDA increased year-over-year by 9.8%, from $425.7 million for the three months ended June 30, 2013 to $467.4 million for the same period of 2014. During the quarter, our Las Vegas Operations achieved Adjusted Property EBITDA of $160.4 million, a quarterly record for the property, primarily a result of a 28.0% increase in casino revenues and a 7.3% increase in room revenues. Our results also reflect a 4.1% increase in casino revenues from our Macau Operations.</w:t>
      </w:r>
    </w:p>
    <w:p>
      <w:pPr>
        <w:spacing w:after="0" w:line="173"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During the six months ended June 30, 2014, our net income attributable to Wynn Resorts, Limited was $430.8 million, an increase of 29.5% over the same period of 2013, resulting in diluted earnings per share of $4.22. Adjusted Property EBITDA increased year-over-year by 9.7%, from $876.8 million for the six months ended June 30, 2013 to $962.0 million for the same period of 2014. Our results for the six months ended June 30, 2014 were primarily attributable to a 9.8% increase in casino revenues from our Macau Operations.</w:t>
      </w:r>
    </w:p>
    <w:p>
      <w:pPr>
        <w:spacing w:after="0" w:line="18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Reliance on only two resort complexes (in two geographic regions) for our operating cash flow exposes us to certain risks that competitors, whose operations are more geographically diversified, may be better able to control. In addition to the concentration of operations in two resort complexes, many of our customers are premium gaming customers who wager on credit, thus exposing us to increased credit risk. High-end gaming also increases the potential for variability in our results.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June 30, 2014 compared to the three months ended June 30, 2013.</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net revenues from our Macau and Las Vegas Operations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48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Macau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960,635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930,891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Las Vegas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451,428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401,382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1,412,063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1,332,273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Net revenues increased 6.0% to $1,412.1 million for the three months ended June 30, 2014, up from $1,332.3 million for the same period in 2013. The net revenue growth was driven by an increase of 28.0%, or $39.9 million in casino revenue from our Las Vegas Operations and an increase of 4.1%, or $35.5 million in casino revenue from our Macau Operations.</w:t>
      </w:r>
    </w:p>
    <w:p>
      <w:pPr>
        <w:spacing w:after="0" w:line="181"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Non-casino revenues consist of operating revenues from rooms, food and beverage, entertainment, retail and other, less promotional allowances. The following table presents net revenues from our casino revenues and non-casino revenues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48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Casino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1,091,595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1,016,148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320,468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316,125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1,412,063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1,332,273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Casino revenues were 77.3% of total net revenues for the three months ended June 30, 2014 compared to 76.3% for the same period of 2013, while non-casino revenues were 22.7% of total net revenues compared to 23.7% for the same period of 2013.</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Casino revenues increased 7.4% to $1,091.6 million for the three months ended June 30, 2014, up from $1,016.1 million in the same period of 2013. Our Las Vegas Operations experienced a year-over-year increase in casino revenues of 28.0% from $142.6 million for the three months ended June 30, 2013 to $182.5 million in the same period of 2014, primarily due to a 5.9 percentage point increase in table games win percentage and an increase in table games volume with drop increasing 14.8%. Our Macau Operations experienced a year-over-year increase in casino revenues of 4.1% from $873.5 million to $909.1 million. This increase was due to a 43.3% increase in table games win percentage in our general casino combined with an 11.7% decrease in VIP turnover compared to the prior year's quarter.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table below sets forth our casino revenues and associated key operating measures for our Macau and Las Vegas Operations (in thousands, except for win per unit per day and average number of table games and slots).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5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92"/>
              </w:rPr>
              <w:t>Increase/</w:t>
            </w:r>
          </w:p>
        </w:tc>
        <w:tc>
          <w:tcPr>
            <w:tcW w:w="1460" w:type="dxa"/>
            <w:vAlign w:val="bottom"/>
          </w:tcPr>
          <w:p>
            <w:pPr>
              <w:jc w:val="right"/>
              <w:ind w:right="412"/>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1460" w:type="dxa"/>
            <w:vAlign w:val="bottom"/>
          </w:tcPr>
          <w:p>
            <w:pPr>
              <w:jc w:val="right"/>
              <w:ind w:right="41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Total casino 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909,061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873,514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35,547</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b w:val="1"/>
                <w:bCs w:val="1"/>
                <w:color w:val="auto"/>
              </w:rPr>
              <w:t>VIP Casino</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turnover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26,361,791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29,869,181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(3,507,390)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win as a % of turnover</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General Casino</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Drop (1)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682,330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626,581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55,749</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311,049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217,049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94,000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 % (1)</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17,852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11,671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6,181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97"/>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1,457,653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1,171,288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286,365</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65,982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57,808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8,174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casino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182,534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142,634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39,900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Drop</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629,047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548,021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81,026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172,054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117,782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54,272</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8,130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5,548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2,582</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1,837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2,126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706,870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712,603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46,131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44,689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5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820" w:right="220" w:hanging="812"/>
        <w:spacing w:after="0" w:line="286" w:lineRule="auto"/>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Customers purchase general casino gaming chips at either the gaming tables or the casino cage. Chips purchased at the casino cage are excluded from table games drop and will increase the expected win percentage. With the increased purchases at the casino cage in our Macau general casino, we believe the relevant indicator of volumes in the general casino should be table games win.</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ind w:right="320" w:firstLine="432"/>
        <w:spacing w:after="0" w:line="308" w:lineRule="auto"/>
        <w:rPr>
          <w:sz w:val="20"/>
          <w:szCs w:val="20"/>
          <w:color w:val="auto"/>
        </w:rPr>
      </w:pPr>
      <w:r>
        <w:rPr>
          <w:rFonts w:ascii="Arial" w:cs="Arial" w:eastAsia="Arial" w:hAnsi="Arial"/>
          <w:sz w:val="17"/>
          <w:szCs w:val="17"/>
          <w:color w:val="auto"/>
        </w:rPr>
        <w:t>Non-casino revenues increased 1.4%, or $4.3 million, to $320.5 million for the three months ended June 30, 2014, from $316.1 million for the same period of 2013 primarily from a $12.0 million increase in room revenues offset by an $8.0 million increase in promotional allowances.</w:t>
      </w:r>
    </w:p>
    <w:p>
      <w:pPr>
        <w:spacing w:after="0" w:line="160" w:lineRule="exact"/>
        <w:rPr>
          <w:sz w:val="20"/>
          <w:szCs w:val="20"/>
          <w:color w:val="auto"/>
        </w:rPr>
      </w:pPr>
    </w:p>
    <w:p>
      <w:pPr>
        <w:ind w:right="120" w:firstLine="432"/>
        <w:spacing w:after="0" w:line="279" w:lineRule="auto"/>
        <w:rPr>
          <w:sz w:val="20"/>
          <w:szCs w:val="20"/>
          <w:color w:val="auto"/>
        </w:rPr>
      </w:pPr>
      <w:r>
        <w:rPr>
          <w:rFonts w:ascii="Arial" w:cs="Arial" w:eastAsia="Arial" w:hAnsi="Arial"/>
          <w:sz w:val="18"/>
          <w:szCs w:val="18"/>
          <w:color w:val="auto"/>
        </w:rPr>
        <w:t>Room revenues increased 9.3%, or $12.0 million, to $141.4 million for the three months ended June 30, 2014, up from $129.4 million in the same period of 2013. Our Las Vegas Operations accounted for $7.3 million of the increase, while Macau Operations accounted for $4.7 million, both experiencing an increase in ADR and occupancy.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our room revenues and associated key operating measures for our Macau and Las Vegas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1480" w:type="dxa"/>
            <w:vAlign w:val="bottom"/>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66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Percent Change (a)</w:t>
            </w: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Macau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Total room revenues (in thousands)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33,444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28,791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REVPAR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324"/>
        </w:trPr>
        <w:tc>
          <w:tcPr>
            <w:tcW w:w="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Total room revenues (in thousands)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107,911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100,582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REVPAR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(a)  Except occupancy, which is presented as a percentage point change.</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201"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Food and beverage revenues increased 2.8%, or $4.8 million, to $174.3 million for the three months ended June 30, 2014, up from $169.6 million for the same period of 2013 primarily as a result of an increase in revenues from our Las Vegas and Macau Operations restaurants.</w:t>
      </w:r>
    </w:p>
    <w:p>
      <w:pPr>
        <w:spacing w:after="0" w:line="14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Entertainment, retail and other revenues decreased 4.3%, or $4.4 million, to $98.6 million for the three months ended June 30, 2014, down from $103.0 million for the same period of 2013. A reduction in revenue of $6.4 million from retail shops at our Macau Operations was partially offset by increased revenues in retail and other resort services at our Las Vegas Operations.</w:t>
      </w:r>
    </w:p>
    <w:p>
      <w:pPr>
        <w:spacing w:after="0" w:line="18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Promotional allowances increased 9.3%, or $8.0 million to $93.8 million for the three months ended June 30, 2014, from $85.8 million for the same period of 2013. As a percentage of total casino revenues, promotional allowances were 8.6% for the three months ended June 30, 2014 compared to 8.4% for the same period of 2013.</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costs and expenses</w:t>
      </w:r>
    </w:p>
    <w:p>
      <w:pPr>
        <w:spacing w:after="0" w:line="225"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Operating costs and expenses increased 1.2%, or $12.5 million, to $1,070.7 million for the three months ended June 30, 2014, from $1,058.2 million for the same period of 2013. The increase was primarily driven by an increase in casino expenses and a reduction in the benefit from doubtful accounts, offset by a decrease in our depreciation and amortization expense.</w:t>
      </w:r>
    </w:p>
    <w:p>
      <w:pPr>
        <w:spacing w:after="0" w:line="181"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Casino expenses increased 2.4%, or $15.8 million to $681.2 million for the three months ended June 30, 2014, up from $665.4 million for the same period of 2013, primarily due to higher gaming taxes associated with the casino revenue increase at our Macau and Las Vegas Operations and an increase in labor costs at our Macau Operations. During the quarter, our Macau Operations incurred additional casino labor costs associated with a new 2014 bonus program for non-management employees.</w:t>
      </w:r>
    </w:p>
    <w:p>
      <w:pPr>
        <w:spacing w:after="0" w:line="18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Room expenses increased 10.8%, or $3.7 million to $37.7 million for the three months ended June 30, 2014, up from $34.0 million for the same period of 2013 mainly due to an increase in occupancy over the prior year at both our Macau and Las Vegas Operations.</w:t>
      </w:r>
    </w:p>
    <w:p>
      <w:pPr>
        <w:spacing w:after="0" w:line="170"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Food and beverage expenses increased 5.5%, or $5.2 million to $100.7 million for the three months ended June 30, 2014, from $95.5 million for the same period of 2013. The increase in food and beverage expenses outpaced the increase in food and beverage revenues as a result of higher costs in the current period for entertainment at Wynn Las Vegas nightclubs.</w:t>
      </w:r>
    </w:p>
    <w:p>
      <w:pPr>
        <w:spacing w:after="0" w:line="181"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Entertainment, retail and other expenses decreased 7.2%, or $3.1 million to $39.9 million for the three months ended June 30, 2014 from $43.0 million in the same period of 2013 mainly from a reduction in merchandise cost at Wynn Macau associated with the decline in retail shop revenues.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General and administrative expenses decreased 2.9%, or $3.9 million to $128.5 million for the three months ended June 30, 2014, down from $132.4 million in the same period of 2013. The decrease is attributable to an $11.3 million decrease in corporate expenses and other, offset by increases from our Macau Operations of $5.6 million, and our Las Vegas Operations of $1.8 million. The corporate expenses and other decrease consists mainly of a decrease in stock-based compensation expense from the acceleration in the prior year period of awards for the retirement of a former Company officer, partially offset by an increase in the current period in corporate payroll related expense. Our Macau Operations experienced an increase compared to the prior year period in labor costs, along with certain property maintenance and repair expenses and other miscellaneous expenses. During the quarter, our Macau Operations incurred additional general and administrative labor costs associated with a new 2014 bonus program for non-management employees.</w:t>
      </w:r>
    </w:p>
    <w:p>
      <w:pPr>
        <w:spacing w:after="0" w:line="167"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During the three months ended June 30, 2014 and 2013, we had a benefit for doubtful accounts of $2.7 million and $11.2 million, respectively. We recorded adjustments to reserve estimates in both periods for our casino accounts receivable based on the results of historical collection patterns and current collection trends, which were the primary factors for a benefit for doubtful accounts in both periods.</w:t>
      </w:r>
    </w:p>
    <w:p>
      <w:pPr>
        <w:spacing w:after="0" w:line="18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Pre-opening costs were $5.0 million for the three months ended June 30, 2014, compared to $0.4 million for the same period of 2013, associated with the design and planning for Wynn Palace. We expect our pre-opening costs to increase in the future as the construction and development of Wynn Palace continues toward the expected completion in the first half of 2016.</w:t>
      </w:r>
    </w:p>
    <w:p>
      <w:pPr>
        <w:spacing w:after="0" w:line="181"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Depreciation and amortization decreased 15.9%, or $14.9 million, to $78.4 million for the three months ended June 30, 2014, down from $93.2 million for the same period of 2013 due to certain Las Vegas Operations assets with a five year useful life becoming fully depreciated.</w:t>
      </w:r>
    </w:p>
    <w:p>
      <w:pPr>
        <w:spacing w:after="0" w:line="170"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Property charges and other was $2.1 million for the three months ended June 30, 2014 compared to $5.6 million for the three months ended June 30, 2013. Property charges and other for both periods mainly consisted of miscellaneous renovations and abandonments at our resort with the prior year period including fees associated with the termination of a contract.</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 net of capitalized interest</w:t>
      </w:r>
    </w:p>
    <w:p>
      <w:pPr>
        <w:spacing w:after="0" w:line="225"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Interest expense, net of capitalized interest, increased 10.8%, or $8.0 million to $81.8 million for the three months ended June 30, 2014, up from $73.8 million for the same period in 2013, attributable to a $13.5 million increase in interest expense partially offset by a $5.5 million increase in capitalized interest. During 2013, we completed issuances of $500 million 4 1/4% senior notes, $600 million 5 1/4% senior notes and exercised our option to increase the senior term loan facility by $200 million. During the first quarter of 2014, we issued an additional $750 million of 5 1/4% senior notes. These issuances of long-term debt were partially offset by the principal repayment $500 million 7 7/8% first mortgage notes through a cash tender offer in May 2013 and redemption of untendered notes in November 2013. Capitalized interest increased due to the construction costs of Wynn Palace. Capitalized interest will continue to increase with the ongoing borrowings and construction costs related to Wynn Palace.</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incurred a loss of $2.3 million on the extinguishment of debt for the three months ended June 30, 2014 compared to a loss of $26.6 million for the same period of 2013. During the three months ended June 30, 2014, the loss was for the premium paid on the purchase of first mortgage notes due in 2020 through open market transactions and the write-off of related unamortized deferred financing costs and original issue discount. During the three months ended June 30, 2013, the loss was primarily from the premium paid in the cash tender offer of our first mortgage notes due in 2017 and the write-off of related unamortized deferred financing costs and original issue discount.</w:t>
      </w:r>
    </w:p>
    <w:p>
      <w:pPr>
        <w:spacing w:after="0" w:line="18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incurred a loss of $4.7 million for the three months ended June 30, 2014, from the decrease in the fair value of our interest rate swaps compared to a gain of $13.5 million from the increase in fair value for the same period in 2013. For further information on our interest rate swaps, see Item 3 – “Quantitative and Qualitative Disclosures about Market Risk.”</w:t>
      </w:r>
    </w:p>
    <w:p>
      <w:pPr>
        <w:spacing w:after="0" w:line="181"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Interest income was $5.5 million for the three months ended June 30, 2014, compared to $4.2 million for the three months ended June 30, 2013. During 2014 and 2013, our short-term investment strategy has been to preserve capital while retaining sufficient liquidity. The majority of our short-term investments were in time deposits, fixed deposits and money market accounts with a maturity of three months or less.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2" w:right="25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For the three months ended June 30, 2014 and 2013, we recorded a tax expense of $0.8 million and $1.1 million, respectively. Since June 30, 2010, we have no longer considered our portion of the tax earnings and profits of Wynn Macau, Limited to be permanently invested. No additional U.S. tax provision has been made with respect to amounts not considered permanently invested as we anticipate that U.S. foreign tax credits should be sufficient to eliminate any U.S. tax provision relating to repatriation. We have not provided deferred U.S. income taxes or foreign withholding taxes on temporary differences as these amounts are permanently reinvested. For the three months ended June 30, 2014 and 2013, we recognized income tax benefits related to excess tax deductions associated with stock compensation costs of $4.1 million and $8.9 million, respectively.</w:t>
      </w:r>
    </w:p>
    <w:p>
      <w:pPr>
        <w:spacing w:after="0" w:line="12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Wynn Resorts (Macau) S.A. has received an exemption from Macau’s 12% Complementary Tax on casino gaming profits through December 31, 2015. Accordingly, we were exempt from the payment of $23.0 million and $24.2 million in such taxes during the three months ended June 30, 2014 and 2013, respectively. Our non-gaming profits remain subject to the Macau Complementary Tax and casino winnings remain subject to the Macau Special Gaming tax and other levies together totaling 39% in accordance with our concession agreement.</w:t>
      </w:r>
    </w:p>
    <w:p>
      <w:pPr>
        <w:spacing w:after="0" w:line="133" w:lineRule="exact"/>
        <w:rPr>
          <w:sz w:val="20"/>
          <w:szCs w:val="20"/>
          <w:color w:val="auto"/>
        </w:rPr>
      </w:pPr>
    </w:p>
    <w:p>
      <w:pPr>
        <w:jc w:val="both"/>
        <w:ind w:right="260" w:firstLine="432"/>
        <w:spacing w:after="0" w:line="302" w:lineRule="auto"/>
        <w:rPr>
          <w:sz w:val="20"/>
          <w:szCs w:val="20"/>
          <w:color w:val="auto"/>
        </w:rPr>
      </w:pPr>
      <w:r>
        <w:rPr>
          <w:rFonts w:ascii="Arial" w:cs="Arial" w:eastAsia="Arial" w:hAnsi="Arial"/>
          <w:sz w:val="16"/>
          <w:szCs w:val="16"/>
          <w:color w:val="auto"/>
        </w:rPr>
        <w:t>In December 2013, we received notification that for the 2014 tax year we had been accepted for the Compliance Maintenance phase of the Internal Revenue Service (“IRS”) Compliance Assurance Program (“CAP”), which accelerates IRS examination of key transactions with the goal of resolving any issues before the taxpayer files its return. In the Compliance Maintenance phase, the IRS, at its discretion, may reduce the level of review of the taxpayer’s tax positions based on the complexity and number of issues, and the taxpayer’s history of compliance, cooperation and transparency in the CAP.</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February 2014, we received notification that the IRS completed its examination of our 2012 U.S. income tax return and had no changes.</w:t>
      </w:r>
    </w:p>
    <w:p>
      <w:pPr>
        <w:spacing w:after="0" w:line="183"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In March 2013, the Financial Services Bureau commenced an examination of the 2009, 2010, and 2011 Macau income tax returns of Wynn Resorts (Macau) S.A. Since the examination is in its initial stages, we are unable to determine if it will conclude within the next 12 months. We believe that our liability for uncertain tax positions is adequate with respect to these years.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225"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In October 2009, Wynn Macau, Limited, our indirect wholly owned subsidiary and the developer, owner and operator of Wynn Macau, listed its ordinary shares of common stock on The Stock Exchange of Hong Kong Limited. Wynn Macau, Limited sold 1,437,500,000 shares (27.7%) of its common stock through an initial public offering. We recorded net income attributable to noncontrolling interests of $54.5 million for the three months ended June 30, 2014, compared to $62.9 million for the three months ended June 30, 2013. This represents the noncontrolling interests’ share of net income from Wynn Macau, Limited during each quarter.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six months ended June 30, 2014 compared to the six months ended June 30, 2013.</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net revenues from our Macau and Las Vegas Operations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48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Macau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2,093,333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1,922,956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Las Vegas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832,343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787,971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2,925,676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2,710,927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Net revenues increased 7.9% to $2,925.7 million for the six months ended June 30, 2014, from $2,710.9 million for the same period in 2013. The net revenue growth was driven by an increase of 9.8%, or $176.1 million in casino revenue from our Macau Operations and an increase of 5.9%, or $18.9 million in casino revenue from our Las Vegas Operations.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net revenues from our casino revenues and non-casino revenues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48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Casino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2,317,728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2,122,651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607,948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588,276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2,925,676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2,710,927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Casino revenues were 79.2% of total net revenues for the six months ended June 30, 2014 compared to 78.3% of total net revenues for the same period of 2013, while non-casino revenues were 20.8% of total net revenues compared to 21.7% in the prior year.</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Casino revenues increased 9.2% to $2,317.7 million for the six months ended June 30, 2014, up from $2,122.7 million in the same period of 2013 primarily from our Macau Operations. Our Macau Operations experienced a year-over-year increase in casino revenues of 9.8% from $1,803.8 million to $1,979.9 million, driven primarily by 32.9% increase in table games win in our general casino. Our Las Vegas Operations experienced a year-over-year increase in casino revenues of 5.9% from $318.9 million for the six months ended June 30, 2013, to $337.8 million in the same period of 2014. The Las Vegas Operations increase was primarily driven by an increase in table games and slot machine volumes, with a 4.9% year-over-year increase in table games drop and a 2.9% year-over-year increase in slot machine handle.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table below sets forth our casino revenues and associated key operating measures for our Macau and Las Vegas Operations (in thousands, except for win per unit per day and average number of table games and slots).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5"/>
          </w:tcPr>
          <w:p>
            <w:pPr>
              <w:ind w:left="440"/>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5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92"/>
              </w:rPr>
              <w:t>Increase/</w:t>
            </w:r>
          </w:p>
        </w:tc>
        <w:tc>
          <w:tcPr>
            <w:tcW w:w="1460" w:type="dxa"/>
            <w:vAlign w:val="bottom"/>
          </w:tcPr>
          <w:p>
            <w:pPr>
              <w:jc w:val="right"/>
              <w:ind w:right="412"/>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1460" w:type="dxa"/>
            <w:vAlign w:val="bottom"/>
          </w:tcPr>
          <w:p>
            <w:pPr>
              <w:jc w:val="right"/>
              <w:ind w:right="41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Total casino 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1,979,915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1,803,766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176,149</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b w:val="1"/>
                <w:bCs w:val="1"/>
                <w:color w:val="auto"/>
              </w:rPr>
              <w:t>VIP Casino</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turnover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62,359,507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58,283,299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4,076,208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win as a % of turnover</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General Casino</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Drop (1)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1,374,789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1,311,391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63,398</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611,758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460,172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151,586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 % (1)</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16,722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12,422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4,300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97"/>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2,856,543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2,287,391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569,152</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135,420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119,197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16,223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casino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337,813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318,885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18,928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Drop</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1,276,483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1,216,940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59,543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305,788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296,572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9,216</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7,281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7,025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2,157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1,450,668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1,409,198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41,470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91,632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86,973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4,659</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5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820" w:right="220" w:hanging="812"/>
        <w:spacing w:after="0" w:line="286" w:lineRule="auto"/>
        <w:tabs>
          <w:tab w:leader="none" w:pos="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Customers purchase general casino gaming chips at either the gaming tables or the casino cage. Chips purchased at the casino cage are excluded from table games drop and will increase the expected win percentage. With the increased purchases at the casino cage in our Macau general casino, we believe the relevant indicator of volumes in the general casino should be table games win.</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Non-casino revenues increased 3.3%, or $19.7 million, to $607.9 million for the six months ended June 30, 2014, from $588.3 million for the same period of 2013 primarily from a $28.0 million increase in room revenues and a $6.9 million increase in food and beverage revenues, offset by a $16.1 million increase in promotional allowances.</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Room revenues increased 11.2%, or $28.0 million, to $277.8 million for the six months ended June 30, 2014, from $249.9 million in the same period of</w:t>
      </w:r>
    </w:p>
    <w:p>
      <w:pPr>
        <w:spacing w:after="0" w:line="46" w:lineRule="exact"/>
        <w:rPr>
          <w:sz w:val="20"/>
          <w:szCs w:val="20"/>
          <w:color w:val="auto"/>
        </w:rPr>
      </w:pPr>
    </w:p>
    <w:p>
      <w:pPr>
        <w:ind w:right="520"/>
        <w:spacing w:after="0" w:line="292" w:lineRule="auto"/>
        <w:rPr>
          <w:sz w:val="20"/>
          <w:szCs w:val="20"/>
          <w:color w:val="auto"/>
        </w:rPr>
      </w:pPr>
      <w:r>
        <w:rPr>
          <w:rFonts w:ascii="Arial" w:cs="Arial" w:eastAsia="Arial" w:hAnsi="Arial"/>
          <w:sz w:val="18"/>
          <w:szCs w:val="18"/>
          <w:color w:val="auto"/>
        </w:rPr>
        <w:t>2013. Our Las Vegas Operations accounted for $18.9 million of the increase, while Macau Operations accounted for $9.1 million, both experiencing an increase in ADR and occupancy.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our room revenues and associated key operating measures for our Macau and Las Vegas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400"/>
              <w:spacing w:after="0"/>
              <w:rPr>
                <w:sz w:val="20"/>
                <w:szCs w:val="20"/>
                <w:color w:val="auto"/>
              </w:rPr>
            </w:pPr>
            <w:r>
              <w:rPr>
                <w:rFonts w:ascii="Arial" w:cs="Arial" w:eastAsia="Arial" w:hAnsi="Arial"/>
                <w:sz w:val="14"/>
                <w:szCs w:val="14"/>
                <w:b w:val="1"/>
                <w:bCs w:val="1"/>
                <w:color w:val="auto"/>
              </w:rPr>
              <w:t>Six Months Ended June 30,</w:t>
            </w:r>
          </w:p>
        </w:tc>
        <w:tc>
          <w:tcPr>
            <w:tcW w:w="1480" w:type="dxa"/>
            <w:vAlign w:val="bottom"/>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66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Percent Change (a)</w:t>
            </w: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Macau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Total room revenues (in thousands)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66,847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57,726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REVPAR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324"/>
        </w:trPr>
        <w:tc>
          <w:tcPr>
            <w:tcW w:w="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Total room revenues (in thousands)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210,983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192,127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REVPAR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(a)  Except occupancy, which is presented as a percentage point change.</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201"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Food and beverage revenues increased 2.2%, or $6.9 million to $316.1 million for the six months ended June 30, 2014, from $309.3 million for the same period of 2013. We experienced an increase in revenues from our Macau and Las Vegas Operations restaurants offset by a reduction in revenues from our Wynn Las Vegas nightclubs.</w:t>
      </w:r>
    </w:p>
    <w:p>
      <w:pPr>
        <w:spacing w:after="0" w:line="181"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Entertainment, retail and other revenues were relatively flat at $205.5 million for the six months ended June 30, 2014 compared to $204.6 million for the same period in 2013. Our Las Vegas Operations experienced an increase in revenue from its retail and other resort services, while our Macau Operations experienced a decline in revenue from its retail shops.</w:t>
      </w:r>
    </w:p>
    <w:p>
      <w:pPr>
        <w:spacing w:after="0" w:line="181" w:lineRule="exact"/>
        <w:rPr>
          <w:sz w:val="20"/>
          <w:szCs w:val="20"/>
          <w:color w:val="auto"/>
        </w:rPr>
      </w:pPr>
    </w:p>
    <w:p>
      <w:pPr>
        <w:ind w:right="400" w:firstLine="432"/>
        <w:spacing w:after="0" w:line="342" w:lineRule="auto"/>
        <w:rPr>
          <w:sz w:val="20"/>
          <w:szCs w:val="20"/>
          <w:color w:val="auto"/>
        </w:rPr>
      </w:pPr>
      <w:r>
        <w:rPr>
          <w:rFonts w:ascii="Arial" w:cs="Arial" w:eastAsia="Arial" w:hAnsi="Arial"/>
          <w:sz w:val="16"/>
          <w:szCs w:val="16"/>
          <w:color w:val="auto"/>
        </w:rPr>
        <w:t>Promotional allowances increased 9.2%, or $16.1 million to $191.5 million for the six months ended June 30, 2014, up from $175.4 million for the same period of 2013. As a percentage of total casino revenues, promotional allowances were 8.3% for both six months ended June 30, 2014 and 2013.</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costs and expenses</w:t>
      </w:r>
    </w:p>
    <w:p>
      <w:pPr>
        <w:spacing w:after="0" w:line="22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Operating costs and expenses increased 5.0%, or $104.2 million, to $2,207.5 million for the six months ended June 30, 2014, up from $2,103.3 million for the same period of 2013. The increase was primarily driven by a 7.5% increase in casino expenses and 5.5% increase in general and administrative expenses, which were partially offset by 16.5% decrease in depreciation and amortization expense.</w:t>
      </w:r>
    </w:p>
    <w:p>
      <w:pPr>
        <w:spacing w:after="0" w:line="181"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Casino expenses increased 7.5%, or $102.4 million to $1,465.0 million for the six months ended June 30, 2014, from $1,362.6 million for the same period of 2013, primarily due to higher gaming taxes from the 39.0% gross win tax incurred at our Macau Operations.</w:t>
      </w:r>
    </w:p>
    <w:p>
      <w:pPr>
        <w:spacing w:after="0" w:line="17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Rooms expense increased 8.4%, or $5.6 million to $73.0 million for the six months ended June 30, 2014 from $67.4 million for the same period of 2013 mainly due to an increase in occupancy over the prior year. The increase in room revenues of 11.2% outpaced our rooms expense from the effect of ADR increases at our Macau and Las Vegas Operations.</w:t>
      </w:r>
    </w:p>
    <w:p>
      <w:pPr>
        <w:spacing w:after="0" w:line="18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Food and beverage expenses increased 3.7%, or $6.3 million to $175.6 million for the six months ended June 30, 2014, from $169.3 million for the same period of 2013. The increase in food and beverage expenses outpaced the increase in food and beverage revenues of 2.2% primarily as a result of higher costs in the current period for entertainment at Wynn Las Vegas nightclubs.</w:t>
      </w:r>
    </w:p>
    <w:p>
      <w:pPr>
        <w:spacing w:after="0" w:line="181"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General and administrative expenses increased 5.5%, or $12.5 million to $239.8 million for the six months ended June 30, 2014 from $227.3 million in the same period of 2013 primarily from our Macau Operations. Our Macau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experienced an increase compared to the prior year in labor costs, along with certain property maintenance and repair expenses and other miscellaneous items.</w:t>
      </w:r>
    </w:p>
    <w:p>
      <w:pPr>
        <w:spacing w:after="0" w:line="248"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Pre-opening costs were $8.1 million for the six months ended June 30, 2014, compared to $0.9 million for the same period of 2013 associated with the design and planning for Wynn Palace. We expect our pre-opening costs to increase in the future as the construction and development of Wynn Palace continues toward the expected completion in the first half of 2016.</w:t>
      </w:r>
    </w:p>
    <w:p>
      <w:pPr>
        <w:spacing w:after="0" w:line="181"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Depreciation and amortization decreased 16.5%, or $30.7 million, to $155.0 million for the six months ended June 30, 2014, down from $185.7 million for the same period of 2013 due to certain Las Vegas Operations assets with a five year useful life becoming fully depreciated.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 net of capitalized interest</w:t>
      </w:r>
    </w:p>
    <w:p>
      <w:pPr>
        <w:spacing w:after="0" w:line="225"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Interest expense, net of capitalized interest, increased 5.3%, or $7.9 million to $157.0 million for the six months ended June 30, 2014, up from $149.1 million for the same period of 2013, attributable to $17.8 million increase in interest expense partially offset by a $9.9 million increase in capitalized interest. During 2013, we completed issuances of $500 million 4 1/4% senior notes, $600 million 5 1/4% senior notes and exercised our option to increase the senior term loan facility by $200 million. During the first quarter of 2014, we issued an additional $750 million of 5 1/4% senior notes. These issuances of long-term debt were partially offset by the principal repayment $500 million 7 7/8% first mortgage notes through a cash tender offer in May 2013 and redemption of untendered notes in November 2013. Capitalized interest increased due to the construction costs of Wynn Palace. Capitalized interest will continue to increase with the ongoing borrowings and construction costs related to Wynn Palace.</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25"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We incurred a loss of $3.8 million on the extinguishment of debt for the six months ended June 30, 2014 compared to a loss of $26.6 million for the same period of 2013. During the six months ended June 30, 2014, the loss was for the premium paid on the purchase of first mortgage notes due in 2020 through open market transactions and the write-off of related unamortized deferred financing costs and original issue discount. During the six months ended June 30, 2013, the loss was primarily from the premium paid in the cash tender offer of our first mortgage notes due in 2017 and the write-off of related unamortized deferred financing costs and original issue discount.</w:t>
      </w:r>
    </w:p>
    <w:p>
      <w:pPr>
        <w:spacing w:after="0" w:line="188"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incurred a loss of $3.8 million for the six months ended June 30, 2014, from the decrease in the fair value of our interest rate swaps compared to a gain of $16.7 million from the increase in fair value for the same period in 2013. For further information on our interest rate swaps, see Item 3 – “Quantitative and Qualitative Disclosures about Market Risk.”</w:t>
      </w:r>
    </w:p>
    <w:p>
      <w:pPr>
        <w:spacing w:after="0" w:line="181"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Interest income was $10.3 million for the six months ended June 30, 2014, compared to $8.4 million for the same period in 2013. During 2014 and 2013, our short-term investment strategy has been to preserve capital while retaining sufficient liquidity. The majority of our short-term investments were in time deposits, fixed deposits and money market accounts with a maturity of three months or less.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For the six months ended June 30, 2014 and 2013, we recorded a tax expense of $3.4 million and a tax benefit of $4.0 million, respectively. Our income tax expense is primarily related to an increase in our domestic valuation allowance for U.S. deferred tax assets that are not expected to provide a U.S. tax benefit in future years. Our income tax benefit in 2013 was primarily related to a decrease in deferred tax liabilities reduced by foreign taxes assessable on the dividends of Wynn Resorts (Macau) S.A. and foreign tax provisions related to our international marketing offices. Since June 30, 2010, we have no longer considered our portion of the tax earnings and profits of Wynn Macau, Limited to be permanently invested. No additional U.S. tax provision has been made with respect to amounts not considered permanently invested as we anticipate that U.S. foreign tax credits should be sufficient to eliminate any U.S. tax provision relating to repatriation. We have not provided deferred U.S. income taxes or foreign withholding taxes on temporary differences as these amounts are permanently reinvested. For the six months ended June 30, 2014 and 2013, we recognized income tax benefits related to excess tax deductions associated with stock compensation costs of $6.5 million and $10.1 million, respectively.</w:t>
      </w:r>
    </w:p>
    <w:p>
      <w:pPr>
        <w:spacing w:after="0" w:line="128"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Wynn Resorts (Macau) S.A. has received an exemption from Macau’s 12% Complementary Tax on casino gaming profits through December 31, 2015. Accordingly, we were exempt from the payment of $54.6 million and $50.7 million in such taxes during the six months ended June 30, 2014 and 2013, respectively. Our non-gaming profits remain subject to the Macau</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Complementary Tax and casino winnings remain subject to the Macau Special Gaming tax and other levies together totaling 39% in accordance with our concession agreement.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February 2014, we received notification that the IRS completed its examination of our 2012 U.S. income tax return and had no changes.</w:t>
      </w:r>
    </w:p>
    <w:p>
      <w:pPr>
        <w:spacing w:after="0" w:line="183"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In March 2013, the Financial Services Bureau commenced an examination of the 2009, 2010, and 2011 Macau income tax returns of Wynn Resorts (Macau) S.A. Since the examination is in its initial stages, we are unable to determine if it will conclude within the next 12 months. We believe that our liability for uncertain tax positions is adequate with respect to these years.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225"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In October 2009, Wynn Macau, Limited, our indirect wholly owned subsidiary and the developer, owner and operator of Wynn Macau, listed its ordinary shares of common stock on The Stock Exchange of Hong Kong Limited. Wynn Macau, Limited sold 1,437,500,000 shares (27.7%) of its common stock through an initial public offering. We recorded net income attributable to noncontrolling interests of $130.6 million for the six months ended June 30, 2014, compared to $132.1 million for the six months ended June 30, 2013. This represents the noncontrolling interests’ share of net income from Wynn Macau, Limited during each quarter.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229" w:lineRule="exact"/>
        <w:rPr>
          <w:sz w:val="20"/>
          <w:szCs w:val="20"/>
          <w:color w:val="auto"/>
        </w:rPr>
      </w:pPr>
    </w:p>
    <w:p>
      <w:pPr>
        <w:ind w:right="40" w:firstLine="432"/>
        <w:spacing w:after="0" w:line="285" w:lineRule="auto"/>
        <w:rPr>
          <w:sz w:val="20"/>
          <w:szCs w:val="20"/>
          <w:color w:val="auto"/>
        </w:rPr>
      </w:pPr>
      <w:r>
        <w:rPr>
          <w:rFonts w:ascii="Arial" w:cs="Arial" w:eastAsia="Arial" w:hAnsi="Arial"/>
          <w:sz w:val="16"/>
          <w:szCs w:val="16"/>
          <w:color w:val="auto"/>
        </w:rPr>
        <w:t>We use Adjusted Property EBITDA to manage the operating results of our segments. Adjusted Property EBITDA is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segments and to compare the operating performance of our properties with those of our competitors.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78"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following table summarizes Adjusted Property EBITDA (in thousands) for our Macau and Las Vegas Operations as reviewed by management and summarized in Notes to Condensed Consolidated Financial Statements, Note 16 – “Segment Information.” That footnote also presents a reconciliation of Adjusted Property EBITDA to net income.</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3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Macau Operations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307,001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290,088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691,329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620,799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Las Vegas Operations</w:t>
            </w:r>
          </w:p>
        </w:tc>
        <w:tc>
          <w:tcPr>
            <w:tcW w:w="32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160,424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135,657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270,712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256,014</w:t>
            </w:r>
          </w:p>
        </w:tc>
      </w:tr>
      <w:tr>
        <w:trPr>
          <w:trHeight w:val="27"/>
        </w:trPr>
        <w:tc>
          <w:tcPr>
            <w:tcW w:w="5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467,425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425,745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962,041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876,813</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Adjusted Property EBITDA at our Macau Operations increased year-over-year by 5.8% and 11.4% for the three and six months ended June 30, 2014, respectively, mainly due to increases in casino revenue from our general casino.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Adjusted Property EBITDA at our Las Vegas Operations increased year-over-year by 18.3% for the three months ended June 30, 2014 to $160.4 million. We achieved a quarterly record in Adjusted Property EBITDA for our Las Vegas Operations that was primarily attributable to a 28.0% increase in casino revenues and a 7.3% increase in room revenues. Adjusted Property EBITDA at our Las Vegas Operations increased 5.7% to $270.7 million for the six months ended June 30, 2014 from $256.0 million for the same period of 2013 as a result of table games and slot machine volume increases.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200" w:firstLine="432"/>
        <w:spacing w:after="0" w:line="255" w:lineRule="auto"/>
        <w:rPr>
          <w:sz w:val="20"/>
          <w:szCs w:val="20"/>
          <w:color w:val="auto"/>
        </w:rPr>
      </w:pPr>
      <w:r>
        <w:rPr>
          <w:rFonts w:ascii="Arial" w:cs="Arial" w:eastAsia="Arial" w:hAnsi="Arial"/>
          <w:sz w:val="18"/>
          <w:szCs w:val="18"/>
          <w:color w:val="auto"/>
        </w:rPr>
        <w:t>Our operating cash flows primarily consist of our operating income generated by our Macau and Las Vegas Operations (excluding depreciation and other non-cash charges), interest paid, and changes in working capital accounts such as receivables, inventories, prepaid expenses, and payables. Our table games play both in Macau and Las Vegas is a mix of cash play and credit play, while our slot machine play is conducted primarily on a cash basis. A significant portion of our table games revenue is attributable to the play of a limited number of premium international customers that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89"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Net cash provided by operations for the six months ended June 30, 2014, was $578.1 million compared to $910.8 million provided by operations for the six months ended June 30, 2013. The decline in cash provided by operations was primarily due to a decrease in our accounts payable and accrued expenses and customer deposits, partially offset by increased operating income from results in the casino department.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Net cash used in investing activities for the six months ended June 30, 2014 was $254.2 million compared to net cash used in investing activities of $125.1 million for the same period in 2013. During the six months ended June 30, 2014 we had $415.6 million in capital expenditures, net of construction payables and retention, primarily for Wynn Palace construction. Net cash used in investing activities for the six months ended June 30, 2014 was partially offset by proceeds of $199.8 million provided from restricted cash that we applied to payment of certain Wynn Palace related construction and development costs. Capital expenditures for the six months ended June 30, 2013 were $189.7 million and related to site preparation costs for Wynn Palace land and various renovations at our resorts including Wynn Macau guest room renovations.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Net cash flows provided by financing activities was $275.5 million for the six months ended June 30, 2014 primarily attributable to proceeds of $756.2 million from the issuance of senior notes, partially offset by the payment of dividends of $434.3 million and open market repurchases of $32.0 million in principal of first mortgage notes. Net cash flows used in financing activities of $483.7 million for the six months ended June 30, 2013 was primarily for the payment of dividends of $438.2 million, principal payments of $275.4 million on long-term debt and the restriction of $243.0 million for purposes of redeeming first mortgage notes. These uses of funds were offset by proceeds of $500.0 million from the issuance of senior notes.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As of June 30, 2014, we had approximately $3,035.1 million of cash and cash equivalents and $250.7 million of available-for-sale investments in domestic debt securities with maturities of up to two years. Cash and cash equivalents include cash in bank and fixed deposits, investments in money market funds, domestic and foreign bank time deposits and commercial paper, all with maturities of less than 90 days. Our cash is available for operations, debt service and retirement, development activities, general corporate purposes and enhancements to our resorts. Of these amounts, Wynn Macau, Limited and its subsidiaries held $2,083.1 million in cash, of which we own 72.3%. If our portion of this cash was repatriated to the U.S. on June 30, 2014, approximately three-fourths of this amount would be subject to U.S. tax in the year of repatriation. Wynn Resorts, Limited, which is not a guarantor of the debt of its subsidiaries, held $631.7 million (including cash of its subsidiaries other than those of Wynn Las Vegas and Wynn Macau) and $250.7 million of cash and available-for-sale investments, respectively. Wynn Las Vegas, LLC held cash balances of $320.3 million.</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22" w:right="27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Our credit facilities consist of a $950 million equivalent fully funded senior secured term loan facility (the "Wynn Macau Senior Term Loan") and a $1.55 billion equivalent senior secured revolving credit facility (the "Wynn Macau Senior Revolving Credit Facility" and together with the Wynn Macau Senior Term Loan, the "Wynn Macau Credit Facilities"). Borrowings under the Wynn Macau Credit Facilities, which consist of both Hong Kong and United States dollar tranches, will be used to fund the design, development, construction and pre-opening expenses of Wynn Palace, and for general corporate purposes. As of June 30, 2014, there were no amounts outstanding under the Wynn Macau Senior Revolving Credit Facility. Accordingly, we have availability of $1.55 billion under the Wynn Macau Credit Facilities.</w:t>
      </w:r>
    </w:p>
    <w:p>
      <w:pPr>
        <w:spacing w:after="0" w:line="193"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We believe that cash flow from operations, availability under our bank credit facility and our existing cash balances will be adequate to satisfy our anticipated uses of capital for the remainder of 2014. If any additional financing became necessary, we cannot provide assurance that future borrowings will be available.</w:t>
      </w:r>
    </w:p>
    <w:p>
      <w:pPr>
        <w:spacing w:after="0" w:line="18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continually seek out new opportunities for additional gaming or related businesses, in the United States, and worldwide. We have made an application for a gaming license in Massachusetts. We expect to know if we will be awarded the gaming license by the end of the third quarter of 2014. Proceeding with this project will require significant expenditure of Company funds. On June 24, 2014, the Massachusetts Supreme Judicial Court ruled to allow for a ballot vote to repeal expanded gaming in Massachusetts in the November 2014 election. If we are awarded a gaming license prior to the November election, the outcome of this vote to repeal expanded gaming could impact our ability to proceed with this project.</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Off Balance Sheet Arrangements</w:t>
      </w:r>
    </w:p>
    <w:p>
      <w:pPr>
        <w:spacing w:after="0" w:line="22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previously discussed interest rate swaps. We do not have any retained or contingent interest in assets transferred to an unconsolidated entity. At June 30, 2014, we had unsecured outstanding letters of credit totaling $16.7 million.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25"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There have been no material changes outside the ordinary course of our business during the six months ended June 30, 2014 to our contractual obligations or off balance sheet arrangements as disclosed in our Annual Report on Form 10-K for the year ended December 31, 2013, except as discussed above under “Financing Activities.”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Liquidity Matters</w:t>
      </w:r>
    </w:p>
    <w:p>
      <w:pPr>
        <w:spacing w:after="0" w:line="225"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Wynn Resorts is a holding company and, as a result, our ability to pay dividends is highly dependent on our ability to obtain funds and our subsidiaries’ ability to provide funds to us. Restrictions imposed by our Wynn Las Vegas and Wynn Macau debt instruments restrict our ability to pay dividends. Specifically, Wynn Las Vegas, LLC and certain of its subsidiaries are restricted under the indentures governing its first mortgage notes from making certain “restricted payments” as defined in the indentures. These restricted payments include the payment of dividends or distributions to any direct or indirect holders of equity interests of Wynn Las Vegas, LLC. These restricted payments may not be made unless certain financial and non-financial criteria have been satisfied. While the Wynn Macau Credit Facilities contain similar restrictions, Wynn Macau currently satisfies all requirements, including its leverage ratio, which must be met in order to pay dividends and is presently able to pay dividends in accordance with the Wynn Macau Credit Facilities.</w:t>
      </w:r>
    </w:p>
    <w:p>
      <w:pPr>
        <w:spacing w:after="0" w:line="167"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Wynn Las Vegas, LLC intends to fund its operations and capital requirements from cash on hand and operating cash flow. We cannot assure you however, that our Las Vegas Operations will generate sufficient cash flow from operations or the availability of additional indebtedness will be sufficient to enable us to service and repay Wynn Las Vegas, LLC’s indebtedness and to fund its other liquidity needs. Similarly, we expect that our Macau Operations will fund Wynn Resorts (Macau) S.A.’s debt service obligations with existing cash, operating cash flow and availability under the Wynn Macau Credit Facilities. However, we cannot assure you that operating cash flows will be sufficient to do so. We may refinance all or a portion of our indebtedness on or before maturity. We cannot assure you that we will be able to refinance any of the indebtedness on acceptable terms or at all.</w:t>
      </w:r>
    </w:p>
    <w:p>
      <w:pPr>
        <w:spacing w:after="0" w:line="178"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Item 1 - "Financial Statements", Note 14 "Commitments and Contingencies".</w:t>
      </w:r>
    </w:p>
    <w:p>
      <w:pPr>
        <w:spacing w:after="0" w:line="18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We have in the past repurchased, and in the future, we may periodically consider repurchasing our outstanding notes for cash. The amount of any notes to be repurchased, as well as the timing of any repurchases, will be based on business, market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and other conditions and factors, including price, contractual requirements or consents, and capital availability. Any repurchases might be made using a variety of methods, which may include open market purchases, privately negotiated transactions, or by any combination of those methods, in compliance with applicable securities laws and regulations.</w:t>
      </w:r>
    </w:p>
    <w:p>
      <w:pPr>
        <w:spacing w:after="0" w:line="181"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would require us to obtain additional financing. We may decide to conduct any such development through Wynn Resorts or through subsidiaries separate from the Las Vegas or Macau-related entities.</w:t>
      </w:r>
    </w:p>
    <w:p>
      <w:pPr>
        <w:spacing w:after="0" w:line="171"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 Company’s articles of incorporation provide that, to the extent required by the gaming authority making the determination of unsuitability or to the extent the Board of Directors determines, in its sole discretion, that a person is likely to jeopardize the Company’s or any affiliate’s application for, receipt of, approval for, right to the use of, or entitlement to, any gaming license, shares of Wynn Resorts’ capital stock that are owned or controlled by an unsuitable person or its affiliates are subject to redemption by the Company. The redemption price may be paid in cash, by promissory note or both, as required by the applicable gaming authority and, if not, as we elect. Any promissory note that we issue to an unsuitable person or its affiliate in exchange for its shares could increase our debt to equity ratio and would increase our leverage ratio.</w:t>
      </w:r>
    </w:p>
    <w:p>
      <w:pPr>
        <w:spacing w:after="0" w:line="178"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On February 18, 2012, the Board of Directors of Wynn Resorts determined that Aruze USA, Inc., Universal Entertainment Corporation and Mr. Kazuo Okada are “unsuitable” under the provision of our articles of incorporation and redeemed and canceled all of Aruze USA, Inc.’s, 24,549,222 shares of Wynn Resorts’ common stock. Pursuant to our articles of incorporation, we issued the Redemption Note to Aruze USA, Inc. in redemption of the shares. For additional information on the redemption and the Redemption Note, see Note 14 “Commitments and Contingencies.”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2013. There has been no material change to these policies for the six months ended June 30,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related disclosure at Notes to Condensed Consolidated Financial Statements, Note 2 "Summary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188"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Forward-looking statements are subject to a number of risks and uncertainties that could cause actual results to differ materially from those we express in these forward-looking statements, including risks and uncertainties in Item 1A - Risk Factors and other factors we describe from time to time in our periodic filings with the SEC, such as:</w:t>
      </w:r>
    </w:p>
    <w:p>
      <w:pPr>
        <w:spacing w:after="0" w:line="23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or enforcement actions and probity investigations;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violations of law by Mr. Kazuo Okada, a former shareholder of ours;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valuation of the promissory note we issued in connection with the redemption of Mr. Okada’s shares;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violations by us of the Foreign Corrupt Practices Act or federal anti-money laundering laws;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decreases in levels of travel, leisure and consumer spending;</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uncertainties over the development and success of new gaming and resort properties;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tourism and trends reflecting current domestic and international economic conditions;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doing business in foreign locations such as Macau;</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gaming laws or regulations (including stricter smoking regulations in Macau);</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legalization of gaming in certain jurisdictions;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environmental regulation on management and construction of projects;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subsidiaries’ ability to pay us dividends and distributions;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relationships with Macau games promoters;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debts;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maintenance of our concession from the Macau government;</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exchange rates;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cybersecurity risk including misappropriation of customer information or other breaches of information security;</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U.S. laws regarding healthcare;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federal, foreign, or state tax laws or the administration of such laws;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 and from governmental intervention in the financial markets;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117" w:lineRule="exact"/>
        <w:rPr>
          <w:rFonts w:ascii="Arial" w:cs="Arial" w:eastAsia="Arial" w:hAnsi="Arial"/>
          <w:sz w:val="18"/>
          <w:szCs w:val="18"/>
          <w:color w:val="auto"/>
        </w:rPr>
      </w:pPr>
    </w:p>
    <w:p>
      <w:pPr>
        <w:ind w:left="660" w:right="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or the impact of extreme weather patterns or a natural disaster may have on the travel and leisure industry; and</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consequences of military conflicts and any future security alerts and/or terrorist attacks.</w:t>
      </w:r>
    </w:p>
    <w:p>
      <w:pPr>
        <w:spacing w:after="0" w:line="27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Risks</w:t>
      </w:r>
    </w:p>
    <w:p>
      <w:pPr>
        <w:spacing w:after="0" w:line="22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1" w:right="239" w:bottom="1440" w:gutter="0" w:footer="0" w:header="0"/>
          <w:type w:val="continuous"/>
        </w:sectPr>
      </w:pPr>
    </w:p>
    <w:bookmarkStart w:id="45" w:name="page46"/>
    <w:bookmarkEnd w:id="4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Swap Information</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have entered into floating-for-fixed interest rate swap arrangements relating to certain of our floating-rate debt facilities. We measure the fair value of our interest rate swaps on a recurring basis. Changes in the fair values of our interest rate swaps for each reporting period recorded are, and will continue to be, recognized as an increase (decrease) in swap fair value in our Condensed Consolidated Statements of Income, as the swaps do not qualify for hedge accounting.</w:t>
      </w:r>
    </w:p>
    <w:p>
      <w:pPr>
        <w:spacing w:after="0" w:line="187"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We currently have three interest rate swap agreements intended to hedge a portion of the underlying interest rate risk on borrowings under our Wynn Macau Credit Facilities. Under two of the swap agreements, we pay a fixed interest rate (excluding the applicable interest margin) of 0.73% on notional amounts corresponding to borrowings of HK$3.95 billion (approximately $509.4 million) incurred under the Wynn Macau Senior Term Loan in exchange for receipts on the same amount at a variable interest rate based on the applicable HIBOR at the time of payment. These interest rate swaps fix the all-in interest rate on such amounts at 2.48% to 3.23%. These interest rate swap agreements mature in July 2017.</w:t>
      </w:r>
    </w:p>
    <w:p>
      <w:pPr>
        <w:spacing w:after="0" w:line="17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Under the third swap agreement, we pay a fixed interest rate (excluding the applicable interest margin) of 0.68% on notional amounts corresponding to borrowings of $243.8 million incurred under the Wynn Macau Senior Term Loan in exchange for receipts on the same amount at a variable-rate based on the applicable LIBOR at the time of payment. This interest rate swap fixes the all-in interest rate on such amounts at 2.43% to 3.18%. This interest rate swap agreement matures in July 2017.</w:t>
      </w:r>
    </w:p>
    <w:p>
      <w:pPr>
        <w:spacing w:after="0" w:line="18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As of June 30, 2014 and December 31, 2013, we recorded an asset of $6.5 million and $10.3 million, respectively, for our interest rate swaps in deposits and other assets.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Sensitivity</w:t>
      </w:r>
    </w:p>
    <w:p>
      <w:pPr>
        <w:spacing w:after="0" w:line="225"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As of June 30, 2014, approximately 97% of our long-term debt was based on fixed rates. Based on our borrowings as of June 30, 2014, an assumed 1% change in the variable rates would cause our annual interest cost to change by $2.3 million.</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Risks</w:t>
      </w:r>
    </w:p>
    <w:p>
      <w:pPr>
        <w:spacing w:after="0" w:line="225"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7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If the Hong Kong dollar and the Macau pataca are not linked to the U.S. dollar in the future, severe fluctuations in the exchange rate for these currencies may result. We also cannot assure you that the current rate of exchange fixed by the applicable monetary authorities for these currencies will remain at the same level.</w:t>
      </w:r>
    </w:p>
    <w:p>
      <w:pPr>
        <w:spacing w:after="0" w:line="181"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if any of our Macau-related entities incur U.S. dollar-denominated debt, fluctuations in the exchange rates of the Macau pataca or the Hong Kong dollar, in relation to the U.S. dollar, could have adverse effects on Wynn Macau’s results of operations, financial condition, and ability to service its debt. To date, we have not engaged in hedging activities intended to protect against foreign currency risk. The amount of our cash balances that are denominated in foreign currencies, primarily the Hong Kong dollar, can change significantly, representing approximately 22% of our June 30, 2014 cash balances. Based on our balances at June 30, 2014, an assumed 1% change in the dollar/Hong Kong dollar exchange rate would cause a foreign currency transaction gain/loss of approximately $9.9 million.</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firstLine="440"/>
        <w:spacing w:after="0" w:line="269" w:lineRule="auto"/>
        <w:tabs>
          <w:tab w:leader="none" w:pos="677"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Disclosure Controls and Procedures</w:t>
      </w:r>
      <w:r>
        <w:rPr>
          <w:rFonts w:ascii="Arial" w:cs="Arial" w:eastAsia="Arial" w:hAnsi="Arial"/>
          <w:sz w:val="17"/>
          <w:szCs w:val="17"/>
          <w:color w:val="auto"/>
        </w:rPr>
        <w:t>. The Company’s management, with the participation of the Company’s Chief Executive Officer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82" w:lineRule="exact"/>
        <w:rPr>
          <w:rFonts w:ascii="Arial" w:cs="Arial" w:eastAsia="Arial" w:hAnsi="Arial"/>
          <w:sz w:val="17"/>
          <w:szCs w:val="17"/>
          <w:color w:val="auto"/>
        </w:rPr>
      </w:pPr>
    </w:p>
    <w:p>
      <w:pPr>
        <w:jc w:val="both"/>
        <w:ind w:right="60" w:firstLine="440"/>
        <w:spacing w:after="0" w:line="264" w:lineRule="auto"/>
        <w:tabs>
          <w:tab w:leader="none" w:pos="687"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Internal Control Over Financial Reporting</w:t>
      </w:r>
      <w:r>
        <w:rPr>
          <w:rFonts w:ascii="Arial" w:cs="Arial" w:eastAsia="Arial" w:hAnsi="Arial"/>
          <w:sz w:val="18"/>
          <w:szCs w:val="18"/>
          <w:color w:val="auto"/>
        </w:rPr>
        <w:t>. There were no changes in our internal control over financial reporting (as such term is defined in Rules</w:t>
      </w:r>
      <w:r>
        <w:rPr>
          <w:rFonts w:ascii="Arial" w:cs="Arial" w:eastAsia="Arial" w:hAnsi="Arial"/>
          <w:sz w:val="18"/>
          <w:szCs w:val="18"/>
          <w:i w:val="1"/>
          <w:iCs w:val="1"/>
          <w:color w:val="auto"/>
        </w:rPr>
        <w:t xml:space="preserve"> </w:t>
      </w:r>
      <w:r>
        <w:rPr>
          <w:rFonts w:ascii="Arial" w:cs="Arial" w:eastAsia="Arial" w:hAnsi="Arial"/>
          <w:sz w:val="18"/>
          <w:szCs w:val="18"/>
          <w:color w:val="auto"/>
        </w:rPr>
        <w:t>13a-15(f) and 15d-15(f) under the Exchange Act) during the quarter to which this report relates that materially affected, or are reasonably likely to materially affect, our internal control over financial reporting.</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122" w:right="27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proceedings see Notes to Condensed Consolidated Financial Statements, Note 14 “Commitments and Contingencies” in this Quarterly Report on Form 10-Q</w:t>
      </w:r>
    </w:p>
    <w:p>
      <w:pPr>
        <w:spacing w:after="0" w:line="181" w:lineRule="exact"/>
        <w:rPr>
          <w:sz w:val="20"/>
          <w:szCs w:val="20"/>
          <w:color w:val="auto"/>
        </w:rPr>
      </w:pPr>
    </w:p>
    <w:p>
      <w:pPr>
        <w:ind w:right="200" w:firstLine="432"/>
        <w:spacing w:after="0" w:line="342" w:lineRule="auto"/>
        <w:rPr>
          <w:sz w:val="20"/>
          <w:szCs w:val="20"/>
          <w:color w:val="auto"/>
        </w:rPr>
      </w:pPr>
      <w:r>
        <w:rPr>
          <w:rFonts w:ascii="Arial" w:cs="Arial" w:eastAsia="Arial" w:hAnsi="Arial"/>
          <w:sz w:val="16"/>
          <w:szCs w:val="16"/>
          <w:color w:val="auto"/>
        </w:rPr>
        <w:t>Wynn Resorts (Macau) S.A., an indirect subsidiary of Wynn Macau Limited, was contacted by the Macau Commission Against Corruption of Macau (“CCAC”) requesting certain information related to its land in the Cotai area of Macau. Wynn Resorts (Macau) S.A. is cooperating with CCAC's request.</w:t>
      </w:r>
    </w:p>
    <w:p>
      <w:pPr>
        <w:spacing w:after="0" w:line="12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 description of our risk factors can be found in Item 1A of our Annual Report on Form 10-K for the year ended December 31, 2013. There were no material changes to those risk factors during the six months ended June 30, 2014.</w:t>
      </w:r>
    </w:p>
    <w:p>
      <w:pPr>
        <w:spacing w:after="0" w:line="24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Dividend Restrictions</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On January 30, 2014, we announced a cash dividend of $1.25 per share under our Board approved quarterly cash dividend program. The cash dividend was paid on February 27, 2014 to stockholders of record as of February 13, 2014. On May 1, 2014 the Company announced a cash dividend of $1.25 per share, paid on May 29, 2014 to stockholders of record as of May 15, 2014. On July 29, 2014 the Company announced a cash dividend of $1.25, per share, payable on August 26, 2014 to stockholders of record on August 12, 2014.</w:t>
      </w:r>
    </w:p>
    <w:p>
      <w:pPr>
        <w:spacing w:after="0" w:line="187"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Wynn Resorts is a holding company and, as a result, our ability to pay dividends is dependent on our ability to obtain funds and our subsidiaries’ ability to provide funds to us. Restrictions imposed by our subsidiaries’ debt instruments significantly restrict certain key subsidiaries holding a majority of our assets, including Wynn Las Vegas, LLC and Wynn Resorts (Macau) S.A. from making dividends or distributions to Wynn Resorts. Specifically, Wynn Las Vegas, LLC and certain of its subsidiaries are restricted under the indentures governing its first mortgage notes from making certain “restricted payments” as defined in the indentures. These restricted payments include the payment of dividends or distributions to any direct or indirect holders of equity interests of Wynn Las Vegas, LLC. Restricted payments cannot be made unless certain financial and non-financial criteria have been satisfied. While the Wynn Macau Credit Facilities contain similar restrictions, Wynn Macau currently satisfies all requirements, including its leverage ratio, which be met in order to pay dividends and is presently able to pay dividends in accordance with the Wynn Macau Credit Facilities. On March 28, 2014, the Wynn Macau, Limited Board of Directors recommended the payment of a HK$0.98 per share dividend that was approved by the shareholders of Wynn Macau, Limited at their annual meeting on May 15, 2014 and subsequently paid on June 6, 2014.</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2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In May 2014, we repurchased 2,473 shares in satisfaction of tax withholding obligations on vested restricted stock, at an average price of $216.65 per share, for a total expenditure of $0.5 million.</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122" w:right="27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p>
      <w:pPr>
        <w:ind w:left="820" w:hanging="65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Exhibits</w:t>
      </w:r>
    </w:p>
    <w:p>
      <w:pPr>
        <w:spacing w:after="0" w:line="31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EXHIBIT INDEX</w:t>
      </w:r>
    </w:p>
    <w:p>
      <w:pPr>
        <w:spacing w:after="0" w:line="35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60"/>
        <w:spacing w:after="0"/>
        <w:tabs>
          <w:tab w:leader="none" w:pos="10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829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ectPr>
          <w:pgSz w:w="11900" w:h="16838" w:orient="portrait"/>
          <w:cols w:equalWidth="0" w:num="1">
            <w:col w:w="11320"/>
          </w:cols>
          <w:pgMar w:left="240" w:top="122" w:right="339" w:bottom="1440" w:gutter="0" w:footer="0" w:header="0"/>
        </w:sectPr>
      </w:pP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*10.1</w:t>
      </w:r>
    </w:p>
    <w:p>
      <w:pPr>
        <w:spacing w:after="0" w:line="23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*10.2</w:t>
      </w:r>
    </w:p>
    <w:p>
      <w:pPr>
        <w:spacing w:after="0" w:line="23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*10.3</w:t>
      </w: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10.4</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*31.1</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Second Amended and Restated Articles of Incorporation of the Registrant. (1)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Seventh Amended and Restated Bylaws of the Registrant, as amended.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Third Amendment to Employment Agreement, dated as of May 5, 2014 by and between Wynn Resorts, Limited and Kim Sinatra.</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 dated as of November 7, 2013 by and between Wynn Resorts, Limited and Stephen Cootey.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First Amendment to Employment Agreement, dated as of January 6, 2014 by and between Wynn Resorts, Limited and Stephen Cootey.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2014 Omnibus Incentive Plan effective May 16, 2014 (2)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Executive Officer of Periodic Report Pursuant to Rule 13a – 14(a)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Rule 15d – 14(a).</w:t>
      </w:r>
    </w:p>
    <w:p>
      <w:pPr>
        <w:spacing w:after="0" w:line="49" w:lineRule="exact"/>
        <w:rPr>
          <w:sz w:val="20"/>
          <w:szCs w:val="20"/>
          <w:color w:val="auto"/>
        </w:rPr>
      </w:pPr>
    </w:p>
    <w:p>
      <w:pPr>
        <w:sectPr>
          <w:pgSz w:w="11900" w:h="16838" w:orient="portrait"/>
          <w:cols w:equalWidth="0" w:num="2">
            <w:col w:w="900" w:space="180"/>
            <w:col w:w="10240"/>
          </w:cols>
          <w:pgMar w:left="240" w:top="122" w:right="339" w:bottom="1440" w:gutter="0" w:footer="0" w:header="0"/>
          <w:type w:val="continuous"/>
        </w:sectPr>
      </w:pPr>
    </w:p>
    <w:p>
      <w:pPr>
        <w:ind w:left="1080" w:right="3640" w:hanging="580"/>
        <w:spacing w:after="0" w:line="277" w:lineRule="auto"/>
        <w:tabs>
          <w:tab w:leader="none" w:pos="1060" w:val="left"/>
        </w:tabs>
        <w:rPr>
          <w:sz w:val="20"/>
          <w:szCs w:val="20"/>
          <w:color w:val="auto"/>
        </w:rPr>
      </w:pPr>
      <w:r>
        <w:rPr>
          <w:rFonts w:ascii="Arial" w:cs="Arial" w:eastAsia="Arial" w:hAnsi="Arial"/>
          <w:sz w:val="18"/>
          <w:szCs w:val="18"/>
          <w:color w:val="auto"/>
        </w:rPr>
        <w:t>*31.2</w:t>
        <w:tab/>
        <w:t>Certification of Chief Financial Officer of Periodic Report Pursuant to Rule 13a – 14(a) and Rule 15d – 14(a).</w:t>
      </w:r>
    </w:p>
    <w:p>
      <w:pPr>
        <w:spacing w:after="0" w:line="8"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Certification of CEO and CFO Pursuant to 18 U.S.C. Section 1350.</w:t>
      </w:r>
    </w:p>
    <w:p>
      <w:pPr>
        <w:spacing w:after="0" w:line="63" w:lineRule="exact"/>
        <w:rPr>
          <w:sz w:val="20"/>
          <w:szCs w:val="20"/>
          <w:color w:val="auto"/>
        </w:rPr>
      </w:pPr>
    </w:p>
    <w:p>
      <w:pPr>
        <w:ind w:left="1080" w:right="40" w:hanging="539"/>
        <w:spacing w:after="0" w:line="293" w:lineRule="auto"/>
        <w:tabs>
          <w:tab w:leader="none" w:pos="1060" w:val="left"/>
        </w:tabs>
        <w:rPr>
          <w:sz w:val="20"/>
          <w:szCs w:val="20"/>
          <w:color w:val="auto"/>
        </w:rPr>
      </w:pPr>
      <w:r>
        <w:rPr>
          <w:rFonts w:ascii="Arial" w:cs="Arial" w:eastAsia="Arial" w:hAnsi="Arial"/>
          <w:sz w:val="16"/>
          <w:szCs w:val="16"/>
          <w:color w:val="auto"/>
        </w:rPr>
        <w:t>*101</w:t>
        <w:tab/>
        <w:t>The following financial information from the Company's Quarterly Report on Form 10-Q for the quarter ended June 30, 2014, filed with the SEC on August 8, 2014 formatted in Extensible Business Reporting Language (XBRL): (i) the Condensed Consolidated Balance Sheets at June 30, 2014 and December 31, 2013, (ii) the Condensed Consolidated Statements of Income for the three and six months ended June 30, 2014 and 2013, (iii) the Condensed Consolidated Statements of Comprehensive Income for the three and six months ended June 30, 2014 and 2013, (iv) the Condensed Consolidated Statements of Cash Flows for the six months ended June 30, 2014 and 2013, (v) the Condensed Consolidated Statement of Stockholders’ Equity at June 30, 2014 and (vi) Notes to Condensed Consolidated Financial Statements.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Wynn Resorts, Limited agrees to furnish to the U.S. Securities and Exchange Commission, upon request, a copy of each agreement with respect to long-term debt not filed herewith in reliance upon the exemption from filing applicable to any series of debt which does not exceed 10% of the total consolidated assets of the company.</w:t>
      </w:r>
    </w:p>
    <w:p>
      <w:pPr>
        <w:spacing w:after="0" w:line="235"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4701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ind w:left="500" w:right="120" w:hanging="492"/>
        <w:spacing w:after="0" w:line="250"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 and incorporated herein by reference.</w:t>
      </w:r>
    </w:p>
    <w:p>
      <w:pPr>
        <w:ind w:left="500" w:right="320" w:hanging="492"/>
        <w:spacing w:after="0" w:line="261"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with Form S-8 Registration Statement filed by the Registrant on May 20, 2014 (File No. 333-196113) and incorporated herein by reference.</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20"/>
          </w:cols>
          <w:pgMar w:left="240" w:top="122" w:right="339" w:bottom="1440" w:gutter="0" w:footer="0" w:header="0"/>
          <w:type w:val="continuous"/>
        </w:sectPr>
      </w:pPr>
    </w:p>
    <w:bookmarkStart w:id="49" w:name="page50"/>
    <w:bookmarkEnd w:id="4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August 8,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Stephen Cootey</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780"/>
          </w:cols>
          <w:pgMar w:left="240" w:top="122" w:right="879" w:bottom="1440" w:gutter="0" w:footer="0" w:header="0"/>
        </w:sectPr>
      </w:pPr>
    </w:p>
    <w:bookmarkStart w:id="50" w:name="page51"/>
    <w:bookmarkEnd w:id="50"/>
    <w:p>
      <w:pPr>
        <w:jc w:val="right"/>
        <w:spacing w:after="0"/>
        <w:rPr>
          <w:sz w:val="20"/>
          <w:szCs w:val="20"/>
          <w:color w:val="auto"/>
        </w:rPr>
      </w:pPr>
      <w:r>
        <w:rPr>
          <w:rFonts w:ascii="Arial" w:cs="Arial" w:eastAsia="Arial" w:hAnsi="Arial"/>
          <w:sz w:val="20"/>
          <w:szCs w:val="20"/>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224155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100"/>
        <w:spacing w:after="0"/>
        <w:rPr>
          <w:sz w:val="20"/>
          <w:szCs w:val="20"/>
          <w:color w:val="auto"/>
        </w:rPr>
      </w:pPr>
      <w:r>
        <w:rPr>
          <w:rFonts w:ascii="Arial" w:cs="Arial" w:eastAsia="Arial" w:hAnsi="Arial"/>
          <w:sz w:val="22"/>
          <w:szCs w:val="22"/>
          <w:b w:val="1"/>
          <w:bCs w:val="1"/>
          <w:color w:val="auto"/>
        </w:rPr>
        <w:t>WYNN RESORTS, LIMITED</w:t>
      </w:r>
    </w:p>
    <w:p>
      <w:pPr>
        <w:spacing w:after="0" w:line="28" w:lineRule="exact"/>
        <w:rPr>
          <w:sz w:val="20"/>
          <w:szCs w:val="20"/>
          <w:color w:val="auto"/>
        </w:rPr>
      </w:pPr>
    </w:p>
    <w:p>
      <w:pPr>
        <w:ind w:left="3120"/>
        <w:spacing w:after="0"/>
        <w:rPr>
          <w:sz w:val="20"/>
          <w:szCs w:val="20"/>
          <w:color w:val="auto"/>
        </w:rPr>
      </w:pPr>
      <w:r>
        <w:rPr>
          <w:rFonts w:ascii="Arial" w:cs="Arial" w:eastAsia="Arial" w:hAnsi="Arial"/>
          <w:sz w:val="22"/>
          <w:szCs w:val="22"/>
          <w:b w:val="1"/>
          <w:bCs w:val="1"/>
          <w:color w:val="auto"/>
        </w:rPr>
        <w:t>A NEVADA CORPORATION</w:t>
      </w:r>
    </w:p>
    <w:p>
      <w:pPr>
        <w:spacing w:after="0" w:line="209" w:lineRule="exact"/>
        <w:rPr>
          <w:sz w:val="20"/>
          <w:szCs w:val="20"/>
          <w:color w:val="auto"/>
        </w:rPr>
      </w:pPr>
    </w:p>
    <w:p>
      <w:pPr>
        <w:jc w:val="center"/>
        <w:ind w:right="1180"/>
        <w:spacing w:after="0"/>
        <w:rPr>
          <w:sz w:val="20"/>
          <w:szCs w:val="20"/>
          <w:color w:val="auto"/>
        </w:rPr>
      </w:pPr>
      <w:r>
        <w:rPr>
          <w:rFonts w:ascii="Arial" w:cs="Arial" w:eastAsia="Arial" w:hAnsi="Arial"/>
          <w:sz w:val="21"/>
          <w:szCs w:val="21"/>
          <w:b w:val="1"/>
          <w:bCs w:val="1"/>
          <w:color w:val="auto"/>
        </w:rPr>
        <w:t>SEVENTH AMENDED AND RESTATED BYLAWS</w:t>
      </w:r>
    </w:p>
    <w:p>
      <w:pPr>
        <w:spacing w:after="0" w:line="39"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EFFECTIVE AS OF</w:t>
      </w:r>
    </w:p>
    <w:p>
      <w:pPr>
        <w:spacing w:after="0" w:line="4"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MAY 16,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197485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51" w:name="page52"/>
    <w:bookmarkEnd w:id="51"/>
    <w:p>
      <w:pPr>
        <w:jc w:val="center"/>
        <w:ind w:right="300"/>
        <w:spacing w:after="0"/>
        <w:rPr>
          <w:sz w:val="20"/>
          <w:szCs w:val="20"/>
          <w:color w:val="auto"/>
        </w:rPr>
      </w:pPr>
      <w:r>
        <w:rPr>
          <w:rFonts w:ascii="Arial" w:cs="Arial" w:eastAsia="Arial" w:hAnsi="Arial"/>
          <w:sz w:val="20"/>
          <w:szCs w:val="20"/>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1260" w:type="dxa"/>
            <w:vAlign w:val="bottom"/>
          </w:tcPr>
          <w:p>
            <w:pPr>
              <w:spacing w:after="0"/>
              <w:rPr>
                <w:sz w:val="22"/>
                <w:szCs w:val="22"/>
                <w:color w:val="auto"/>
              </w:rPr>
            </w:pPr>
          </w:p>
        </w:tc>
        <w:tc>
          <w:tcPr>
            <w:tcW w:w="6880" w:type="dxa"/>
            <w:vAlign w:val="bottom"/>
          </w:tcPr>
          <w:p>
            <w:pPr>
              <w:spacing w:after="0"/>
              <w:rPr>
                <w:sz w:val="22"/>
                <w:szCs w:val="22"/>
                <w:color w:val="auto"/>
              </w:rPr>
            </w:pPr>
          </w:p>
        </w:tc>
        <w:tc>
          <w:tcPr>
            <w:tcW w:w="1200" w:type="dxa"/>
            <w:vAlign w:val="bottom"/>
          </w:tcPr>
          <w:p>
            <w:pPr>
              <w:jc w:val="right"/>
              <w:ind w:right="50"/>
              <w:spacing w:after="0"/>
              <w:rPr>
                <w:sz w:val="20"/>
                <w:szCs w:val="20"/>
                <w:color w:val="auto"/>
              </w:rPr>
            </w:pPr>
            <w:r>
              <w:rPr>
                <w:rFonts w:ascii="Arial" w:cs="Arial" w:eastAsia="Arial" w:hAnsi="Arial"/>
                <w:sz w:val="20"/>
                <w:szCs w:val="20"/>
                <w:b w:val="1"/>
                <w:bCs w:val="1"/>
                <w:color w:val="auto"/>
              </w:rPr>
              <w:t>Page</w:t>
            </w:r>
          </w:p>
        </w:tc>
      </w:tr>
      <w:tr>
        <w:trPr>
          <w:trHeight w:val="266"/>
        </w:trPr>
        <w:tc>
          <w:tcPr>
            <w:tcW w:w="1260" w:type="dxa"/>
            <w:vAlign w:val="bottom"/>
          </w:tcPr>
          <w:p>
            <w:pPr>
              <w:spacing w:after="0"/>
              <w:rPr>
                <w:sz w:val="20"/>
                <w:szCs w:val="20"/>
                <w:color w:val="auto"/>
              </w:rPr>
            </w:pPr>
            <w:r>
              <w:rPr>
                <w:rFonts w:ascii="Arial" w:cs="Arial" w:eastAsia="Arial" w:hAnsi="Arial"/>
                <w:sz w:val="18"/>
                <w:szCs w:val="18"/>
                <w:color w:val="auto"/>
              </w:rPr>
              <w:t>Article I</w:t>
            </w:r>
          </w:p>
        </w:tc>
        <w:tc>
          <w:tcPr>
            <w:tcW w:w="6880" w:type="dxa"/>
            <w:vAlign w:val="bottom"/>
          </w:tcPr>
          <w:p>
            <w:pPr>
              <w:ind w:left="60"/>
              <w:spacing w:after="0"/>
              <w:rPr>
                <w:sz w:val="20"/>
                <w:szCs w:val="20"/>
                <w:color w:val="auto"/>
              </w:rPr>
            </w:pPr>
            <w:r>
              <w:rPr>
                <w:rFonts w:ascii="Arial" w:cs="Arial" w:eastAsia="Arial" w:hAnsi="Arial"/>
                <w:sz w:val="18"/>
                <w:szCs w:val="18"/>
                <w:color w:val="auto"/>
              </w:rPr>
              <w:t>OFFICES</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6880" w:type="dxa"/>
            <w:vAlign w:val="bottom"/>
          </w:tcPr>
          <w:p>
            <w:pPr>
              <w:ind w:left="60"/>
              <w:spacing w:after="0"/>
              <w:rPr>
                <w:sz w:val="20"/>
                <w:szCs w:val="20"/>
                <w:color w:val="auto"/>
              </w:rPr>
            </w:pPr>
            <w:r>
              <w:rPr>
                <w:rFonts w:ascii="Arial" w:cs="Arial" w:eastAsia="Arial" w:hAnsi="Arial"/>
                <w:sz w:val="18"/>
                <w:szCs w:val="18"/>
                <w:color w:val="auto"/>
              </w:rPr>
              <w:t>Principal Office</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6880" w:type="dxa"/>
            <w:vAlign w:val="bottom"/>
          </w:tcPr>
          <w:p>
            <w:pPr>
              <w:ind w:left="60"/>
              <w:spacing w:after="0"/>
              <w:rPr>
                <w:sz w:val="20"/>
                <w:szCs w:val="20"/>
                <w:color w:val="auto"/>
              </w:rPr>
            </w:pPr>
            <w:r>
              <w:rPr>
                <w:rFonts w:ascii="Arial" w:cs="Arial" w:eastAsia="Arial" w:hAnsi="Arial"/>
                <w:sz w:val="18"/>
                <w:szCs w:val="18"/>
                <w:color w:val="auto"/>
              </w:rPr>
              <w:t>Other Offices</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594"/>
        </w:trPr>
        <w:tc>
          <w:tcPr>
            <w:tcW w:w="1260" w:type="dxa"/>
            <w:vAlign w:val="bottom"/>
          </w:tcPr>
          <w:p>
            <w:pPr>
              <w:spacing w:after="0"/>
              <w:rPr>
                <w:sz w:val="20"/>
                <w:szCs w:val="20"/>
                <w:color w:val="auto"/>
              </w:rPr>
            </w:pPr>
            <w:r>
              <w:rPr>
                <w:rFonts w:ascii="Arial" w:cs="Arial" w:eastAsia="Arial" w:hAnsi="Arial"/>
                <w:sz w:val="18"/>
                <w:szCs w:val="18"/>
                <w:color w:val="auto"/>
              </w:rPr>
              <w:t>Article II</w:t>
            </w:r>
          </w:p>
        </w:tc>
        <w:tc>
          <w:tcPr>
            <w:tcW w:w="6880" w:type="dxa"/>
            <w:vAlign w:val="bottom"/>
          </w:tcPr>
          <w:p>
            <w:pPr>
              <w:ind w:left="60"/>
              <w:spacing w:after="0"/>
              <w:rPr>
                <w:sz w:val="20"/>
                <w:szCs w:val="20"/>
                <w:color w:val="auto"/>
              </w:rPr>
            </w:pPr>
            <w:r>
              <w:rPr>
                <w:rFonts w:ascii="Arial" w:cs="Arial" w:eastAsia="Arial" w:hAnsi="Arial"/>
                <w:sz w:val="18"/>
                <w:szCs w:val="18"/>
                <w:color w:val="auto"/>
              </w:rPr>
              <w:t>STOCKHOLDERS</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2.1</w:t>
            </w:r>
          </w:p>
        </w:tc>
        <w:tc>
          <w:tcPr>
            <w:tcW w:w="6880" w:type="dxa"/>
            <w:vAlign w:val="bottom"/>
          </w:tcPr>
          <w:p>
            <w:pPr>
              <w:ind w:left="60"/>
              <w:spacing w:after="0"/>
              <w:rPr>
                <w:sz w:val="20"/>
                <w:szCs w:val="20"/>
                <w:color w:val="auto"/>
              </w:rPr>
            </w:pPr>
            <w:r>
              <w:rPr>
                <w:rFonts w:ascii="Arial" w:cs="Arial" w:eastAsia="Arial" w:hAnsi="Arial"/>
                <w:sz w:val="18"/>
                <w:szCs w:val="18"/>
                <w:color w:val="auto"/>
              </w:rPr>
              <w:t>Annual Meeting</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2.2</w:t>
            </w:r>
          </w:p>
        </w:tc>
        <w:tc>
          <w:tcPr>
            <w:tcW w:w="6880" w:type="dxa"/>
            <w:vAlign w:val="bottom"/>
          </w:tcPr>
          <w:p>
            <w:pPr>
              <w:ind w:left="60"/>
              <w:spacing w:after="0"/>
              <w:rPr>
                <w:sz w:val="20"/>
                <w:szCs w:val="20"/>
                <w:color w:val="auto"/>
              </w:rPr>
            </w:pPr>
            <w:r>
              <w:rPr>
                <w:rFonts w:ascii="Arial" w:cs="Arial" w:eastAsia="Arial" w:hAnsi="Arial"/>
                <w:sz w:val="18"/>
                <w:szCs w:val="18"/>
                <w:color w:val="auto"/>
              </w:rPr>
              <w:t>Special Meetings</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2.3</w:t>
            </w:r>
          </w:p>
        </w:tc>
        <w:tc>
          <w:tcPr>
            <w:tcW w:w="6880" w:type="dxa"/>
            <w:vAlign w:val="bottom"/>
          </w:tcPr>
          <w:p>
            <w:pPr>
              <w:ind w:left="60"/>
              <w:spacing w:after="0"/>
              <w:rPr>
                <w:sz w:val="20"/>
                <w:szCs w:val="20"/>
                <w:color w:val="auto"/>
              </w:rPr>
            </w:pPr>
            <w:r>
              <w:rPr>
                <w:rFonts w:ascii="Arial" w:cs="Arial" w:eastAsia="Arial" w:hAnsi="Arial"/>
                <w:sz w:val="18"/>
                <w:szCs w:val="18"/>
                <w:color w:val="auto"/>
              </w:rPr>
              <w:t>Place of Meetings</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2.4</w:t>
            </w:r>
          </w:p>
        </w:tc>
        <w:tc>
          <w:tcPr>
            <w:tcW w:w="6880" w:type="dxa"/>
            <w:vAlign w:val="bottom"/>
          </w:tcPr>
          <w:p>
            <w:pPr>
              <w:ind w:left="60"/>
              <w:spacing w:after="0"/>
              <w:rPr>
                <w:sz w:val="20"/>
                <w:szCs w:val="20"/>
                <w:color w:val="auto"/>
              </w:rPr>
            </w:pPr>
            <w:r>
              <w:rPr>
                <w:rFonts w:ascii="Arial" w:cs="Arial" w:eastAsia="Arial" w:hAnsi="Arial"/>
                <w:sz w:val="18"/>
                <w:szCs w:val="18"/>
                <w:color w:val="auto"/>
              </w:rPr>
              <w:t>Notice of Meetings; Waiver of Notice</w:t>
            </w: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2.5</w:t>
            </w:r>
          </w:p>
        </w:tc>
        <w:tc>
          <w:tcPr>
            <w:tcW w:w="6880" w:type="dxa"/>
            <w:vAlign w:val="bottom"/>
          </w:tcPr>
          <w:p>
            <w:pPr>
              <w:ind w:left="60"/>
              <w:spacing w:after="0"/>
              <w:rPr>
                <w:sz w:val="20"/>
                <w:szCs w:val="20"/>
                <w:color w:val="auto"/>
              </w:rPr>
            </w:pPr>
            <w:r>
              <w:rPr>
                <w:rFonts w:ascii="Arial" w:cs="Arial" w:eastAsia="Arial" w:hAnsi="Arial"/>
                <w:sz w:val="18"/>
                <w:szCs w:val="18"/>
                <w:color w:val="auto"/>
              </w:rPr>
              <w:t>Determination of Stockholders of Record</w:t>
            </w: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2.6</w:t>
            </w:r>
          </w:p>
        </w:tc>
        <w:tc>
          <w:tcPr>
            <w:tcW w:w="6880" w:type="dxa"/>
            <w:vAlign w:val="bottom"/>
          </w:tcPr>
          <w:p>
            <w:pPr>
              <w:ind w:left="60"/>
              <w:spacing w:after="0"/>
              <w:rPr>
                <w:sz w:val="20"/>
                <w:szCs w:val="20"/>
                <w:color w:val="auto"/>
              </w:rPr>
            </w:pPr>
            <w:r>
              <w:rPr>
                <w:rFonts w:ascii="Arial" w:cs="Arial" w:eastAsia="Arial" w:hAnsi="Arial"/>
                <w:sz w:val="18"/>
                <w:szCs w:val="18"/>
                <w:color w:val="auto"/>
              </w:rPr>
              <w:t>Quorum; Adjourned Meetings</w:t>
            </w: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2.7</w:t>
            </w:r>
          </w:p>
        </w:tc>
        <w:tc>
          <w:tcPr>
            <w:tcW w:w="6880" w:type="dxa"/>
            <w:vAlign w:val="bottom"/>
          </w:tcPr>
          <w:p>
            <w:pPr>
              <w:ind w:left="60"/>
              <w:spacing w:after="0"/>
              <w:rPr>
                <w:sz w:val="20"/>
                <w:szCs w:val="20"/>
                <w:color w:val="auto"/>
              </w:rPr>
            </w:pPr>
            <w:r>
              <w:rPr>
                <w:rFonts w:ascii="Arial" w:cs="Arial" w:eastAsia="Arial" w:hAnsi="Arial"/>
                <w:sz w:val="18"/>
                <w:szCs w:val="18"/>
                <w:color w:val="auto"/>
              </w:rPr>
              <w:t>Voting</w:t>
            </w: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2.8</w:t>
            </w:r>
          </w:p>
        </w:tc>
        <w:tc>
          <w:tcPr>
            <w:tcW w:w="6880" w:type="dxa"/>
            <w:vAlign w:val="bottom"/>
          </w:tcPr>
          <w:p>
            <w:pPr>
              <w:ind w:left="60"/>
              <w:spacing w:after="0"/>
              <w:rPr>
                <w:sz w:val="20"/>
                <w:szCs w:val="20"/>
                <w:color w:val="auto"/>
              </w:rPr>
            </w:pPr>
            <w:r>
              <w:rPr>
                <w:rFonts w:ascii="Arial" w:cs="Arial" w:eastAsia="Arial" w:hAnsi="Arial"/>
                <w:sz w:val="18"/>
                <w:szCs w:val="18"/>
                <w:color w:val="auto"/>
              </w:rPr>
              <w:t>Proxies</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2.9</w:t>
            </w:r>
          </w:p>
        </w:tc>
        <w:tc>
          <w:tcPr>
            <w:tcW w:w="6880" w:type="dxa"/>
            <w:vAlign w:val="bottom"/>
          </w:tcPr>
          <w:p>
            <w:pPr>
              <w:ind w:left="60"/>
              <w:spacing w:after="0"/>
              <w:rPr>
                <w:sz w:val="20"/>
                <w:szCs w:val="20"/>
                <w:color w:val="auto"/>
              </w:rPr>
            </w:pPr>
            <w:r>
              <w:rPr>
                <w:rFonts w:ascii="Arial" w:cs="Arial" w:eastAsia="Arial" w:hAnsi="Arial"/>
                <w:sz w:val="18"/>
                <w:szCs w:val="18"/>
                <w:color w:val="auto"/>
              </w:rPr>
              <w:t>No Action Without A Meeting</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2.10</w:t>
            </w:r>
          </w:p>
        </w:tc>
        <w:tc>
          <w:tcPr>
            <w:tcW w:w="6880" w:type="dxa"/>
            <w:vAlign w:val="bottom"/>
          </w:tcPr>
          <w:p>
            <w:pPr>
              <w:ind w:left="60"/>
              <w:spacing w:after="0"/>
              <w:rPr>
                <w:sz w:val="20"/>
                <w:szCs w:val="20"/>
                <w:color w:val="auto"/>
              </w:rPr>
            </w:pPr>
            <w:r>
              <w:rPr>
                <w:rFonts w:ascii="Arial" w:cs="Arial" w:eastAsia="Arial" w:hAnsi="Arial"/>
                <w:sz w:val="18"/>
                <w:szCs w:val="18"/>
                <w:color w:val="auto"/>
              </w:rPr>
              <w:t>Organization</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2.11</w:t>
            </w:r>
          </w:p>
        </w:tc>
        <w:tc>
          <w:tcPr>
            <w:tcW w:w="6880" w:type="dxa"/>
            <w:vAlign w:val="bottom"/>
          </w:tcPr>
          <w:p>
            <w:pPr>
              <w:ind w:left="60"/>
              <w:spacing w:after="0"/>
              <w:rPr>
                <w:sz w:val="20"/>
                <w:szCs w:val="20"/>
                <w:color w:val="auto"/>
              </w:rPr>
            </w:pPr>
            <w:r>
              <w:rPr>
                <w:rFonts w:ascii="Arial" w:cs="Arial" w:eastAsia="Arial" w:hAnsi="Arial"/>
                <w:sz w:val="18"/>
                <w:szCs w:val="18"/>
                <w:color w:val="auto"/>
              </w:rPr>
              <w:t>Consent to Meetings</w:t>
            </w: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2.12</w:t>
            </w:r>
          </w:p>
        </w:tc>
        <w:tc>
          <w:tcPr>
            <w:tcW w:w="6880" w:type="dxa"/>
            <w:vAlign w:val="bottom"/>
          </w:tcPr>
          <w:p>
            <w:pPr>
              <w:ind w:left="60"/>
              <w:spacing w:after="0"/>
              <w:rPr>
                <w:sz w:val="20"/>
                <w:szCs w:val="20"/>
                <w:color w:val="auto"/>
              </w:rPr>
            </w:pPr>
            <w:r>
              <w:rPr>
                <w:rFonts w:ascii="Arial" w:cs="Arial" w:eastAsia="Arial" w:hAnsi="Arial"/>
                <w:sz w:val="18"/>
                <w:szCs w:val="18"/>
                <w:color w:val="auto"/>
              </w:rPr>
              <w:t>Director Nominations and Business Conducted at Meetings of Stockholders</w:t>
            </w: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2.13</w:t>
            </w:r>
          </w:p>
        </w:tc>
        <w:tc>
          <w:tcPr>
            <w:tcW w:w="6880" w:type="dxa"/>
            <w:vAlign w:val="bottom"/>
          </w:tcPr>
          <w:p>
            <w:pPr>
              <w:ind w:left="60"/>
              <w:spacing w:after="0"/>
              <w:rPr>
                <w:sz w:val="20"/>
                <w:szCs w:val="20"/>
                <w:color w:val="auto"/>
              </w:rPr>
            </w:pPr>
            <w:r>
              <w:rPr>
                <w:rFonts w:ascii="Arial" w:cs="Arial" w:eastAsia="Arial" w:hAnsi="Arial"/>
                <w:sz w:val="18"/>
                <w:szCs w:val="18"/>
                <w:color w:val="auto"/>
              </w:rPr>
              <w:t>Advance Notice of Director Nominations and Stockholder Proposals by Stockholders</w:t>
            </w: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2.14</w:t>
            </w:r>
          </w:p>
        </w:tc>
        <w:tc>
          <w:tcPr>
            <w:tcW w:w="6880" w:type="dxa"/>
            <w:vAlign w:val="bottom"/>
          </w:tcPr>
          <w:p>
            <w:pPr>
              <w:ind w:left="60"/>
              <w:spacing w:after="0"/>
              <w:rPr>
                <w:sz w:val="20"/>
                <w:szCs w:val="20"/>
                <w:color w:val="auto"/>
              </w:rPr>
            </w:pPr>
            <w:r>
              <w:rPr>
                <w:rFonts w:ascii="Arial" w:cs="Arial" w:eastAsia="Arial" w:hAnsi="Arial"/>
                <w:sz w:val="18"/>
                <w:szCs w:val="18"/>
                <w:color w:val="auto"/>
              </w:rPr>
              <w:t>Meetings Through Electronic Communications</w:t>
            </w: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594"/>
        </w:trPr>
        <w:tc>
          <w:tcPr>
            <w:tcW w:w="1260" w:type="dxa"/>
            <w:vAlign w:val="bottom"/>
          </w:tcPr>
          <w:p>
            <w:pPr>
              <w:spacing w:after="0"/>
              <w:rPr>
                <w:sz w:val="20"/>
                <w:szCs w:val="20"/>
                <w:color w:val="auto"/>
              </w:rPr>
            </w:pPr>
            <w:r>
              <w:rPr>
                <w:rFonts w:ascii="Arial" w:cs="Arial" w:eastAsia="Arial" w:hAnsi="Arial"/>
                <w:sz w:val="18"/>
                <w:szCs w:val="18"/>
                <w:color w:val="auto"/>
              </w:rPr>
              <w:t>Article III</w:t>
            </w:r>
          </w:p>
        </w:tc>
        <w:tc>
          <w:tcPr>
            <w:tcW w:w="6880" w:type="dxa"/>
            <w:vAlign w:val="bottom"/>
          </w:tcPr>
          <w:p>
            <w:pPr>
              <w:ind w:left="60"/>
              <w:spacing w:after="0"/>
              <w:rPr>
                <w:sz w:val="20"/>
                <w:szCs w:val="20"/>
                <w:color w:val="auto"/>
              </w:rPr>
            </w:pPr>
            <w:r>
              <w:rPr>
                <w:rFonts w:ascii="Arial" w:cs="Arial" w:eastAsia="Arial" w:hAnsi="Arial"/>
                <w:sz w:val="18"/>
                <w:szCs w:val="18"/>
                <w:color w:val="auto"/>
              </w:rPr>
              <w:t>DIRECTORS</w:t>
            </w: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3.1</w:t>
            </w:r>
          </w:p>
        </w:tc>
        <w:tc>
          <w:tcPr>
            <w:tcW w:w="6880" w:type="dxa"/>
            <w:vAlign w:val="bottom"/>
          </w:tcPr>
          <w:p>
            <w:pPr>
              <w:ind w:left="60"/>
              <w:spacing w:after="0"/>
              <w:rPr>
                <w:sz w:val="20"/>
                <w:szCs w:val="20"/>
                <w:color w:val="auto"/>
              </w:rPr>
            </w:pPr>
            <w:r>
              <w:rPr>
                <w:rFonts w:ascii="Arial" w:cs="Arial" w:eastAsia="Arial" w:hAnsi="Arial"/>
                <w:sz w:val="18"/>
                <w:szCs w:val="18"/>
                <w:color w:val="auto"/>
              </w:rPr>
              <w:t>General Powers; Performance of Duties</w:t>
            </w: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3.2</w:t>
            </w:r>
          </w:p>
        </w:tc>
        <w:tc>
          <w:tcPr>
            <w:tcW w:w="6880" w:type="dxa"/>
            <w:vAlign w:val="bottom"/>
          </w:tcPr>
          <w:p>
            <w:pPr>
              <w:ind w:left="60"/>
              <w:spacing w:after="0"/>
              <w:rPr>
                <w:sz w:val="20"/>
                <w:szCs w:val="20"/>
                <w:color w:val="auto"/>
              </w:rPr>
            </w:pPr>
            <w:r>
              <w:rPr>
                <w:rFonts w:ascii="Arial" w:cs="Arial" w:eastAsia="Arial" w:hAnsi="Arial"/>
                <w:sz w:val="18"/>
                <w:szCs w:val="18"/>
                <w:color w:val="auto"/>
              </w:rPr>
              <w:t>Number, Tenure, and Qualifications</w:t>
            </w: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3.3</w:t>
            </w:r>
          </w:p>
        </w:tc>
        <w:tc>
          <w:tcPr>
            <w:tcW w:w="6880" w:type="dxa"/>
            <w:vAlign w:val="bottom"/>
          </w:tcPr>
          <w:p>
            <w:pPr>
              <w:ind w:left="60"/>
              <w:spacing w:after="0"/>
              <w:rPr>
                <w:sz w:val="20"/>
                <w:szCs w:val="20"/>
                <w:color w:val="auto"/>
              </w:rPr>
            </w:pPr>
            <w:r>
              <w:rPr>
                <w:rFonts w:ascii="Arial" w:cs="Arial" w:eastAsia="Arial" w:hAnsi="Arial"/>
                <w:sz w:val="18"/>
                <w:szCs w:val="18"/>
                <w:color w:val="auto"/>
              </w:rPr>
              <w:t>Chairman of the Board</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3.4</w:t>
            </w:r>
          </w:p>
        </w:tc>
        <w:tc>
          <w:tcPr>
            <w:tcW w:w="6880" w:type="dxa"/>
            <w:vAlign w:val="bottom"/>
          </w:tcPr>
          <w:p>
            <w:pPr>
              <w:ind w:left="60"/>
              <w:spacing w:after="0"/>
              <w:rPr>
                <w:sz w:val="20"/>
                <w:szCs w:val="20"/>
                <w:color w:val="auto"/>
              </w:rPr>
            </w:pPr>
            <w:r>
              <w:rPr>
                <w:rFonts w:ascii="Arial" w:cs="Arial" w:eastAsia="Arial" w:hAnsi="Arial"/>
                <w:sz w:val="18"/>
                <w:szCs w:val="18"/>
                <w:color w:val="auto"/>
              </w:rPr>
              <w:t>Vice Chairman of the Board</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3.5</w:t>
            </w:r>
          </w:p>
        </w:tc>
        <w:tc>
          <w:tcPr>
            <w:tcW w:w="6880" w:type="dxa"/>
            <w:vAlign w:val="bottom"/>
          </w:tcPr>
          <w:p>
            <w:pPr>
              <w:ind w:left="60"/>
              <w:spacing w:after="0"/>
              <w:rPr>
                <w:sz w:val="20"/>
                <w:szCs w:val="20"/>
                <w:color w:val="auto"/>
              </w:rPr>
            </w:pPr>
            <w:r>
              <w:rPr>
                <w:rFonts w:ascii="Arial" w:cs="Arial" w:eastAsia="Arial" w:hAnsi="Arial"/>
                <w:sz w:val="18"/>
                <w:szCs w:val="18"/>
                <w:color w:val="auto"/>
              </w:rPr>
              <w:t>Classification and Elections</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3.6</w:t>
            </w:r>
          </w:p>
        </w:tc>
        <w:tc>
          <w:tcPr>
            <w:tcW w:w="6880" w:type="dxa"/>
            <w:vAlign w:val="bottom"/>
          </w:tcPr>
          <w:p>
            <w:pPr>
              <w:ind w:left="60"/>
              <w:spacing w:after="0"/>
              <w:rPr>
                <w:sz w:val="20"/>
                <w:szCs w:val="20"/>
                <w:color w:val="auto"/>
              </w:rPr>
            </w:pPr>
            <w:r>
              <w:rPr>
                <w:rFonts w:ascii="Arial" w:cs="Arial" w:eastAsia="Arial" w:hAnsi="Arial"/>
                <w:sz w:val="18"/>
                <w:szCs w:val="18"/>
                <w:color w:val="auto"/>
              </w:rPr>
              <w:t>Removal and Resignation of Directors</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3.7</w:t>
            </w:r>
          </w:p>
        </w:tc>
        <w:tc>
          <w:tcPr>
            <w:tcW w:w="6880" w:type="dxa"/>
            <w:vAlign w:val="bottom"/>
          </w:tcPr>
          <w:p>
            <w:pPr>
              <w:ind w:left="60"/>
              <w:spacing w:after="0"/>
              <w:rPr>
                <w:sz w:val="20"/>
                <w:szCs w:val="20"/>
                <w:color w:val="auto"/>
              </w:rPr>
            </w:pPr>
            <w:r>
              <w:rPr>
                <w:rFonts w:ascii="Arial" w:cs="Arial" w:eastAsia="Arial" w:hAnsi="Arial"/>
                <w:sz w:val="18"/>
                <w:szCs w:val="18"/>
                <w:color w:val="auto"/>
              </w:rPr>
              <w:t>Vacancies; Newly Created Directorships</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3.8</w:t>
            </w:r>
          </w:p>
        </w:tc>
        <w:tc>
          <w:tcPr>
            <w:tcW w:w="6880" w:type="dxa"/>
            <w:vAlign w:val="bottom"/>
          </w:tcPr>
          <w:p>
            <w:pPr>
              <w:ind w:left="60"/>
              <w:spacing w:after="0"/>
              <w:rPr>
                <w:sz w:val="20"/>
                <w:szCs w:val="20"/>
                <w:color w:val="auto"/>
              </w:rPr>
            </w:pPr>
            <w:r>
              <w:rPr>
                <w:rFonts w:ascii="Arial" w:cs="Arial" w:eastAsia="Arial" w:hAnsi="Arial"/>
                <w:sz w:val="18"/>
                <w:szCs w:val="18"/>
                <w:color w:val="auto"/>
              </w:rPr>
              <w:t>Annual and Regular Meetings</w:t>
            </w: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3.9</w:t>
            </w:r>
          </w:p>
        </w:tc>
        <w:tc>
          <w:tcPr>
            <w:tcW w:w="6880" w:type="dxa"/>
            <w:vAlign w:val="bottom"/>
          </w:tcPr>
          <w:p>
            <w:pPr>
              <w:ind w:left="60"/>
              <w:spacing w:after="0"/>
              <w:rPr>
                <w:sz w:val="20"/>
                <w:szCs w:val="20"/>
                <w:color w:val="auto"/>
              </w:rPr>
            </w:pPr>
            <w:r>
              <w:rPr>
                <w:rFonts w:ascii="Arial" w:cs="Arial" w:eastAsia="Arial" w:hAnsi="Arial"/>
                <w:sz w:val="18"/>
                <w:szCs w:val="18"/>
                <w:color w:val="auto"/>
              </w:rPr>
              <w:t>Special Meetings</w:t>
            </w: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3.10</w:t>
            </w:r>
          </w:p>
        </w:tc>
        <w:tc>
          <w:tcPr>
            <w:tcW w:w="6880" w:type="dxa"/>
            <w:vAlign w:val="bottom"/>
          </w:tcPr>
          <w:p>
            <w:pPr>
              <w:ind w:left="60"/>
              <w:spacing w:after="0"/>
              <w:rPr>
                <w:sz w:val="20"/>
                <w:szCs w:val="20"/>
                <w:color w:val="auto"/>
              </w:rPr>
            </w:pPr>
            <w:r>
              <w:rPr>
                <w:rFonts w:ascii="Arial" w:cs="Arial" w:eastAsia="Arial" w:hAnsi="Arial"/>
                <w:sz w:val="18"/>
                <w:szCs w:val="18"/>
                <w:color w:val="auto"/>
              </w:rPr>
              <w:t>Place of Meetings</w:t>
            </w: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3.11</w:t>
            </w:r>
          </w:p>
        </w:tc>
        <w:tc>
          <w:tcPr>
            <w:tcW w:w="6880" w:type="dxa"/>
            <w:vAlign w:val="bottom"/>
          </w:tcPr>
          <w:p>
            <w:pPr>
              <w:ind w:left="60"/>
              <w:spacing w:after="0"/>
              <w:rPr>
                <w:sz w:val="20"/>
                <w:szCs w:val="20"/>
                <w:color w:val="auto"/>
              </w:rPr>
            </w:pPr>
            <w:r>
              <w:rPr>
                <w:rFonts w:ascii="Arial" w:cs="Arial" w:eastAsia="Arial" w:hAnsi="Arial"/>
                <w:sz w:val="18"/>
                <w:szCs w:val="18"/>
                <w:color w:val="auto"/>
              </w:rPr>
              <w:t>Notice of Meetings</w:t>
            </w: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3.12</w:t>
            </w:r>
          </w:p>
        </w:tc>
        <w:tc>
          <w:tcPr>
            <w:tcW w:w="6880" w:type="dxa"/>
            <w:vAlign w:val="bottom"/>
          </w:tcPr>
          <w:p>
            <w:pPr>
              <w:ind w:left="60"/>
              <w:spacing w:after="0"/>
              <w:rPr>
                <w:sz w:val="20"/>
                <w:szCs w:val="20"/>
                <w:color w:val="auto"/>
              </w:rPr>
            </w:pPr>
            <w:r>
              <w:rPr>
                <w:rFonts w:ascii="Arial" w:cs="Arial" w:eastAsia="Arial" w:hAnsi="Arial"/>
                <w:sz w:val="18"/>
                <w:szCs w:val="18"/>
                <w:color w:val="auto"/>
              </w:rPr>
              <w:t>Quorum; Adjourned Meetings</w:t>
            </w: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3.13</w:t>
            </w:r>
          </w:p>
        </w:tc>
        <w:tc>
          <w:tcPr>
            <w:tcW w:w="6880" w:type="dxa"/>
            <w:vAlign w:val="bottom"/>
          </w:tcPr>
          <w:p>
            <w:pPr>
              <w:ind w:left="60"/>
              <w:spacing w:after="0"/>
              <w:rPr>
                <w:sz w:val="20"/>
                <w:szCs w:val="20"/>
                <w:color w:val="auto"/>
              </w:rPr>
            </w:pPr>
            <w:r>
              <w:rPr>
                <w:rFonts w:ascii="Arial" w:cs="Arial" w:eastAsia="Arial" w:hAnsi="Arial"/>
                <w:sz w:val="18"/>
                <w:szCs w:val="18"/>
                <w:color w:val="auto"/>
              </w:rPr>
              <w:t>Manner of Acting</w:t>
            </w: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3.14</w:t>
            </w:r>
          </w:p>
        </w:tc>
        <w:tc>
          <w:tcPr>
            <w:tcW w:w="6880" w:type="dxa"/>
            <w:vAlign w:val="bottom"/>
          </w:tcPr>
          <w:p>
            <w:pPr>
              <w:ind w:left="60"/>
              <w:spacing w:after="0"/>
              <w:rPr>
                <w:sz w:val="20"/>
                <w:szCs w:val="20"/>
                <w:color w:val="auto"/>
              </w:rPr>
            </w:pPr>
            <w:r>
              <w:rPr>
                <w:rFonts w:ascii="Arial" w:cs="Arial" w:eastAsia="Arial" w:hAnsi="Arial"/>
                <w:sz w:val="18"/>
                <w:szCs w:val="18"/>
                <w:color w:val="auto"/>
              </w:rPr>
              <w:t>Super-majority Approval</w:t>
            </w: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3.15</w:t>
            </w:r>
          </w:p>
        </w:tc>
        <w:tc>
          <w:tcPr>
            <w:tcW w:w="6880" w:type="dxa"/>
            <w:vAlign w:val="bottom"/>
          </w:tcPr>
          <w:p>
            <w:pPr>
              <w:ind w:left="60"/>
              <w:spacing w:after="0"/>
              <w:rPr>
                <w:sz w:val="20"/>
                <w:szCs w:val="20"/>
                <w:color w:val="auto"/>
              </w:rPr>
            </w:pPr>
            <w:r>
              <w:rPr>
                <w:rFonts w:ascii="Arial" w:cs="Arial" w:eastAsia="Arial" w:hAnsi="Arial"/>
                <w:sz w:val="18"/>
                <w:szCs w:val="18"/>
                <w:color w:val="auto"/>
              </w:rPr>
              <w:t>Meetings Through Electronic Communications</w:t>
            </w: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3.16</w:t>
            </w:r>
          </w:p>
        </w:tc>
        <w:tc>
          <w:tcPr>
            <w:tcW w:w="6880" w:type="dxa"/>
            <w:vAlign w:val="bottom"/>
          </w:tcPr>
          <w:p>
            <w:pPr>
              <w:ind w:left="60"/>
              <w:spacing w:after="0"/>
              <w:rPr>
                <w:sz w:val="20"/>
                <w:szCs w:val="20"/>
                <w:color w:val="auto"/>
              </w:rPr>
            </w:pPr>
            <w:r>
              <w:rPr>
                <w:rFonts w:ascii="Arial" w:cs="Arial" w:eastAsia="Arial" w:hAnsi="Arial"/>
                <w:sz w:val="18"/>
                <w:szCs w:val="18"/>
                <w:color w:val="auto"/>
              </w:rPr>
              <w:t>Action Without Meeting</w:t>
            </w: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3.17</w:t>
            </w:r>
          </w:p>
        </w:tc>
        <w:tc>
          <w:tcPr>
            <w:tcW w:w="6880" w:type="dxa"/>
            <w:vAlign w:val="bottom"/>
          </w:tcPr>
          <w:p>
            <w:pPr>
              <w:ind w:left="60"/>
              <w:spacing w:after="0"/>
              <w:rPr>
                <w:sz w:val="20"/>
                <w:szCs w:val="20"/>
                <w:color w:val="auto"/>
              </w:rPr>
            </w:pPr>
            <w:r>
              <w:rPr>
                <w:rFonts w:ascii="Arial" w:cs="Arial" w:eastAsia="Arial" w:hAnsi="Arial"/>
                <w:sz w:val="18"/>
                <w:szCs w:val="18"/>
                <w:color w:val="auto"/>
              </w:rPr>
              <w:t>Powers and Duties</w:t>
            </w: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3.18</w:t>
            </w:r>
          </w:p>
        </w:tc>
        <w:tc>
          <w:tcPr>
            <w:tcW w:w="6880" w:type="dxa"/>
            <w:vAlign w:val="bottom"/>
          </w:tcPr>
          <w:p>
            <w:pPr>
              <w:ind w:left="60"/>
              <w:spacing w:after="0"/>
              <w:rPr>
                <w:sz w:val="20"/>
                <w:szCs w:val="20"/>
                <w:color w:val="auto"/>
              </w:rPr>
            </w:pPr>
            <w:r>
              <w:rPr>
                <w:rFonts w:ascii="Arial" w:cs="Arial" w:eastAsia="Arial" w:hAnsi="Arial"/>
                <w:sz w:val="18"/>
                <w:szCs w:val="18"/>
                <w:color w:val="auto"/>
              </w:rPr>
              <w:t>Compensation</w:t>
            </w: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3.19</w:t>
            </w:r>
          </w:p>
        </w:tc>
        <w:tc>
          <w:tcPr>
            <w:tcW w:w="6880" w:type="dxa"/>
            <w:vAlign w:val="bottom"/>
          </w:tcPr>
          <w:p>
            <w:pPr>
              <w:ind w:left="60"/>
              <w:spacing w:after="0"/>
              <w:rPr>
                <w:sz w:val="20"/>
                <w:szCs w:val="20"/>
                <w:color w:val="auto"/>
              </w:rPr>
            </w:pPr>
            <w:r>
              <w:rPr>
                <w:rFonts w:ascii="Arial" w:cs="Arial" w:eastAsia="Arial" w:hAnsi="Arial"/>
                <w:sz w:val="18"/>
                <w:szCs w:val="18"/>
                <w:color w:val="auto"/>
              </w:rPr>
              <w:t>Organization</w:t>
            </w: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9440"/>
          </w:cols>
          <w:pgMar w:left="1440" w:top="116" w:right="1019" w:bottom="1440" w:gutter="0" w:footer="0" w:header="0"/>
        </w:sectPr>
      </w:pPr>
    </w:p>
    <w:bookmarkStart w:id="52" w:name="page53"/>
    <w:bookmarkEnd w:id="52"/>
    <w:p>
      <w:pPr>
        <w:jc w:val="center"/>
        <w:ind w:right="300"/>
        <w:spacing w:after="0"/>
        <w:rPr>
          <w:sz w:val="20"/>
          <w:szCs w:val="20"/>
          <w:color w:val="auto"/>
        </w:rPr>
      </w:pPr>
      <w:r>
        <w:rPr>
          <w:rFonts w:ascii="Arial" w:cs="Arial" w:eastAsia="Arial" w:hAnsi="Arial"/>
          <w:sz w:val="20"/>
          <w:szCs w:val="20"/>
          <w:b w:val="1"/>
          <w:bCs w:val="1"/>
          <w:color w:val="auto"/>
        </w:rPr>
        <w:t>TABLE OF CONTENTS</w:t>
      </w:r>
    </w:p>
    <w:p>
      <w:pPr>
        <w:spacing w:after="0" w:line="21"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Article IV</w:t>
            </w:r>
          </w:p>
        </w:tc>
        <w:tc>
          <w:tcPr>
            <w:tcW w:w="6600" w:type="dxa"/>
            <w:vAlign w:val="bottom"/>
          </w:tcPr>
          <w:p>
            <w:pPr>
              <w:ind w:left="60"/>
              <w:spacing w:after="0"/>
              <w:rPr>
                <w:sz w:val="20"/>
                <w:szCs w:val="20"/>
                <w:color w:val="auto"/>
              </w:rPr>
            </w:pPr>
            <w:r>
              <w:rPr>
                <w:rFonts w:ascii="Arial" w:cs="Arial" w:eastAsia="Arial" w:hAnsi="Arial"/>
                <w:sz w:val="18"/>
                <w:szCs w:val="18"/>
                <w:color w:val="auto"/>
              </w:rPr>
              <w:t>OFFICERS</w:t>
            </w:r>
          </w:p>
        </w:tc>
        <w:tc>
          <w:tcPr>
            <w:tcW w:w="1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4.1</w:t>
            </w:r>
          </w:p>
        </w:tc>
        <w:tc>
          <w:tcPr>
            <w:tcW w:w="6600" w:type="dxa"/>
            <w:vAlign w:val="bottom"/>
          </w:tcPr>
          <w:p>
            <w:pPr>
              <w:ind w:left="60"/>
              <w:spacing w:after="0"/>
              <w:rPr>
                <w:sz w:val="20"/>
                <w:szCs w:val="20"/>
                <w:color w:val="auto"/>
              </w:rPr>
            </w:pPr>
            <w:r>
              <w:rPr>
                <w:rFonts w:ascii="Arial" w:cs="Arial" w:eastAsia="Arial" w:hAnsi="Arial"/>
                <w:sz w:val="18"/>
                <w:szCs w:val="18"/>
                <w:color w:val="auto"/>
              </w:rPr>
              <w:t>Election</w:t>
            </w:r>
          </w:p>
        </w:tc>
        <w:tc>
          <w:tcPr>
            <w:tcW w:w="1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4.2</w:t>
            </w:r>
          </w:p>
        </w:tc>
        <w:tc>
          <w:tcPr>
            <w:tcW w:w="6600" w:type="dxa"/>
            <w:vAlign w:val="bottom"/>
          </w:tcPr>
          <w:p>
            <w:pPr>
              <w:ind w:left="60"/>
              <w:spacing w:after="0"/>
              <w:rPr>
                <w:sz w:val="20"/>
                <w:szCs w:val="20"/>
                <w:color w:val="auto"/>
              </w:rPr>
            </w:pPr>
            <w:r>
              <w:rPr>
                <w:rFonts w:ascii="Arial" w:cs="Arial" w:eastAsia="Arial" w:hAnsi="Arial"/>
                <w:sz w:val="18"/>
                <w:szCs w:val="18"/>
                <w:color w:val="auto"/>
              </w:rPr>
              <w:t>Removal; Resignation</w:t>
            </w:r>
          </w:p>
        </w:tc>
        <w:tc>
          <w:tcPr>
            <w:tcW w:w="1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4.3</w:t>
            </w:r>
          </w:p>
        </w:tc>
        <w:tc>
          <w:tcPr>
            <w:tcW w:w="6600" w:type="dxa"/>
            <w:vAlign w:val="bottom"/>
          </w:tcPr>
          <w:p>
            <w:pPr>
              <w:ind w:left="60"/>
              <w:spacing w:after="0"/>
              <w:rPr>
                <w:sz w:val="20"/>
                <w:szCs w:val="20"/>
                <w:color w:val="auto"/>
              </w:rPr>
            </w:pPr>
            <w:r>
              <w:rPr>
                <w:rFonts w:ascii="Arial" w:cs="Arial" w:eastAsia="Arial" w:hAnsi="Arial"/>
                <w:sz w:val="18"/>
                <w:szCs w:val="18"/>
                <w:color w:val="auto"/>
              </w:rPr>
              <w:t>Vacancies</w:t>
            </w:r>
          </w:p>
        </w:tc>
        <w:tc>
          <w:tcPr>
            <w:tcW w:w="1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4.4</w:t>
            </w:r>
          </w:p>
        </w:tc>
        <w:tc>
          <w:tcPr>
            <w:tcW w:w="6600" w:type="dxa"/>
            <w:vAlign w:val="bottom"/>
          </w:tcPr>
          <w:p>
            <w:pPr>
              <w:ind w:left="60"/>
              <w:spacing w:after="0"/>
              <w:rPr>
                <w:sz w:val="20"/>
                <w:szCs w:val="20"/>
                <w:color w:val="auto"/>
              </w:rPr>
            </w:pPr>
            <w:r>
              <w:rPr>
                <w:rFonts w:ascii="Arial" w:cs="Arial" w:eastAsia="Arial" w:hAnsi="Arial"/>
                <w:sz w:val="18"/>
                <w:szCs w:val="18"/>
                <w:color w:val="auto"/>
              </w:rPr>
              <w:t>Chief Executive Officer</w:t>
            </w:r>
          </w:p>
        </w:tc>
        <w:tc>
          <w:tcPr>
            <w:tcW w:w="1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4.5</w:t>
            </w:r>
          </w:p>
        </w:tc>
        <w:tc>
          <w:tcPr>
            <w:tcW w:w="6600" w:type="dxa"/>
            <w:vAlign w:val="bottom"/>
          </w:tcPr>
          <w:p>
            <w:pPr>
              <w:ind w:left="60"/>
              <w:spacing w:after="0"/>
              <w:rPr>
                <w:sz w:val="20"/>
                <w:szCs w:val="20"/>
                <w:color w:val="auto"/>
              </w:rPr>
            </w:pPr>
            <w:r>
              <w:rPr>
                <w:rFonts w:ascii="Arial" w:cs="Arial" w:eastAsia="Arial" w:hAnsi="Arial"/>
                <w:sz w:val="18"/>
                <w:szCs w:val="18"/>
                <w:color w:val="auto"/>
              </w:rPr>
              <w:t>President</w:t>
            </w:r>
          </w:p>
        </w:tc>
        <w:tc>
          <w:tcPr>
            <w:tcW w:w="1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4.6</w:t>
            </w:r>
          </w:p>
        </w:tc>
        <w:tc>
          <w:tcPr>
            <w:tcW w:w="6600" w:type="dxa"/>
            <w:vAlign w:val="bottom"/>
          </w:tcPr>
          <w:p>
            <w:pPr>
              <w:ind w:left="60"/>
              <w:spacing w:after="0"/>
              <w:rPr>
                <w:sz w:val="20"/>
                <w:szCs w:val="20"/>
                <w:color w:val="auto"/>
              </w:rPr>
            </w:pPr>
            <w:r>
              <w:rPr>
                <w:rFonts w:ascii="Arial" w:cs="Arial" w:eastAsia="Arial" w:hAnsi="Arial"/>
                <w:sz w:val="18"/>
                <w:szCs w:val="18"/>
                <w:color w:val="auto"/>
              </w:rPr>
              <w:t>Vice Presidents</w:t>
            </w:r>
          </w:p>
        </w:tc>
        <w:tc>
          <w:tcPr>
            <w:tcW w:w="1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4.7</w:t>
            </w:r>
          </w:p>
        </w:tc>
        <w:tc>
          <w:tcPr>
            <w:tcW w:w="6600" w:type="dxa"/>
            <w:vAlign w:val="bottom"/>
          </w:tcPr>
          <w:p>
            <w:pPr>
              <w:ind w:left="60"/>
              <w:spacing w:after="0"/>
              <w:rPr>
                <w:sz w:val="20"/>
                <w:szCs w:val="20"/>
                <w:color w:val="auto"/>
              </w:rPr>
            </w:pPr>
            <w:r>
              <w:rPr>
                <w:rFonts w:ascii="Arial" w:cs="Arial" w:eastAsia="Arial" w:hAnsi="Arial"/>
                <w:sz w:val="18"/>
                <w:szCs w:val="18"/>
                <w:color w:val="auto"/>
              </w:rPr>
              <w:t>Secretary</w:t>
            </w:r>
          </w:p>
        </w:tc>
        <w:tc>
          <w:tcPr>
            <w:tcW w:w="1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4.8</w:t>
            </w:r>
          </w:p>
        </w:tc>
        <w:tc>
          <w:tcPr>
            <w:tcW w:w="6600" w:type="dxa"/>
            <w:vAlign w:val="bottom"/>
          </w:tcPr>
          <w:p>
            <w:pPr>
              <w:ind w:left="60"/>
              <w:spacing w:after="0"/>
              <w:rPr>
                <w:sz w:val="20"/>
                <w:szCs w:val="20"/>
                <w:color w:val="auto"/>
              </w:rPr>
            </w:pPr>
            <w:r>
              <w:rPr>
                <w:rFonts w:ascii="Arial" w:cs="Arial" w:eastAsia="Arial" w:hAnsi="Arial"/>
                <w:sz w:val="18"/>
                <w:szCs w:val="18"/>
                <w:color w:val="auto"/>
              </w:rPr>
              <w:t>Assistant Secretaries</w:t>
            </w:r>
          </w:p>
        </w:tc>
        <w:tc>
          <w:tcPr>
            <w:tcW w:w="1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4.9</w:t>
            </w:r>
          </w:p>
        </w:tc>
        <w:tc>
          <w:tcPr>
            <w:tcW w:w="6600" w:type="dxa"/>
            <w:vAlign w:val="bottom"/>
          </w:tcPr>
          <w:p>
            <w:pPr>
              <w:ind w:left="60"/>
              <w:spacing w:after="0"/>
              <w:rPr>
                <w:sz w:val="20"/>
                <w:szCs w:val="20"/>
                <w:color w:val="auto"/>
              </w:rPr>
            </w:pPr>
            <w:r>
              <w:rPr>
                <w:rFonts w:ascii="Arial" w:cs="Arial" w:eastAsia="Arial" w:hAnsi="Arial"/>
                <w:sz w:val="18"/>
                <w:szCs w:val="18"/>
                <w:color w:val="auto"/>
              </w:rPr>
              <w:t>Treasurer</w:t>
            </w:r>
          </w:p>
        </w:tc>
        <w:tc>
          <w:tcPr>
            <w:tcW w:w="1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4.10</w:t>
            </w:r>
          </w:p>
        </w:tc>
        <w:tc>
          <w:tcPr>
            <w:tcW w:w="6600" w:type="dxa"/>
            <w:vAlign w:val="bottom"/>
          </w:tcPr>
          <w:p>
            <w:pPr>
              <w:ind w:left="60"/>
              <w:spacing w:after="0"/>
              <w:rPr>
                <w:sz w:val="20"/>
                <w:szCs w:val="20"/>
                <w:color w:val="auto"/>
              </w:rPr>
            </w:pPr>
            <w:r>
              <w:rPr>
                <w:rFonts w:ascii="Arial" w:cs="Arial" w:eastAsia="Arial" w:hAnsi="Arial"/>
                <w:sz w:val="18"/>
                <w:szCs w:val="18"/>
                <w:color w:val="auto"/>
              </w:rPr>
              <w:t>Assistant Treasurers</w:t>
            </w:r>
          </w:p>
        </w:tc>
        <w:tc>
          <w:tcPr>
            <w:tcW w:w="1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4.11</w:t>
            </w:r>
          </w:p>
        </w:tc>
        <w:tc>
          <w:tcPr>
            <w:tcW w:w="6600" w:type="dxa"/>
            <w:vAlign w:val="bottom"/>
          </w:tcPr>
          <w:p>
            <w:pPr>
              <w:ind w:left="60"/>
              <w:spacing w:after="0"/>
              <w:rPr>
                <w:sz w:val="20"/>
                <w:szCs w:val="20"/>
                <w:color w:val="auto"/>
              </w:rPr>
            </w:pPr>
            <w:r>
              <w:rPr>
                <w:rFonts w:ascii="Arial" w:cs="Arial" w:eastAsia="Arial" w:hAnsi="Arial"/>
                <w:sz w:val="18"/>
                <w:szCs w:val="18"/>
                <w:color w:val="auto"/>
              </w:rPr>
              <w:t>Execution of Negotiable Instruments, Deeds and Contracts</w:t>
            </w:r>
          </w:p>
        </w:tc>
        <w:tc>
          <w:tcPr>
            <w:tcW w:w="1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594"/>
        </w:trPr>
        <w:tc>
          <w:tcPr>
            <w:tcW w:w="1260" w:type="dxa"/>
            <w:vAlign w:val="bottom"/>
          </w:tcPr>
          <w:p>
            <w:pPr>
              <w:spacing w:after="0"/>
              <w:rPr>
                <w:sz w:val="20"/>
                <w:szCs w:val="20"/>
                <w:color w:val="auto"/>
              </w:rPr>
            </w:pPr>
            <w:r>
              <w:rPr>
                <w:rFonts w:ascii="Arial" w:cs="Arial" w:eastAsia="Arial" w:hAnsi="Arial"/>
                <w:sz w:val="18"/>
                <w:szCs w:val="18"/>
                <w:color w:val="auto"/>
              </w:rPr>
              <w:t>Article V</w:t>
            </w:r>
          </w:p>
        </w:tc>
        <w:tc>
          <w:tcPr>
            <w:tcW w:w="6600" w:type="dxa"/>
            <w:vAlign w:val="bottom"/>
          </w:tcPr>
          <w:p>
            <w:pPr>
              <w:ind w:left="60"/>
              <w:spacing w:after="0"/>
              <w:rPr>
                <w:sz w:val="20"/>
                <w:szCs w:val="20"/>
                <w:color w:val="auto"/>
              </w:rPr>
            </w:pPr>
            <w:r>
              <w:rPr>
                <w:rFonts w:ascii="Arial" w:cs="Arial" w:eastAsia="Arial" w:hAnsi="Arial"/>
                <w:sz w:val="18"/>
                <w:szCs w:val="18"/>
                <w:color w:val="auto"/>
              </w:rPr>
              <w:t>CAPITAL STOCK</w:t>
            </w:r>
          </w:p>
        </w:tc>
        <w:tc>
          <w:tcPr>
            <w:tcW w:w="1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5.1</w:t>
            </w:r>
          </w:p>
        </w:tc>
        <w:tc>
          <w:tcPr>
            <w:tcW w:w="6600" w:type="dxa"/>
            <w:vAlign w:val="bottom"/>
          </w:tcPr>
          <w:p>
            <w:pPr>
              <w:ind w:left="60"/>
              <w:spacing w:after="0"/>
              <w:rPr>
                <w:sz w:val="20"/>
                <w:szCs w:val="20"/>
                <w:color w:val="auto"/>
              </w:rPr>
            </w:pPr>
            <w:r>
              <w:rPr>
                <w:rFonts w:ascii="Arial" w:cs="Arial" w:eastAsia="Arial" w:hAnsi="Arial"/>
                <w:sz w:val="18"/>
                <w:szCs w:val="18"/>
                <w:color w:val="auto"/>
              </w:rPr>
              <w:t>Issuance</w:t>
            </w:r>
          </w:p>
        </w:tc>
        <w:tc>
          <w:tcPr>
            <w:tcW w:w="1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5.2</w:t>
            </w:r>
          </w:p>
        </w:tc>
        <w:tc>
          <w:tcPr>
            <w:tcW w:w="6600" w:type="dxa"/>
            <w:vAlign w:val="bottom"/>
          </w:tcPr>
          <w:p>
            <w:pPr>
              <w:ind w:left="60"/>
              <w:spacing w:after="0"/>
              <w:rPr>
                <w:sz w:val="20"/>
                <w:szCs w:val="20"/>
                <w:color w:val="auto"/>
              </w:rPr>
            </w:pPr>
            <w:r>
              <w:rPr>
                <w:rFonts w:ascii="Arial" w:cs="Arial" w:eastAsia="Arial" w:hAnsi="Arial"/>
                <w:sz w:val="18"/>
                <w:szCs w:val="18"/>
                <w:color w:val="auto"/>
              </w:rPr>
              <w:t>Stock Certificates and Uncertificated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5.3</w:t>
            </w:r>
          </w:p>
        </w:tc>
        <w:tc>
          <w:tcPr>
            <w:tcW w:w="6600" w:type="dxa"/>
            <w:vAlign w:val="bottom"/>
          </w:tcPr>
          <w:p>
            <w:pPr>
              <w:ind w:left="60"/>
              <w:spacing w:after="0"/>
              <w:rPr>
                <w:sz w:val="20"/>
                <w:szCs w:val="20"/>
                <w:color w:val="auto"/>
              </w:rPr>
            </w:pPr>
            <w:r>
              <w:rPr>
                <w:rFonts w:ascii="Arial" w:cs="Arial" w:eastAsia="Arial" w:hAnsi="Arial"/>
                <w:sz w:val="18"/>
                <w:szCs w:val="18"/>
                <w:color w:val="auto"/>
              </w:rPr>
              <w:t>Surrendered; Lost or Destroyed Certificates</w:t>
            </w:r>
          </w:p>
        </w:tc>
        <w:tc>
          <w:tcPr>
            <w:tcW w:w="1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5.4</w:t>
            </w:r>
          </w:p>
        </w:tc>
        <w:tc>
          <w:tcPr>
            <w:tcW w:w="6600" w:type="dxa"/>
            <w:vAlign w:val="bottom"/>
          </w:tcPr>
          <w:p>
            <w:pPr>
              <w:ind w:left="60"/>
              <w:spacing w:after="0"/>
              <w:rPr>
                <w:sz w:val="20"/>
                <w:szCs w:val="20"/>
                <w:color w:val="auto"/>
              </w:rPr>
            </w:pPr>
            <w:r>
              <w:rPr>
                <w:rFonts w:ascii="Arial" w:cs="Arial" w:eastAsia="Arial" w:hAnsi="Arial"/>
                <w:sz w:val="18"/>
                <w:szCs w:val="18"/>
                <w:color w:val="auto"/>
              </w:rPr>
              <w:t>Replacement Certificate</w:t>
            </w:r>
          </w:p>
        </w:tc>
        <w:tc>
          <w:tcPr>
            <w:tcW w:w="1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5.5</w:t>
            </w:r>
          </w:p>
        </w:tc>
        <w:tc>
          <w:tcPr>
            <w:tcW w:w="6600" w:type="dxa"/>
            <w:vAlign w:val="bottom"/>
          </w:tcPr>
          <w:p>
            <w:pPr>
              <w:ind w:left="60"/>
              <w:spacing w:after="0"/>
              <w:rPr>
                <w:sz w:val="20"/>
                <w:szCs w:val="20"/>
                <w:color w:val="auto"/>
              </w:rPr>
            </w:pPr>
            <w:r>
              <w:rPr>
                <w:rFonts w:ascii="Arial" w:cs="Arial" w:eastAsia="Arial" w:hAnsi="Arial"/>
                <w:sz w:val="18"/>
                <w:szCs w:val="18"/>
                <w:color w:val="auto"/>
              </w:rPr>
              <w:t>Transfer of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5.6</w:t>
            </w:r>
          </w:p>
        </w:tc>
        <w:tc>
          <w:tcPr>
            <w:tcW w:w="6600" w:type="dxa"/>
            <w:vAlign w:val="bottom"/>
          </w:tcPr>
          <w:p>
            <w:pPr>
              <w:ind w:left="60"/>
              <w:spacing w:after="0"/>
              <w:rPr>
                <w:sz w:val="20"/>
                <w:szCs w:val="20"/>
                <w:color w:val="auto"/>
              </w:rPr>
            </w:pPr>
            <w:r>
              <w:rPr>
                <w:rFonts w:ascii="Arial" w:cs="Arial" w:eastAsia="Arial" w:hAnsi="Arial"/>
                <w:sz w:val="18"/>
                <w:szCs w:val="18"/>
                <w:color w:val="auto"/>
              </w:rPr>
              <w:t>Transfer Agent; Registrars</w:t>
            </w:r>
          </w:p>
        </w:tc>
        <w:tc>
          <w:tcPr>
            <w:tcW w:w="1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5.7</w:t>
            </w:r>
          </w:p>
        </w:tc>
        <w:tc>
          <w:tcPr>
            <w:tcW w:w="6600" w:type="dxa"/>
            <w:vAlign w:val="bottom"/>
          </w:tcPr>
          <w:p>
            <w:pPr>
              <w:ind w:left="60"/>
              <w:spacing w:after="0"/>
              <w:rPr>
                <w:sz w:val="20"/>
                <w:szCs w:val="20"/>
                <w:color w:val="auto"/>
              </w:rPr>
            </w:pPr>
            <w:r>
              <w:rPr>
                <w:rFonts w:ascii="Arial" w:cs="Arial" w:eastAsia="Arial" w:hAnsi="Arial"/>
                <w:sz w:val="18"/>
                <w:szCs w:val="18"/>
                <w:color w:val="auto"/>
              </w:rPr>
              <w:t>Miscellaneous</w:t>
            </w:r>
          </w:p>
        </w:tc>
        <w:tc>
          <w:tcPr>
            <w:tcW w:w="1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5.8</w:t>
            </w:r>
          </w:p>
        </w:tc>
        <w:tc>
          <w:tcPr>
            <w:tcW w:w="6600" w:type="dxa"/>
            <w:vAlign w:val="bottom"/>
          </w:tcPr>
          <w:p>
            <w:pPr>
              <w:ind w:left="60"/>
              <w:spacing w:after="0"/>
              <w:rPr>
                <w:sz w:val="20"/>
                <w:szCs w:val="20"/>
                <w:color w:val="auto"/>
              </w:rPr>
            </w:pPr>
            <w:r>
              <w:rPr>
                <w:rFonts w:ascii="Arial" w:cs="Arial" w:eastAsia="Arial" w:hAnsi="Arial"/>
                <w:sz w:val="18"/>
                <w:szCs w:val="18"/>
                <w:color w:val="auto"/>
              </w:rPr>
              <w:t>Inapplicability of Controlling Interest Statutes</w:t>
            </w:r>
          </w:p>
        </w:tc>
        <w:tc>
          <w:tcPr>
            <w:tcW w:w="1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594"/>
        </w:trPr>
        <w:tc>
          <w:tcPr>
            <w:tcW w:w="1260" w:type="dxa"/>
            <w:vAlign w:val="bottom"/>
          </w:tcPr>
          <w:p>
            <w:pPr>
              <w:spacing w:after="0"/>
              <w:rPr>
                <w:sz w:val="20"/>
                <w:szCs w:val="20"/>
                <w:color w:val="auto"/>
              </w:rPr>
            </w:pPr>
            <w:r>
              <w:rPr>
                <w:rFonts w:ascii="Arial" w:cs="Arial" w:eastAsia="Arial" w:hAnsi="Arial"/>
                <w:sz w:val="18"/>
                <w:szCs w:val="18"/>
                <w:color w:val="auto"/>
              </w:rPr>
              <w:t>Article VI</w:t>
            </w:r>
          </w:p>
        </w:tc>
        <w:tc>
          <w:tcPr>
            <w:tcW w:w="6600" w:type="dxa"/>
            <w:vAlign w:val="bottom"/>
          </w:tcPr>
          <w:p>
            <w:pPr>
              <w:ind w:left="60"/>
              <w:spacing w:after="0"/>
              <w:rPr>
                <w:sz w:val="20"/>
                <w:szCs w:val="20"/>
                <w:color w:val="auto"/>
              </w:rPr>
            </w:pPr>
            <w:r>
              <w:rPr>
                <w:rFonts w:ascii="Arial" w:cs="Arial" w:eastAsia="Arial" w:hAnsi="Arial"/>
                <w:sz w:val="18"/>
                <w:szCs w:val="18"/>
                <w:color w:val="auto"/>
              </w:rPr>
              <w:t>DISTRIBUTIONS</w:t>
            </w:r>
          </w:p>
        </w:tc>
        <w:tc>
          <w:tcPr>
            <w:tcW w:w="1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594"/>
        </w:trPr>
        <w:tc>
          <w:tcPr>
            <w:tcW w:w="1260" w:type="dxa"/>
            <w:vAlign w:val="bottom"/>
          </w:tcPr>
          <w:p>
            <w:pPr>
              <w:spacing w:after="0"/>
              <w:rPr>
                <w:sz w:val="20"/>
                <w:szCs w:val="20"/>
                <w:color w:val="auto"/>
              </w:rPr>
            </w:pPr>
            <w:r>
              <w:rPr>
                <w:rFonts w:ascii="Arial" w:cs="Arial" w:eastAsia="Arial" w:hAnsi="Arial"/>
                <w:sz w:val="18"/>
                <w:szCs w:val="18"/>
                <w:color w:val="auto"/>
              </w:rPr>
              <w:t>Article VII</w:t>
            </w:r>
          </w:p>
        </w:tc>
        <w:tc>
          <w:tcPr>
            <w:tcW w:w="6600" w:type="dxa"/>
            <w:vAlign w:val="bottom"/>
          </w:tcPr>
          <w:p>
            <w:pPr>
              <w:ind w:left="60"/>
              <w:spacing w:after="0"/>
              <w:rPr>
                <w:sz w:val="20"/>
                <w:szCs w:val="20"/>
                <w:color w:val="auto"/>
              </w:rPr>
            </w:pPr>
            <w:r>
              <w:rPr>
                <w:rFonts w:ascii="Arial" w:cs="Arial" w:eastAsia="Arial" w:hAnsi="Arial"/>
                <w:sz w:val="18"/>
                <w:szCs w:val="18"/>
                <w:color w:val="auto"/>
              </w:rPr>
              <w:t>RECORDS AND REPORTS; CORPORATE SEAL; AND FISCAL YEAR</w:t>
            </w:r>
          </w:p>
        </w:tc>
        <w:tc>
          <w:tcPr>
            <w:tcW w:w="1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7.1</w:t>
            </w:r>
          </w:p>
        </w:tc>
        <w:tc>
          <w:tcPr>
            <w:tcW w:w="6600" w:type="dxa"/>
            <w:vAlign w:val="bottom"/>
          </w:tcPr>
          <w:p>
            <w:pPr>
              <w:ind w:left="60"/>
              <w:spacing w:after="0"/>
              <w:rPr>
                <w:sz w:val="20"/>
                <w:szCs w:val="20"/>
                <w:color w:val="auto"/>
              </w:rPr>
            </w:pPr>
            <w:r>
              <w:rPr>
                <w:rFonts w:ascii="Arial" w:cs="Arial" w:eastAsia="Arial" w:hAnsi="Arial"/>
                <w:sz w:val="18"/>
                <w:szCs w:val="18"/>
                <w:color w:val="auto"/>
              </w:rPr>
              <w:t>Records</w:t>
            </w:r>
          </w:p>
        </w:tc>
        <w:tc>
          <w:tcPr>
            <w:tcW w:w="1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7.2</w:t>
            </w:r>
          </w:p>
        </w:tc>
        <w:tc>
          <w:tcPr>
            <w:tcW w:w="6600" w:type="dxa"/>
            <w:vAlign w:val="bottom"/>
          </w:tcPr>
          <w:p>
            <w:pPr>
              <w:ind w:left="60"/>
              <w:spacing w:after="0"/>
              <w:rPr>
                <w:sz w:val="20"/>
                <w:szCs w:val="20"/>
                <w:color w:val="auto"/>
              </w:rPr>
            </w:pPr>
            <w:r>
              <w:rPr>
                <w:rFonts w:ascii="Arial" w:cs="Arial" w:eastAsia="Arial" w:hAnsi="Arial"/>
                <w:sz w:val="18"/>
                <w:szCs w:val="18"/>
                <w:color w:val="auto"/>
              </w:rPr>
              <w:t>Corporate Seal</w:t>
            </w:r>
          </w:p>
        </w:tc>
        <w:tc>
          <w:tcPr>
            <w:tcW w:w="1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7.3</w:t>
            </w:r>
          </w:p>
        </w:tc>
        <w:tc>
          <w:tcPr>
            <w:tcW w:w="6600" w:type="dxa"/>
            <w:vAlign w:val="bottom"/>
          </w:tcPr>
          <w:p>
            <w:pPr>
              <w:ind w:left="60"/>
              <w:spacing w:after="0"/>
              <w:rPr>
                <w:sz w:val="20"/>
                <w:szCs w:val="20"/>
                <w:color w:val="auto"/>
              </w:rPr>
            </w:pPr>
            <w:r>
              <w:rPr>
                <w:rFonts w:ascii="Arial" w:cs="Arial" w:eastAsia="Arial" w:hAnsi="Arial"/>
                <w:sz w:val="18"/>
                <w:szCs w:val="18"/>
                <w:color w:val="auto"/>
              </w:rPr>
              <w:t>Fiscal Year-End</w:t>
            </w:r>
          </w:p>
        </w:tc>
        <w:tc>
          <w:tcPr>
            <w:tcW w:w="1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594"/>
        </w:trPr>
        <w:tc>
          <w:tcPr>
            <w:tcW w:w="1260" w:type="dxa"/>
            <w:vAlign w:val="bottom"/>
          </w:tcPr>
          <w:p>
            <w:pPr>
              <w:spacing w:after="0"/>
              <w:rPr>
                <w:sz w:val="20"/>
                <w:szCs w:val="20"/>
                <w:color w:val="auto"/>
              </w:rPr>
            </w:pPr>
            <w:r>
              <w:rPr>
                <w:rFonts w:ascii="Arial" w:cs="Arial" w:eastAsia="Arial" w:hAnsi="Arial"/>
                <w:sz w:val="18"/>
                <w:szCs w:val="18"/>
                <w:color w:val="auto"/>
              </w:rPr>
              <w:t>Article VIII</w:t>
            </w:r>
          </w:p>
        </w:tc>
        <w:tc>
          <w:tcPr>
            <w:tcW w:w="6600" w:type="dxa"/>
            <w:vAlign w:val="bottom"/>
          </w:tcPr>
          <w:p>
            <w:pPr>
              <w:ind w:left="60"/>
              <w:spacing w:after="0"/>
              <w:rPr>
                <w:sz w:val="20"/>
                <w:szCs w:val="20"/>
                <w:color w:val="auto"/>
              </w:rPr>
            </w:pPr>
            <w:r>
              <w:rPr>
                <w:rFonts w:ascii="Arial" w:cs="Arial" w:eastAsia="Arial" w:hAnsi="Arial"/>
                <w:sz w:val="18"/>
                <w:szCs w:val="18"/>
                <w:color w:val="auto"/>
              </w:rPr>
              <w:t>INDEMNIFICATION</w:t>
            </w:r>
          </w:p>
        </w:tc>
        <w:tc>
          <w:tcPr>
            <w:tcW w:w="1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8.1</w:t>
            </w:r>
          </w:p>
        </w:tc>
        <w:tc>
          <w:tcPr>
            <w:tcW w:w="6600" w:type="dxa"/>
            <w:vAlign w:val="bottom"/>
          </w:tcPr>
          <w:p>
            <w:pPr>
              <w:ind w:left="60"/>
              <w:spacing w:after="0"/>
              <w:rPr>
                <w:sz w:val="20"/>
                <w:szCs w:val="20"/>
                <w:color w:val="auto"/>
              </w:rPr>
            </w:pPr>
            <w:r>
              <w:rPr>
                <w:rFonts w:ascii="Arial" w:cs="Arial" w:eastAsia="Arial" w:hAnsi="Arial"/>
                <w:sz w:val="18"/>
                <w:szCs w:val="18"/>
                <w:color w:val="auto"/>
              </w:rPr>
              <w:t>Indemnification and Insurance</w:t>
            </w:r>
          </w:p>
        </w:tc>
        <w:tc>
          <w:tcPr>
            <w:tcW w:w="1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8.2</w:t>
            </w:r>
          </w:p>
        </w:tc>
        <w:tc>
          <w:tcPr>
            <w:tcW w:w="6600" w:type="dxa"/>
            <w:vAlign w:val="bottom"/>
          </w:tcPr>
          <w:p>
            <w:pPr>
              <w:ind w:left="60"/>
              <w:spacing w:after="0"/>
              <w:rPr>
                <w:sz w:val="20"/>
                <w:szCs w:val="20"/>
                <w:color w:val="auto"/>
              </w:rPr>
            </w:pPr>
            <w:r>
              <w:rPr>
                <w:rFonts w:ascii="Arial" w:cs="Arial" w:eastAsia="Arial" w:hAnsi="Arial"/>
                <w:sz w:val="18"/>
                <w:szCs w:val="18"/>
                <w:color w:val="auto"/>
              </w:rPr>
              <w:t>Amendment</w:t>
            </w:r>
          </w:p>
        </w:tc>
        <w:tc>
          <w:tcPr>
            <w:tcW w:w="1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594"/>
        </w:trPr>
        <w:tc>
          <w:tcPr>
            <w:tcW w:w="1260" w:type="dxa"/>
            <w:vAlign w:val="bottom"/>
          </w:tcPr>
          <w:p>
            <w:pPr>
              <w:spacing w:after="0"/>
              <w:rPr>
                <w:sz w:val="20"/>
                <w:szCs w:val="20"/>
                <w:color w:val="auto"/>
              </w:rPr>
            </w:pPr>
            <w:r>
              <w:rPr>
                <w:rFonts w:ascii="Arial" w:cs="Arial" w:eastAsia="Arial" w:hAnsi="Arial"/>
                <w:sz w:val="18"/>
                <w:szCs w:val="18"/>
                <w:color w:val="auto"/>
              </w:rPr>
              <w:t>Article IX</w:t>
            </w:r>
          </w:p>
        </w:tc>
        <w:tc>
          <w:tcPr>
            <w:tcW w:w="6600" w:type="dxa"/>
            <w:vAlign w:val="bottom"/>
          </w:tcPr>
          <w:p>
            <w:pPr>
              <w:ind w:left="60"/>
              <w:spacing w:after="0"/>
              <w:rPr>
                <w:sz w:val="20"/>
                <w:szCs w:val="20"/>
                <w:color w:val="auto"/>
              </w:rPr>
            </w:pPr>
            <w:r>
              <w:rPr>
                <w:rFonts w:ascii="Arial" w:cs="Arial" w:eastAsia="Arial" w:hAnsi="Arial"/>
                <w:sz w:val="18"/>
                <w:szCs w:val="18"/>
                <w:color w:val="auto"/>
              </w:rPr>
              <w:t>CHANGES IN NEVADA LAW</w:t>
            </w:r>
          </w:p>
        </w:tc>
        <w:tc>
          <w:tcPr>
            <w:tcW w:w="1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594"/>
        </w:trPr>
        <w:tc>
          <w:tcPr>
            <w:tcW w:w="1260" w:type="dxa"/>
            <w:vAlign w:val="bottom"/>
          </w:tcPr>
          <w:p>
            <w:pPr>
              <w:spacing w:after="0"/>
              <w:rPr>
                <w:sz w:val="20"/>
                <w:szCs w:val="20"/>
                <w:color w:val="auto"/>
              </w:rPr>
            </w:pPr>
            <w:r>
              <w:rPr>
                <w:rFonts w:ascii="Arial" w:cs="Arial" w:eastAsia="Arial" w:hAnsi="Arial"/>
                <w:sz w:val="18"/>
                <w:szCs w:val="18"/>
                <w:color w:val="auto"/>
              </w:rPr>
              <w:t>Article X</w:t>
            </w:r>
          </w:p>
        </w:tc>
        <w:tc>
          <w:tcPr>
            <w:tcW w:w="6600" w:type="dxa"/>
            <w:vAlign w:val="bottom"/>
          </w:tcPr>
          <w:p>
            <w:pPr>
              <w:ind w:left="60"/>
              <w:spacing w:after="0"/>
              <w:rPr>
                <w:sz w:val="20"/>
                <w:szCs w:val="20"/>
                <w:color w:val="auto"/>
              </w:rPr>
            </w:pPr>
            <w:r>
              <w:rPr>
                <w:rFonts w:ascii="Arial" w:cs="Arial" w:eastAsia="Arial" w:hAnsi="Arial"/>
                <w:sz w:val="18"/>
                <w:szCs w:val="18"/>
                <w:color w:val="auto"/>
              </w:rPr>
              <w:t>AMENDMENT OR REPEAL</w:t>
            </w:r>
          </w:p>
        </w:tc>
        <w:tc>
          <w:tcPr>
            <w:tcW w:w="1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10.1</w:t>
            </w:r>
          </w:p>
        </w:tc>
        <w:tc>
          <w:tcPr>
            <w:tcW w:w="6600" w:type="dxa"/>
            <w:vAlign w:val="bottom"/>
          </w:tcPr>
          <w:p>
            <w:pPr>
              <w:ind w:left="60"/>
              <w:spacing w:after="0"/>
              <w:rPr>
                <w:sz w:val="20"/>
                <w:szCs w:val="20"/>
                <w:color w:val="auto"/>
              </w:rPr>
            </w:pPr>
            <w:r>
              <w:rPr>
                <w:rFonts w:ascii="Arial" w:cs="Arial" w:eastAsia="Arial" w:hAnsi="Arial"/>
                <w:sz w:val="18"/>
                <w:szCs w:val="18"/>
                <w:color w:val="auto"/>
              </w:rPr>
              <w:t>Amendment of Bylaws</w:t>
            </w:r>
          </w:p>
        </w:tc>
        <w:tc>
          <w:tcPr>
            <w:tcW w:w="1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594"/>
        </w:trPr>
        <w:tc>
          <w:tcPr>
            <w:tcW w:w="1260" w:type="dxa"/>
            <w:vAlign w:val="bottom"/>
          </w:tcPr>
          <w:p>
            <w:pPr>
              <w:spacing w:after="0"/>
              <w:rPr>
                <w:sz w:val="20"/>
                <w:szCs w:val="20"/>
                <w:color w:val="auto"/>
              </w:rPr>
            </w:pPr>
            <w:r>
              <w:rPr>
                <w:rFonts w:ascii="Arial" w:cs="Arial" w:eastAsia="Arial" w:hAnsi="Arial"/>
                <w:sz w:val="18"/>
                <w:szCs w:val="18"/>
                <w:color w:val="auto"/>
              </w:rPr>
              <w:t>Article XI</w:t>
            </w:r>
          </w:p>
        </w:tc>
        <w:tc>
          <w:tcPr>
            <w:tcW w:w="6600" w:type="dxa"/>
            <w:vAlign w:val="bottom"/>
          </w:tcPr>
          <w:p>
            <w:pPr>
              <w:ind w:left="60"/>
              <w:spacing w:after="0"/>
              <w:rPr>
                <w:sz w:val="20"/>
                <w:szCs w:val="20"/>
                <w:color w:val="auto"/>
              </w:rPr>
            </w:pPr>
            <w:r>
              <w:rPr>
                <w:rFonts w:ascii="Arial" w:cs="Arial" w:eastAsia="Arial" w:hAnsi="Arial"/>
                <w:sz w:val="18"/>
                <w:szCs w:val="18"/>
                <w:color w:val="auto"/>
              </w:rPr>
              <w:t>FORUM FOR ADJUDICATION OF DISPUTES</w:t>
            </w:r>
          </w:p>
        </w:tc>
        <w:tc>
          <w:tcPr>
            <w:tcW w:w="148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200" w:lineRule="exact"/>
        <w:rPr>
          <w:sz w:val="20"/>
          <w:szCs w:val="20"/>
          <w:color w:val="auto"/>
        </w:rPr>
      </w:pPr>
    </w:p>
    <w:p>
      <w:pPr>
        <w:sectPr>
          <w:pgSz w:w="11900" w:h="16838" w:orient="portrait"/>
          <w:cols w:equalWidth="0" w:num="1">
            <w:col w:w="9440"/>
          </w:cols>
          <w:pgMar w:left="1440" w:top="118" w:right="101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9440"/>
          </w:cols>
          <w:pgMar w:left="1440" w:top="118" w:right="1019" w:bottom="1440" w:gutter="0" w:footer="0" w:header="0"/>
          <w:type w:val="continuous"/>
        </w:sectPr>
      </w:pPr>
    </w:p>
    <w:bookmarkStart w:id="53" w:name="page54"/>
    <w:bookmarkEnd w:id="53"/>
    <w:p>
      <w:pPr>
        <w:jc w:val="center"/>
        <w:spacing w:after="0"/>
        <w:rPr>
          <w:sz w:val="20"/>
          <w:szCs w:val="20"/>
          <w:color w:val="auto"/>
        </w:rPr>
      </w:pPr>
      <w:r>
        <w:rPr>
          <w:rFonts w:ascii="Arial" w:cs="Arial" w:eastAsia="Arial" w:hAnsi="Arial"/>
          <w:sz w:val="20"/>
          <w:szCs w:val="20"/>
          <w:color w:val="auto"/>
        </w:rPr>
        <w:t>SEVENTH AMENDED AND RESTATED BYLAWS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WYNN RESORTS, LIMITED</w:t>
      </w:r>
    </w:p>
    <w:p>
      <w:pPr>
        <w:jc w:val="center"/>
        <w:spacing w:after="0"/>
        <w:rPr>
          <w:sz w:val="20"/>
          <w:szCs w:val="20"/>
          <w:color w:val="auto"/>
        </w:rPr>
      </w:pPr>
      <w:r>
        <w:rPr>
          <w:rFonts w:ascii="Arial" w:cs="Arial" w:eastAsia="Arial" w:hAnsi="Arial"/>
          <w:sz w:val="20"/>
          <w:szCs w:val="20"/>
          <w:color w:val="auto"/>
        </w:rPr>
        <w:t>a Nevada corporation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OFFICES</w:t>
      </w:r>
    </w:p>
    <w:p>
      <w:pPr>
        <w:spacing w:after="0" w:line="194" w:lineRule="exact"/>
        <w:rPr>
          <w:sz w:val="20"/>
          <w:szCs w:val="20"/>
          <w:color w:val="auto"/>
        </w:rPr>
      </w:pPr>
    </w:p>
    <w:p>
      <w:pPr>
        <w:jc w:val="both"/>
        <w:ind w:left="120" w:firstLine="648"/>
        <w:spacing w:after="0" w:line="253"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auto"/>
        </w:rPr>
        <w:t>Principal Office</w:t>
      </w:r>
      <w:r>
        <w:rPr>
          <w:rFonts w:ascii="Arial" w:cs="Arial" w:eastAsia="Arial" w:hAnsi="Arial"/>
          <w:sz w:val="20"/>
          <w:szCs w:val="20"/>
          <w:color w:val="auto"/>
        </w:rPr>
        <w:t>. The principal office and place of business of Wynn Resorts, Limited (the “</w:t>
      </w:r>
      <w:r>
        <w:rPr>
          <w:rFonts w:ascii="Arial" w:cs="Arial" w:eastAsia="Arial" w:hAnsi="Arial"/>
          <w:sz w:val="20"/>
          <w:szCs w:val="20"/>
          <w:b w:val="1"/>
          <w:bCs w:val="1"/>
          <w:color w:val="auto"/>
        </w:rPr>
        <w:t>Corporation</w:t>
      </w:r>
      <w:r>
        <w:rPr>
          <w:rFonts w:ascii="Arial" w:cs="Arial" w:eastAsia="Arial" w:hAnsi="Arial"/>
          <w:sz w:val="20"/>
          <w:szCs w:val="20"/>
          <w:color w:val="auto"/>
        </w:rPr>
        <w:t>”) shall be at 3131 Las Vegas Boulevard South, Las Vegas, Nevada 89109 or at such other location as established from time to time by resolution of the board of directors of the Corporation (the “</w:t>
      </w:r>
      <w:r>
        <w:rPr>
          <w:rFonts w:ascii="Arial" w:cs="Arial" w:eastAsia="Arial" w:hAnsi="Arial"/>
          <w:sz w:val="20"/>
          <w:szCs w:val="20"/>
          <w:b w:val="1"/>
          <w:bCs w:val="1"/>
          <w:color w:val="auto"/>
        </w:rPr>
        <w:t>Board of Directors</w:t>
      </w:r>
      <w:r>
        <w:rPr>
          <w:rFonts w:ascii="Arial" w:cs="Arial" w:eastAsia="Arial" w:hAnsi="Arial"/>
          <w:sz w:val="20"/>
          <w:szCs w:val="20"/>
          <w:color w:val="auto"/>
        </w:rPr>
        <w:t>”).</w:t>
      </w:r>
    </w:p>
    <w:p>
      <w:pPr>
        <w:spacing w:after="0" w:line="184" w:lineRule="exact"/>
        <w:rPr>
          <w:sz w:val="20"/>
          <w:szCs w:val="20"/>
          <w:color w:val="auto"/>
        </w:rPr>
      </w:pPr>
    </w:p>
    <w:p>
      <w:pPr>
        <w:jc w:val="both"/>
        <w:ind w:left="120" w:firstLine="648"/>
        <w:spacing w:after="0" w:line="250" w:lineRule="auto"/>
        <w:rPr>
          <w:sz w:val="20"/>
          <w:szCs w:val="20"/>
          <w:color w:val="auto"/>
        </w:rPr>
      </w:pPr>
      <w:r>
        <w:rPr>
          <w:rFonts w:ascii="Arial" w:cs="Arial" w:eastAsia="Arial" w:hAnsi="Arial"/>
          <w:sz w:val="20"/>
          <w:szCs w:val="20"/>
          <w:color w:val="auto"/>
        </w:rPr>
        <w:t xml:space="preserve">Section 1.2 </w:t>
      </w:r>
      <w:r>
        <w:rPr>
          <w:rFonts w:ascii="Arial" w:cs="Arial" w:eastAsia="Arial" w:hAnsi="Arial"/>
          <w:sz w:val="20"/>
          <w:szCs w:val="20"/>
          <w:u w:val="single" w:color="auto"/>
          <w:color w:val="auto"/>
        </w:rPr>
        <w:t>Other Offices</w:t>
      </w:r>
      <w:r>
        <w:rPr>
          <w:rFonts w:ascii="Arial" w:cs="Arial" w:eastAsia="Arial" w:hAnsi="Arial"/>
          <w:sz w:val="20"/>
          <w:szCs w:val="20"/>
          <w:color w:val="auto"/>
        </w:rPr>
        <w:t>. Other offices and places of business either within or without the State of Nevada may be established from time to time by resolution of the Board of Directors or as the business of the Corporation may require. The street address of the Corporation’s registered agent is the registered office of the Corporation in Nevada.</w:t>
      </w:r>
    </w:p>
    <w:p>
      <w:pPr>
        <w:spacing w:after="0" w:line="186"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ARTICLE II</w:t>
      </w:r>
    </w:p>
    <w:p>
      <w:pPr>
        <w:spacing w:after="0" w:line="16" w:lineRule="exact"/>
        <w:rPr>
          <w:sz w:val="20"/>
          <w:szCs w:val="20"/>
          <w:color w:val="auto"/>
        </w:rPr>
      </w:pPr>
    </w:p>
    <w:p>
      <w:pPr>
        <w:ind w:left="4940"/>
        <w:spacing w:after="0"/>
        <w:rPr>
          <w:sz w:val="20"/>
          <w:szCs w:val="20"/>
          <w:color w:val="auto"/>
        </w:rPr>
      </w:pPr>
      <w:r>
        <w:rPr>
          <w:rFonts w:ascii="Arial" w:cs="Arial" w:eastAsia="Arial" w:hAnsi="Arial"/>
          <w:sz w:val="20"/>
          <w:szCs w:val="20"/>
          <w:u w:val="single" w:color="auto"/>
          <w:color w:val="auto"/>
        </w:rPr>
        <w:t>STOCKHOLDERS</w:t>
      </w:r>
    </w:p>
    <w:p>
      <w:pPr>
        <w:spacing w:after="0" w:line="200" w:lineRule="exact"/>
        <w:rPr>
          <w:sz w:val="20"/>
          <w:szCs w:val="20"/>
          <w:color w:val="auto"/>
        </w:rPr>
      </w:pPr>
    </w:p>
    <w:p>
      <w:pPr>
        <w:jc w:val="both"/>
        <w:ind w:left="120" w:firstLine="648"/>
        <w:spacing w:after="0" w:line="243" w:lineRule="auto"/>
        <w:rPr>
          <w:sz w:val="20"/>
          <w:szCs w:val="20"/>
          <w:color w:val="auto"/>
        </w:rPr>
      </w:pPr>
      <w:r>
        <w:rPr>
          <w:rFonts w:ascii="Arial" w:cs="Arial" w:eastAsia="Arial" w:hAnsi="Arial"/>
          <w:sz w:val="20"/>
          <w:szCs w:val="20"/>
          <w:color w:val="auto"/>
        </w:rPr>
        <w:t xml:space="preserve">Section 2.1 </w:t>
      </w:r>
      <w:r>
        <w:rPr>
          <w:rFonts w:ascii="Arial" w:cs="Arial" w:eastAsia="Arial" w:hAnsi="Arial"/>
          <w:sz w:val="20"/>
          <w:szCs w:val="20"/>
          <w:u w:val="single" w:color="auto"/>
          <w:color w:val="auto"/>
        </w:rPr>
        <w:t>Annual Meeting</w:t>
      </w:r>
      <w:r>
        <w:rPr>
          <w:rFonts w:ascii="Arial" w:cs="Arial" w:eastAsia="Arial" w:hAnsi="Arial"/>
          <w:sz w:val="20"/>
          <w:szCs w:val="20"/>
          <w:color w:val="auto"/>
        </w:rPr>
        <w:t>. The annual meeting of the stockholders of the Corporation shall be held on such date and at such time as may be designated from time to time by the Board of Directors. At the annual meeting, directors shall be elected and any other business may be transacted as may be properly brought before the meeting pursuant to these Seventh Amended and Restated Bylaws (as amended from time to time, these “</w:t>
      </w:r>
      <w:r>
        <w:rPr>
          <w:rFonts w:ascii="Arial" w:cs="Arial" w:eastAsia="Arial" w:hAnsi="Arial"/>
          <w:sz w:val="20"/>
          <w:szCs w:val="20"/>
          <w:b w:val="1"/>
          <w:bCs w:val="1"/>
          <w:color w:val="auto"/>
        </w:rPr>
        <w:t>Bylaws</w:t>
      </w:r>
      <w:r>
        <w:rPr>
          <w:rFonts w:ascii="Arial" w:cs="Arial" w:eastAsia="Arial" w:hAnsi="Arial"/>
          <w:sz w:val="20"/>
          <w:szCs w:val="20"/>
          <w:color w:val="auto"/>
        </w:rPr>
        <w:t>”). Except as otherwise restricted by the articles of incorporation of the Corporation (as amended from time to time, the “</w:t>
      </w:r>
      <w:r>
        <w:rPr>
          <w:rFonts w:ascii="Arial" w:cs="Arial" w:eastAsia="Arial" w:hAnsi="Arial"/>
          <w:sz w:val="20"/>
          <w:szCs w:val="20"/>
          <w:b w:val="1"/>
          <w:bCs w:val="1"/>
          <w:color w:val="auto"/>
        </w:rPr>
        <w:t>Articles of Incorporation</w:t>
      </w:r>
      <w:r>
        <w:rPr>
          <w:rFonts w:ascii="Arial" w:cs="Arial" w:eastAsia="Arial" w:hAnsi="Arial"/>
          <w:sz w:val="20"/>
          <w:szCs w:val="20"/>
          <w:color w:val="auto"/>
        </w:rPr>
        <w:t>”) or applicable law, the Board of Directors may postpone, reschedule or cancel any annual meeting of stockholders.</w:t>
      </w:r>
    </w:p>
    <w:p>
      <w:pPr>
        <w:spacing w:after="0" w:line="197" w:lineRule="exact"/>
        <w:rPr>
          <w:sz w:val="20"/>
          <w:szCs w:val="20"/>
          <w:color w:val="auto"/>
        </w:rPr>
      </w:pPr>
    </w:p>
    <w:p>
      <w:pPr>
        <w:ind w:left="780"/>
        <w:spacing w:after="0"/>
        <w:tabs>
          <w:tab w:leader="none" w:pos="1820" w:val="left"/>
        </w:tabs>
        <w:rPr>
          <w:sz w:val="20"/>
          <w:szCs w:val="20"/>
          <w:color w:val="auto"/>
        </w:rPr>
      </w:pPr>
      <w:r>
        <w:rPr>
          <w:rFonts w:ascii="Arial" w:cs="Arial" w:eastAsia="Arial" w:hAnsi="Arial"/>
          <w:sz w:val="20"/>
          <w:szCs w:val="20"/>
          <w:color w:val="auto"/>
        </w:rPr>
        <w:t>Section 2.2</w:t>
      </w:r>
      <w:r>
        <w:rPr>
          <w:sz w:val="20"/>
          <w:szCs w:val="20"/>
          <w:color w:val="auto"/>
        </w:rPr>
        <w:tab/>
      </w:r>
      <w:r>
        <w:rPr>
          <w:rFonts w:ascii="Arial" w:cs="Arial" w:eastAsia="Arial" w:hAnsi="Arial"/>
          <w:sz w:val="16"/>
          <w:szCs w:val="16"/>
          <w:u w:val="single" w:color="auto"/>
          <w:color w:val="auto"/>
        </w:rPr>
        <w:t>Special Meetings</w:t>
      </w:r>
      <w:r>
        <w:rPr>
          <w:rFonts w:ascii="Arial" w:cs="Arial" w:eastAsia="Arial" w:hAnsi="Arial"/>
          <w:sz w:val="16"/>
          <w:szCs w:val="16"/>
          <w:color w:val="auto"/>
        </w:rPr>
        <w:t>.</w:t>
      </w:r>
    </w:p>
    <w:p>
      <w:pPr>
        <w:spacing w:after="0" w:line="216" w:lineRule="exact"/>
        <w:rPr>
          <w:sz w:val="20"/>
          <w:szCs w:val="20"/>
          <w:color w:val="auto"/>
        </w:rPr>
      </w:pPr>
    </w:p>
    <w:p>
      <w:pPr>
        <w:jc w:val="both"/>
        <w:ind w:firstLine="1305"/>
        <w:spacing w:after="0" w:line="243" w:lineRule="auto"/>
        <w:tabs>
          <w:tab w:leader="none" w:pos="1696" w:val="left"/>
        </w:tabs>
        <w:numPr>
          <w:ilvl w:val="0"/>
          <w:numId w:val="19"/>
        </w:numPr>
        <w:rPr>
          <w:rFonts w:ascii="Arial" w:cs="Arial" w:eastAsia="Arial" w:hAnsi="Arial"/>
          <w:sz w:val="20"/>
          <w:szCs w:val="20"/>
          <w:color w:val="auto"/>
        </w:rPr>
      </w:pPr>
      <w:r>
        <w:rPr>
          <w:rFonts w:ascii="Arial" w:cs="Arial" w:eastAsia="Arial" w:hAnsi="Arial"/>
          <w:sz w:val="20"/>
          <w:szCs w:val="20"/>
          <w:color w:val="auto"/>
        </w:rPr>
        <w:t>Subject to any rights of stockholders set forth in the Articles of Incorporation, special meetings of the stockholders may be called only by the chairman of the board or the chief executive officer or, if there be no chairman of the board and no chief executive officer, by the president, and shall be called by the secretary upon the written request of at least a majority of the Board of Directors. Such request shall state the purpose or purposes of the meeting. Stockholders shall have no right to request or call a special meeting. Except as otherwise restricted by the Articles of Incorporation or applicable law, the Board of Directors may postpone, reschedule or cancel any special meeting of stockholders.</w:t>
      </w:r>
    </w:p>
    <w:p>
      <w:pPr>
        <w:spacing w:after="0" w:line="196" w:lineRule="exact"/>
        <w:rPr>
          <w:rFonts w:ascii="Arial" w:cs="Arial" w:eastAsia="Arial" w:hAnsi="Arial"/>
          <w:sz w:val="20"/>
          <w:szCs w:val="20"/>
          <w:color w:val="auto"/>
        </w:rPr>
      </w:pPr>
    </w:p>
    <w:p>
      <w:pPr>
        <w:ind w:left="1720" w:hanging="415"/>
        <w:spacing w:after="0"/>
        <w:tabs>
          <w:tab w:leader="none" w:pos="1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business shall be acted upon at a special meeting of stockholders except as set forth in the notice of the meeting.</w:t>
      </w:r>
    </w:p>
    <w:p>
      <w:pPr>
        <w:spacing w:after="0" w:line="239" w:lineRule="exact"/>
        <w:rPr>
          <w:sz w:val="20"/>
          <w:szCs w:val="20"/>
          <w:color w:val="auto"/>
        </w:rPr>
      </w:pPr>
    </w:p>
    <w:p>
      <w:pPr>
        <w:jc w:val="both"/>
        <w:ind w:left="120" w:firstLine="648"/>
        <w:spacing w:after="0" w:line="260" w:lineRule="auto"/>
        <w:rPr>
          <w:sz w:val="20"/>
          <w:szCs w:val="20"/>
          <w:color w:val="auto"/>
        </w:rPr>
      </w:pPr>
      <w:r>
        <w:rPr>
          <w:rFonts w:ascii="Arial" w:cs="Arial" w:eastAsia="Arial" w:hAnsi="Arial"/>
          <w:sz w:val="19"/>
          <w:szCs w:val="19"/>
          <w:color w:val="auto"/>
        </w:rPr>
        <w:t xml:space="preserve">Section 2.3 </w:t>
      </w:r>
      <w:r>
        <w:rPr>
          <w:rFonts w:ascii="Arial" w:cs="Arial" w:eastAsia="Arial" w:hAnsi="Arial"/>
          <w:sz w:val="19"/>
          <w:szCs w:val="19"/>
          <w:u w:val="single" w:color="auto"/>
          <w:color w:val="auto"/>
        </w:rPr>
        <w:t>Place of Meetings</w:t>
      </w:r>
      <w:r>
        <w:rPr>
          <w:rFonts w:ascii="Arial" w:cs="Arial" w:eastAsia="Arial" w:hAnsi="Arial"/>
          <w:sz w:val="19"/>
          <w:szCs w:val="19"/>
          <w:color w:val="auto"/>
        </w:rPr>
        <w:t>. Any meeting of the stockholders of the Corporation may be held at the Corporation’s registered office in the State of Nevada or at such other place in or out of the State of Nevada and the United States as may be designated in the notice of meeting. A waiver of notice signed by all stockholders entitled to vote thereat may designate any place for the holding of such meeting. The Board of Directors may, in its sole discretion, determine that any meeting of the stockholders shall be held by means of electronic communications or other available technology in accordance with Section 2.14.</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366" w:right="239" w:bottom="1440" w:gutter="0" w:footer="0" w:header="0"/>
        </w:sectPr>
      </w:pPr>
    </w:p>
    <w:bookmarkStart w:id="54" w:name="page55"/>
    <w:bookmarkEnd w:id="54"/>
    <w:p>
      <w:pPr>
        <w:ind w:left="780"/>
        <w:spacing w:after="0"/>
        <w:tabs>
          <w:tab w:leader="none" w:pos="1820" w:val="left"/>
        </w:tabs>
        <w:rPr>
          <w:sz w:val="20"/>
          <w:szCs w:val="20"/>
          <w:color w:val="auto"/>
        </w:rPr>
      </w:pPr>
      <w:r>
        <w:rPr>
          <w:rFonts w:ascii="Arial" w:cs="Arial" w:eastAsia="Arial" w:hAnsi="Arial"/>
          <w:sz w:val="20"/>
          <w:szCs w:val="20"/>
          <w:color w:val="auto"/>
        </w:rPr>
        <w:t>Section 2.4</w:t>
      </w:r>
      <w:r>
        <w:rPr>
          <w:sz w:val="20"/>
          <w:szCs w:val="20"/>
          <w:color w:val="auto"/>
        </w:rPr>
        <w:tab/>
      </w:r>
      <w:r>
        <w:rPr>
          <w:rFonts w:ascii="Arial" w:cs="Arial" w:eastAsia="Arial" w:hAnsi="Arial"/>
          <w:sz w:val="18"/>
          <w:szCs w:val="18"/>
          <w:u w:val="single" w:color="auto"/>
          <w:color w:val="auto"/>
        </w:rPr>
        <w:t>Notice of Meetings; Waiver of Notice</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74" w:lineRule="auto"/>
        <w:tabs>
          <w:tab w:leader="none" w:pos="1791"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chief executive officer, if any, the president, any vice president, the secretary, an assistant secretary or any other individual designated by the Board of Directors shall sign and deliver or cause to be delivered to the stockholders written notice of any stockholders’ meeting not less than ten (10) days, but not more than sixty (60) days, before the date of such meeting. The notice shall state the place, date and time of the meeting, the means of electronic communication, if any, by which the stockholders or the proxies thereof shall be deemed to be present and vote and, in the case of a special meeting, the purpose or purposes for which the meeting is called. The notice shall be delivered in accordance with, and shall contain or be accompanied by such additional information as may be required by, the Nevada Revised Statutes (as amended from time to time, the “</w:t>
      </w:r>
      <w:r>
        <w:rPr>
          <w:rFonts w:ascii="Arial" w:cs="Arial" w:eastAsia="Arial" w:hAnsi="Arial"/>
          <w:sz w:val="18"/>
          <w:szCs w:val="18"/>
          <w:b w:val="1"/>
          <w:bCs w:val="1"/>
          <w:color w:val="auto"/>
        </w:rPr>
        <w:t>NRS</w:t>
      </w:r>
      <w:r>
        <w:rPr>
          <w:rFonts w:ascii="Arial" w:cs="Arial" w:eastAsia="Arial" w:hAnsi="Arial"/>
          <w:sz w:val="18"/>
          <w:szCs w:val="18"/>
          <w:color w:val="auto"/>
        </w:rPr>
        <w:t>”), including, without limitation, NRS 78.379, 92A.120 or 92A.410.</w:t>
      </w:r>
    </w:p>
    <w:p>
      <w:pPr>
        <w:spacing w:after="0" w:line="169" w:lineRule="exact"/>
        <w:rPr>
          <w:rFonts w:ascii="Arial" w:cs="Arial" w:eastAsia="Arial" w:hAnsi="Arial"/>
          <w:sz w:val="18"/>
          <w:szCs w:val="18"/>
          <w:color w:val="auto"/>
        </w:rPr>
      </w:pPr>
    </w:p>
    <w:p>
      <w:pPr>
        <w:jc w:val="both"/>
        <w:ind w:firstLine="1305"/>
        <w:spacing w:after="0" w:line="243" w:lineRule="auto"/>
        <w:tabs>
          <w:tab w:leader="none" w:pos="1721" w:val="left"/>
        </w:tabs>
        <w:numPr>
          <w:ilvl w:val="1"/>
          <w:numId w:val="20"/>
        </w:numPr>
        <w:rPr>
          <w:rFonts w:ascii="Arial" w:cs="Arial" w:eastAsia="Arial" w:hAnsi="Arial"/>
          <w:sz w:val="20"/>
          <w:szCs w:val="20"/>
          <w:color w:val="auto"/>
        </w:rPr>
      </w:pPr>
      <w:r>
        <w:rPr>
          <w:rFonts w:ascii="Arial" w:cs="Arial" w:eastAsia="Arial" w:hAnsi="Arial"/>
          <w:sz w:val="20"/>
          <w:szCs w:val="20"/>
          <w:color w:val="auto"/>
        </w:rPr>
        <w:t>In the case of an annual meeting, subject to Section 2.13, any proper business may be presented for action, except that (i) if a proposed plan of merger, conversion or exchange is submitted to a vote, the notice of the meeting must state that the purpose, or one of the purposes, of the meeting is to consider the plan of merger, conversion or exchange and must contain or be accompanied by a copy or summary of the plan; and (ii) if a proposed action creating dissenter’s rights is to be submitted to a vote, the notice of the meeting must state that the stockholders are or may be entitled to assert dissenter’s rights under NRS 92A.300 to 92A.500, inclusive, and be accompanied by a copy of those sections.</w:t>
      </w:r>
    </w:p>
    <w:p>
      <w:pPr>
        <w:spacing w:after="0" w:line="196" w:lineRule="exact"/>
        <w:rPr>
          <w:rFonts w:ascii="Arial" w:cs="Arial" w:eastAsia="Arial" w:hAnsi="Arial"/>
          <w:sz w:val="20"/>
          <w:szCs w:val="20"/>
          <w:color w:val="auto"/>
        </w:rPr>
      </w:pPr>
    </w:p>
    <w:p>
      <w:pPr>
        <w:jc w:val="both"/>
        <w:ind w:firstLine="1305"/>
        <w:spacing w:after="0" w:line="268" w:lineRule="auto"/>
        <w:tabs>
          <w:tab w:leader="none" w:pos="1723"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copy of the notice shall be personally delivered or mailed postage prepaid to each stockholder of record at the address appearing on the records of the Corporation. Upon mailing, service of the notice is complete, and the time of the notice begins to run from the date upon which the notice is deposited in the mail. If the address of any stockholder does not appear upon the records of the Corporation or is incomplete, it will be sufficient to address any notice to such stockholder at the registered office of the Corporation. Notwithstanding the foregoing and in addition thereto, any notice to stockholders given by the Corporation pursuant to Chapters 78 or 92A of the NRS, the Articles of Incorporation or these Bylaws may be given pursuant to the forms of electronic transmission listed herein, if such forms of transmission are consented to in writing by the stockholder receiving such electronically transmitted notice and such consent is filed by the secretary in the corporate records. Notice shall be deemed given (i) by facsimile when directed to a number consented to by the stockholder to receive notice,</w:t>
      </w:r>
    </w:p>
    <w:p>
      <w:pPr>
        <w:spacing w:after="0" w:line="3" w:lineRule="exact"/>
        <w:rPr>
          <w:rFonts w:ascii="Arial" w:cs="Arial" w:eastAsia="Arial" w:hAnsi="Arial"/>
          <w:sz w:val="18"/>
          <w:szCs w:val="18"/>
          <w:color w:val="auto"/>
        </w:rPr>
      </w:pPr>
    </w:p>
    <w:p>
      <w:pPr>
        <w:jc w:val="both"/>
        <w:ind w:firstLine="8"/>
        <w:spacing w:after="0"/>
        <w:tabs>
          <w:tab w:leader="none" w:pos="307" w:val="left"/>
        </w:tabs>
        <w:numPr>
          <w:ilvl w:val="0"/>
          <w:numId w:val="21"/>
        </w:numPr>
        <w:rPr>
          <w:rFonts w:ascii="Arial" w:cs="Arial" w:eastAsia="Arial" w:hAnsi="Arial"/>
          <w:sz w:val="20"/>
          <w:szCs w:val="20"/>
          <w:color w:val="auto"/>
        </w:rPr>
      </w:pPr>
      <w:r>
        <w:rPr>
          <w:rFonts w:ascii="Arial" w:cs="Arial" w:eastAsia="Arial" w:hAnsi="Arial"/>
          <w:sz w:val="20"/>
          <w:szCs w:val="20"/>
          <w:color w:val="auto"/>
        </w:rPr>
        <w:t>by e-mail when directed to an e-mail address consented to by the stockholder to receive notice, (iii) by posting on an electronic network together with a separate notice to the stockholder of the specific posting on the later of the specific posting or the giving of the separate notice or (iv) by any other electronic transmission as consented to by and when directed to the stockholder. The stockholder consent necessary to permit electronic transmission to such stockholder shall be deemed revoked and of no force and effect if (A) the Corporation is unable to deliver by electronic transmission two consecutive notices given by the Corporation in accordance with the stockholder’s consent and (B) the inability to deliver by electronic transmission becomes known to the secretary, assistant secretary, transfer agent or other agent of the Corporation responsible for the giving of notice.</w:t>
      </w:r>
    </w:p>
    <w:p>
      <w:pPr>
        <w:spacing w:after="0" w:line="197" w:lineRule="exact"/>
        <w:rPr>
          <w:rFonts w:ascii="Arial" w:cs="Arial" w:eastAsia="Arial" w:hAnsi="Arial"/>
          <w:sz w:val="20"/>
          <w:szCs w:val="20"/>
          <w:color w:val="auto"/>
        </w:rPr>
      </w:pPr>
    </w:p>
    <w:p>
      <w:pPr>
        <w:jc w:val="both"/>
        <w:ind w:firstLine="1305"/>
        <w:spacing w:after="0" w:line="244" w:lineRule="auto"/>
        <w:tabs>
          <w:tab w:leader="none" w:pos="1748" w:val="left"/>
        </w:tabs>
        <w:numPr>
          <w:ilvl w:val="1"/>
          <w:numId w:val="21"/>
        </w:numPr>
        <w:rPr>
          <w:rFonts w:ascii="Arial" w:cs="Arial" w:eastAsia="Arial" w:hAnsi="Arial"/>
          <w:sz w:val="20"/>
          <w:szCs w:val="20"/>
          <w:color w:val="auto"/>
        </w:rPr>
      </w:pPr>
      <w:r>
        <w:rPr>
          <w:rFonts w:ascii="Arial" w:cs="Arial" w:eastAsia="Arial" w:hAnsi="Arial"/>
          <w:sz w:val="20"/>
          <w:szCs w:val="20"/>
          <w:color w:val="auto"/>
        </w:rPr>
        <w:t>The written certificate of an individual signing a notice of meeting, setting forth the substance of the notice or having a copy thereof attached thereto, the date the notice was mailed or personally delivered to the stockholders and the addresses to which the notice was mailed, shall be prima facie evidence of the manner and fact of giving such notice and, in the absence of fraud, an affidavit of the individual signing a notice of a meeting that the notice thereof has been given by a form of electronic transmission shall be prima facie evidence of the facts stated in the affidavit.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66" w:right="239" w:bottom="1440" w:gutter="0" w:footer="0" w:header="0"/>
        </w:sectPr>
      </w:pPr>
    </w:p>
    <w:bookmarkStart w:id="55" w:name="page56"/>
    <w:bookmarkEnd w:id="55"/>
    <w:p>
      <w:pPr>
        <w:ind w:firstLine="1305"/>
        <w:spacing w:after="0" w:line="260" w:lineRule="auto"/>
        <w:tabs>
          <w:tab w:leader="none" w:pos="1737" w:val="left"/>
        </w:tabs>
        <w:numPr>
          <w:ilvl w:val="0"/>
          <w:numId w:val="22"/>
        </w:numPr>
        <w:rPr>
          <w:rFonts w:ascii="Arial" w:cs="Arial" w:eastAsia="Arial" w:hAnsi="Arial"/>
          <w:sz w:val="20"/>
          <w:szCs w:val="20"/>
          <w:color w:val="auto"/>
        </w:rPr>
      </w:pPr>
      <w:r>
        <w:rPr>
          <w:rFonts w:ascii="Arial" w:cs="Arial" w:eastAsia="Arial" w:hAnsi="Arial"/>
          <w:sz w:val="20"/>
          <w:szCs w:val="20"/>
          <w:color w:val="auto"/>
        </w:rPr>
        <w:t>Any stockholder may waive notice of any meeting by a signed writing or by transmission of an electronic record, either before or after the meeting. Such waiver of notice shall be deemed the equivalent of the giving of such notice.</w:t>
      </w:r>
    </w:p>
    <w:p>
      <w:pPr>
        <w:spacing w:after="0" w:line="177" w:lineRule="exact"/>
        <w:rPr>
          <w:sz w:val="20"/>
          <w:szCs w:val="20"/>
          <w:color w:val="auto"/>
        </w:rPr>
      </w:pPr>
    </w:p>
    <w:p>
      <w:pPr>
        <w:ind w:left="780"/>
        <w:spacing w:after="0"/>
        <w:tabs>
          <w:tab w:leader="none" w:pos="1820" w:val="left"/>
        </w:tabs>
        <w:rPr>
          <w:sz w:val="20"/>
          <w:szCs w:val="20"/>
          <w:color w:val="auto"/>
        </w:rPr>
      </w:pPr>
      <w:r>
        <w:rPr>
          <w:rFonts w:ascii="Arial" w:cs="Arial" w:eastAsia="Arial" w:hAnsi="Arial"/>
          <w:sz w:val="20"/>
          <w:szCs w:val="20"/>
          <w:color w:val="auto"/>
        </w:rPr>
        <w:t>Section 2.5</w:t>
      </w:r>
      <w:r>
        <w:rPr>
          <w:sz w:val="20"/>
          <w:szCs w:val="20"/>
          <w:color w:val="auto"/>
        </w:rPr>
        <w:tab/>
      </w:r>
      <w:r>
        <w:rPr>
          <w:rFonts w:ascii="Arial" w:cs="Arial" w:eastAsia="Arial" w:hAnsi="Arial"/>
          <w:sz w:val="18"/>
          <w:szCs w:val="18"/>
          <w:u w:val="single" w:color="auto"/>
          <w:color w:val="auto"/>
        </w:rPr>
        <w:t>Determination of Stockholders of Record</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63" w:lineRule="auto"/>
        <w:tabs>
          <w:tab w:leader="none" w:pos="1710" w:val="left"/>
        </w:tabs>
        <w:numPr>
          <w:ilvl w:val="0"/>
          <w:numId w:val="23"/>
        </w:numPr>
        <w:rPr>
          <w:rFonts w:ascii="Arial" w:cs="Arial" w:eastAsia="Arial" w:hAnsi="Arial"/>
          <w:sz w:val="19"/>
          <w:szCs w:val="19"/>
          <w:color w:val="auto"/>
        </w:rPr>
      </w:pPr>
      <w:r>
        <w:rPr>
          <w:rFonts w:ascii="Arial" w:cs="Arial" w:eastAsia="Arial" w:hAnsi="Arial"/>
          <w:sz w:val="19"/>
          <w:szCs w:val="19"/>
          <w:color w:val="auto"/>
        </w:rPr>
        <w:t>For the purpose of determining the stockholders entitled to (i) notice of and to vote at any meeting of stockholders or any adjournment thereof, (ii) receive payment of any distribution or the allotment of any rights, or (iii) exercise any rights in respect of any change, conversion or exchange of stock, or for the purpose of any other lawful action, the Board of Directors may fix, in advance, a record date, which shall not be more than sixty (60) days nor less than ten (10) days before the date of such meeting, if applicable.</w:t>
      </w:r>
    </w:p>
    <w:p>
      <w:pPr>
        <w:spacing w:after="0" w:line="176" w:lineRule="exact"/>
        <w:rPr>
          <w:rFonts w:ascii="Arial" w:cs="Arial" w:eastAsia="Arial" w:hAnsi="Arial"/>
          <w:sz w:val="19"/>
          <w:szCs w:val="19"/>
          <w:color w:val="auto"/>
        </w:rPr>
      </w:pPr>
    </w:p>
    <w:p>
      <w:pPr>
        <w:jc w:val="both"/>
        <w:ind w:firstLine="1305"/>
        <w:spacing w:after="0" w:line="274" w:lineRule="auto"/>
        <w:tabs>
          <w:tab w:leader="none" w:pos="1721"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no record date is fixed, the record date for determining stockholders: (i) entitled to notice of and to vote at a meeting of stockholders shall be at the close of business on the day next preceding the day on which notice is given, or, if notice is waived, at the close of business on the day next preceding the day on which the meeting is held; and (ii) for any other purpose shall be at the close of business on the day on which the Board of Directors adopts the resolution relating thereto. A determination of stockholders of record entitled to notice of or to vote at any meeting of stockholders shall apply to any postponement of any meeting of stockholders to a date not more than sixty (60) days after the record date or to any adjournment of the meeting; provided that the Board of Directors may fix a new record date for the adjourned meeting and must fix a new record date if the meeting is adjourned to a date more than 60 days later than the date set for the original meeting.</w:t>
      </w:r>
    </w:p>
    <w:p>
      <w:pPr>
        <w:spacing w:after="0" w:line="169" w:lineRule="exact"/>
        <w:rPr>
          <w:sz w:val="20"/>
          <w:szCs w:val="20"/>
          <w:color w:val="auto"/>
        </w:rPr>
      </w:pPr>
    </w:p>
    <w:p>
      <w:pPr>
        <w:ind w:left="780"/>
        <w:spacing w:after="0"/>
        <w:tabs>
          <w:tab w:leader="none" w:pos="1820" w:val="left"/>
        </w:tabs>
        <w:rPr>
          <w:sz w:val="20"/>
          <w:szCs w:val="20"/>
          <w:color w:val="auto"/>
        </w:rPr>
      </w:pPr>
      <w:r>
        <w:rPr>
          <w:rFonts w:ascii="Arial" w:cs="Arial" w:eastAsia="Arial" w:hAnsi="Arial"/>
          <w:sz w:val="20"/>
          <w:szCs w:val="20"/>
          <w:color w:val="auto"/>
        </w:rPr>
        <w:t>Section 2.6</w:t>
      </w:r>
      <w:r>
        <w:rPr>
          <w:sz w:val="20"/>
          <w:szCs w:val="20"/>
          <w:color w:val="auto"/>
        </w:rPr>
        <w:tab/>
      </w:r>
      <w:r>
        <w:rPr>
          <w:rFonts w:ascii="Arial" w:cs="Arial" w:eastAsia="Arial" w:hAnsi="Arial"/>
          <w:sz w:val="18"/>
          <w:szCs w:val="18"/>
          <w:u w:val="single" w:color="auto"/>
          <w:color w:val="auto"/>
        </w:rPr>
        <w:t>Quorum; Adjourned Meetings</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43" w:lineRule="auto"/>
        <w:tabs>
          <w:tab w:leader="none" w:pos="1777" w:val="left"/>
        </w:tabs>
        <w:numPr>
          <w:ilvl w:val="0"/>
          <w:numId w:val="24"/>
        </w:numPr>
        <w:rPr>
          <w:rFonts w:ascii="Arial" w:cs="Arial" w:eastAsia="Arial" w:hAnsi="Arial"/>
          <w:sz w:val="20"/>
          <w:szCs w:val="20"/>
          <w:color w:val="auto"/>
        </w:rPr>
      </w:pPr>
      <w:r>
        <w:rPr>
          <w:rFonts w:ascii="Arial" w:cs="Arial" w:eastAsia="Arial" w:hAnsi="Arial"/>
          <w:sz w:val="20"/>
          <w:szCs w:val="20"/>
          <w:color w:val="auto"/>
        </w:rPr>
        <w:t>Unless the Articles of Incorporation provide for a different proportion, stockholders holding at least a majority of the voting power of the Corporation’s capital stock, represented in person or by proxy (regardless of whether the proxy has authority to vote on all matters), are necessary to constitute a quorum for the transaction of business at any meeting. If, on any issue, voting by classes or series is required by the laws of the State of Nevada, the Articles of Incorporation or these Bylaws, at least a majority of the voting power, represented in person or by proxy (regardless of whether the proxy has authority to vote on all matters), within each such class or series is necessary to constitute a quorum of each such class or series.</w:t>
      </w:r>
    </w:p>
    <w:p>
      <w:pPr>
        <w:spacing w:after="0" w:line="196" w:lineRule="exact"/>
        <w:rPr>
          <w:rFonts w:ascii="Arial" w:cs="Arial" w:eastAsia="Arial" w:hAnsi="Arial"/>
          <w:sz w:val="20"/>
          <w:szCs w:val="20"/>
          <w:color w:val="auto"/>
        </w:rPr>
      </w:pPr>
    </w:p>
    <w:p>
      <w:pPr>
        <w:jc w:val="both"/>
        <w:ind w:firstLine="1305"/>
        <w:spacing w:after="0" w:line="257" w:lineRule="auto"/>
        <w:tabs>
          <w:tab w:leader="none" w:pos="1775" w:val="left"/>
        </w:tabs>
        <w:numPr>
          <w:ilvl w:val="0"/>
          <w:numId w:val="24"/>
        </w:numPr>
        <w:rPr>
          <w:rFonts w:ascii="Arial" w:cs="Arial" w:eastAsia="Arial" w:hAnsi="Arial"/>
          <w:sz w:val="19"/>
          <w:szCs w:val="19"/>
          <w:color w:val="auto"/>
        </w:rPr>
      </w:pPr>
      <w:r>
        <w:rPr>
          <w:rFonts w:ascii="Arial" w:cs="Arial" w:eastAsia="Arial" w:hAnsi="Arial"/>
          <w:sz w:val="19"/>
          <w:szCs w:val="19"/>
          <w:color w:val="auto"/>
        </w:rPr>
        <w:t>If a quorum is not represented, a majority of the voting power represented or the person presiding at the meeting may adjourn the meeting from time to time until a quorum shall be represented. At any such adjourned meeting at which a quorum shall be represented, any business may be transacted which might otherwise have been transacted at the adjourned meeting as originally called. When a stockholders’ meeting is adjourned to another time or place hereunder, notice need not be given of the adjourned meeting if the time and place thereof are announced at the meeting at which the adjournment is taken. However, if a new record date is fixed for the adjourned meeting, notice of the adjourned meeting must be given to each stockholder of record as of the new record date. The stockholders present at a duly convened meeting at which a quorum is present may continue to transact business until adjournment, notwithstanding the departure of enough stockholders to leave less than a quorum of the voting power.</w:t>
      </w:r>
    </w:p>
    <w:p>
      <w:pPr>
        <w:spacing w:after="0" w:line="181" w:lineRule="exact"/>
        <w:rPr>
          <w:sz w:val="20"/>
          <w:szCs w:val="20"/>
          <w:color w:val="auto"/>
        </w:rPr>
      </w:pPr>
    </w:p>
    <w:p>
      <w:pPr>
        <w:ind w:left="780"/>
        <w:spacing w:after="0"/>
        <w:tabs>
          <w:tab w:leader="none" w:pos="1820" w:val="left"/>
        </w:tabs>
        <w:rPr>
          <w:sz w:val="20"/>
          <w:szCs w:val="20"/>
          <w:color w:val="auto"/>
        </w:rPr>
      </w:pPr>
      <w:r>
        <w:rPr>
          <w:rFonts w:ascii="Arial" w:cs="Arial" w:eastAsia="Arial" w:hAnsi="Arial"/>
          <w:sz w:val="20"/>
          <w:szCs w:val="20"/>
          <w:color w:val="auto"/>
        </w:rPr>
        <w:t>Section 2.7</w:t>
      </w:r>
      <w:r>
        <w:rPr>
          <w:sz w:val="20"/>
          <w:szCs w:val="20"/>
          <w:color w:val="auto"/>
        </w:rPr>
        <w:tab/>
      </w: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216" w:lineRule="exact"/>
        <w:rPr>
          <w:sz w:val="20"/>
          <w:szCs w:val="20"/>
          <w:color w:val="auto"/>
        </w:rPr>
      </w:pPr>
    </w:p>
    <w:p>
      <w:pPr>
        <w:ind w:right="20" w:firstLine="1305"/>
        <w:spacing w:after="0" w:line="260" w:lineRule="auto"/>
        <w:tabs>
          <w:tab w:leader="none" w:pos="1791" w:val="left"/>
        </w:tabs>
        <w:numPr>
          <w:ilvl w:val="0"/>
          <w:numId w:val="25"/>
        </w:numPr>
        <w:rPr>
          <w:rFonts w:ascii="Arial" w:cs="Arial" w:eastAsia="Arial" w:hAnsi="Arial"/>
          <w:sz w:val="20"/>
          <w:szCs w:val="20"/>
          <w:color w:val="auto"/>
        </w:rPr>
      </w:pPr>
      <w:r>
        <w:rPr>
          <w:rFonts w:ascii="Arial" w:cs="Arial" w:eastAsia="Arial" w:hAnsi="Arial"/>
          <w:sz w:val="20"/>
          <w:szCs w:val="20"/>
          <w:color w:val="auto"/>
        </w:rPr>
        <w:t>Unless otherwise provided in the NRS, the Articles of Incorporation, or any resolution providing for the issuance of preferred stock adopted by the Board of Directors pursuant to authority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366" w:right="239" w:bottom="1440" w:gutter="0" w:footer="0" w:header="0"/>
        </w:sectPr>
      </w:pPr>
    </w:p>
    <w:bookmarkStart w:id="56" w:name="page57"/>
    <w:bookmarkEnd w:id="56"/>
    <w:p>
      <w:pPr>
        <w:jc w:val="both"/>
        <w:spacing w:after="0" w:line="250" w:lineRule="auto"/>
        <w:rPr>
          <w:sz w:val="20"/>
          <w:szCs w:val="20"/>
          <w:color w:val="auto"/>
        </w:rPr>
      </w:pPr>
      <w:r>
        <w:rPr>
          <w:rFonts w:ascii="Arial" w:cs="Arial" w:eastAsia="Arial" w:hAnsi="Arial"/>
          <w:sz w:val="20"/>
          <w:szCs w:val="20"/>
          <w:color w:val="auto"/>
        </w:rPr>
        <w:t>expressly vested in it by the provisions of the Articles of Incorporation, each stockholder of record, or such stockholder’s duly authorized proxy, shall be entitled to one (1) vote for each share of voting stock standing registered in such stockholder’s name at the close of business on the record date.</w:t>
      </w:r>
    </w:p>
    <w:p>
      <w:pPr>
        <w:spacing w:after="0" w:line="186" w:lineRule="exact"/>
        <w:rPr>
          <w:sz w:val="20"/>
          <w:szCs w:val="20"/>
          <w:color w:val="auto"/>
        </w:rPr>
      </w:pPr>
    </w:p>
    <w:p>
      <w:pPr>
        <w:jc w:val="both"/>
        <w:ind w:firstLine="1305"/>
        <w:spacing w:after="0" w:line="273" w:lineRule="auto"/>
        <w:tabs>
          <w:tab w:leader="none" w:pos="1734"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Except as otherwise provided in these Bylaws, all votes with respect to shares (including pledged shares) standing in the name of an individual at the close of business on the record date shall be cast only by that individual or such individual’s duly authorized proxy. With respect to shares held by a representative of the estate of a deceased stockholder, or a guardian, conservator, custodian or trustee, even though the shares do not stand in the name of such holder, votes may be cast by such holder upon proof of such representative capacity. In the case of shares under the control of a receiver, the receiver may vote such shares even though the shares do not stand of record in the name of the receiver but only if and to the extent that the order of a court of competent jurisdiction which appoints the receiver contains the authority to vote such shares. If shares stand of record in the name of a minor, votes may be cast by the duly appointed guardian of the estate of such minor only if such guardian has provided the Corporation with written proof of such appointment.</w:t>
      </w:r>
    </w:p>
    <w:p>
      <w:pPr>
        <w:spacing w:after="0" w:line="169" w:lineRule="exact"/>
        <w:rPr>
          <w:rFonts w:ascii="Arial" w:cs="Arial" w:eastAsia="Arial" w:hAnsi="Arial"/>
          <w:sz w:val="18"/>
          <w:szCs w:val="18"/>
          <w:color w:val="auto"/>
        </w:rPr>
      </w:pPr>
    </w:p>
    <w:p>
      <w:pPr>
        <w:jc w:val="both"/>
        <w:ind w:firstLine="1305"/>
        <w:spacing w:after="0" w:line="243" w:lineRule="auto"/>
        <w:tabs>
          <w:tab w:leader="none" w:pos="1764" w:val="left"/>
        </w:tabs>
        <w:numPr>
          <w:ilvl w:val="0"/>
          <w:numId w:val="26"/>
        </w:numPr>
        <w:rPr>
          <w:rFonts w:ascii="Arial" w:cs="Arial" w:eastAsia="Arial" w:hAnsi="Arial"/>
          <w:sz w:val="20"/>
          <w:szCs w:val="20"/>
          <w:color w:val="auto"/>
        </w:rPr>
      </w:pPr>
      <w:r>
        <w:rPr>
          <w:rFonts w:ascii="Arial" w:cs="Arial" w:eastAsia="Arial" w:hAnsi="Arial"/>
          <w:sz w:val="20"/>
          <w:szCs w:val="20"/>
          <w:color w:val="auto"/>
        </w:rPr>
        <w:t>With respect to shares standing of record in the name of another corporation, partnership, limited liability company or other legal entity on the record date, votes may be cast: (i) in the case of a corporation, by such individual as the bylaws of such other corporation prescribe, by such individual as may be appointed by resolution of the board of directors of such other corporation or by such individual (including, without limitation, the officer making the authorization) authorized in writing to do so by the chairman of the board, if any, the chief executive officer, if any, the president or any vice president of such corporation; and (ii) in the case of a partnership, limited liability company or other legal entity, by an individual representing such stockholder upon presentation to the Corporation of satisfactory evidence of his or her authority to do so.</w:t>
      </w:r>
    </w:p>
    <w:p>
      <w:pPr>
        <w:spacing w:after="0" w:line="193" w:lineRule="exact"/>
        <w:rPr>
          <w:rFonts w:ascii="Arial" w:cs="Arial" w:eastAsia="Arial" w:hAnsi="Arial"/>
          <w:sz w:val="20"/>
          <w:szCs w:val="20"/>
          <w:color w:val="auto"/>
        </w:rPr>
      </w:pPr>
    </w:p>
    <w:p>
      <w:pPr>
        <w:jc w:val="both"/>
        <w:ind w:firstLine="1305"/>
        <w:spacing w:after="0" w:line="250" w:lineRule="auto"/>
        <w:tabs>
          <w:tab w:leader="none" w:pos="1788" w:val="left"/>
        </w:tabs>
        <w:numPr>
          <w:ilvl w:val="0"/>
          <w:numId w:val="26"/>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herein and except for the Corporation’s shares held in a fiduciary capacity, the Corporation shall not vote, directly or indirectly, shares of its own stock owned or held by it, and such shares shall not be counted in determining the total number of outstanding shares entitled to vote.</w:t>
      </w:r>
    </w:p>
    <w:p>
      <w:pPr>
        <w:spacing w:after="0" w:line="186" w:lineRule="exact"/>
        <w:rPr>
          <w:rFonts w:ascii="Arial" w:cs="Arial" w:eastAsia="Arial" w:hAnsi="Arial"/>
          <w:sz w:val="20"/>
          <w:szCs w:val="20"/>
          <w:color w:val="auto"/>
        </w:rPr>
      </w:pPr>
    </w:p>
    <w:p>
      <w:pPr>
        <w:jc w:val="both"/>
        <w:ind w:firstLine="1305"/>
        <w:spacing w:after="0" w:line="246" w:lineRule="auto"/>
        <w:tabs>
          <w:tab w:leader="none" w:pos="1696" w:val="left"/>
        </w:tabs>
        <w:numPr>
          <w:ilvl w:val="0"/>
          <w:numId w:val="26"/>
        </w:numPr>
        <w:rPr>
          <w:rFonts w:ascii="Arial" w:cs="Arial" w:eastAsia="Arial" w:hAnsi="Arial"/>
          <w:sz w:val="20"/>
          <w:szCs w:val="20"/>
          <w:color w:val="auto"/>
        </w:rPr>
      </w:pPr>
      <w:r>
        <w:rPr>
          <w:rFonts w:ascii="Arial" w:cs="Arial" w:eastAsia="Arial" w:hAnsi="Arial"/>
          <w:sz w:val="20"/>
          <w:szCs w:val="20"/>
          <w:color w:val="auto"/>
        </w:rPr>
        <w:t>Any holder of shares entitled to vote on any matter may cast a portion of the votes in favor of such matter and refrain from casting the remaining votes or cast the same against the proposal, except in the case of elections of directors. If such holder entitled to vote does vote any of such stockholder’s shares affirmatively and fails to specify the number of affirmative votes, it will be conclusively presumed that the holder is casting affirmative votes with respect to all shares held.</w:t>
      </w:r>
    </w:p>
    <w:p>
      <w:pPr>
        <w:spacing w:after="0" w:line="191" w:lineRule="exact"/>
        <w:rPr>
          <w:rFonts w:ascii="Arial" w:cs="Arial" w:eastAsia="Arial" w:hAnsi="Arial"/>
          <w:sz w:val="20"/>
          <w:szCs w:val="20"/>
          <w:color w:val="auto"/>
        </w:rPr>
      </w:pPr>
    </w:p>
    <w:p>
      <w:pPr>
        <w:jc w:val="both"/>
        <w:ind w:firstLine="1305"/>
        <w:spacing w:after="0" w:line="246" w:lineRule="auto"/>
        <w:tabs>
          <w:tab w:leader="none" w:pos="1809" w:val="left"/>
        </w:tabs>
        <w:numPr>
          <w:ilvl w:val="0"/>
          <w:numId w:val="26"/>
        </w:numPr>
        <w:rPr>
          <w:rFonts w:ascii="Arial" w:cs="Arial" w:eastAsia="Arial" w:hAnsi="Arial"/>
          <w:sz w:val="20"/>
          <w:szCs w:val="20"/>
          <w:color w:val="auto"/>
        </w:rPr>
      </w:pPr>
      <w:r>
        <w:rPr>
          <w:rFonts w:ascii="Arial" w:cs="Arial" w:eastAsia="Arial" w:hAnsi="Arial"/>
          <w:sz w:val="20"/>
          <w:szCs w:val="20"/>
          <w:color w:val="auto"/>
        </w:rPr>
        <w:t>With respect to shares standing of record in the name of two or more persons, whether fiduciaries, members of a partnership, joint tenants, tenants in common, spouses as community property, tenants by the entirety, voting trustees or otherwise and shares held by two or more persons (including proxy holders) having the same fiduciary relationship in respect to the same shares, votes may be cast in the following manner:</w:t>
      </w:r>
    </w:p>
    <w:p>
      <w:pPr>
        <w:spacing w:after="0" w:line="191" w:lineRule="exact"/>
        <w:rPr>
          <w:rFonts w:ascii="Arial" w:cs="Arial" w:eastAsia="Arial" w:hAnsi="Arial"/>
          <w:sz w:val="20"/>
          <w:szCs w:val="20"/>
          <w:color w:val="auto"/>
        </w:rPr>
      </w:pPr>
    </w:p>
    <w:p>
      <w:pPr>
        <w:ind w:left="2320" w:hanging="367"/>
        <w:spacing w:after="0"/>
        <w:tabs>
          <w:tab w:leader="none" w:pos="2320" w:val="left"/>
        </w:tabs>
        <w:numPr>
          <w:ilvl w:val="1"/>
          <w:numId w:val="26"/>
        </w:numPr>
        <w:rPr>
          <w:rFonts w:ascii="Arial" w:cs="Arial" w:eastAsia="Arial" w:hAnsi="Arial"/>
          <w:sz w:val="20"/>
          <w:szCs w:val="20"/>
          <w:color w:val="auto"/>
        </w:rPr>
      </w:pPr>
      <w:r>
        <w:rPr>
          <w:rFonts w:ascii="Arial" w:cs="Arial" w:eastAsia="Arial" w:hAnsi="Arial"/>
          <w:sz w:val="20"/>
          <w:szCs w:val="20"/>
          <w:color w:val="auto"/>
        </w:rPr>
        <w:t>If only one person votes, the vote of such person binds all.</w:t>
      </w:r>
    </w:p>
    <w:p>
      <w:pPr>
        <w:spacing w:after="0" w:line="215" w:lineRule="exact"/>
        <w:rPr>
          <w:rFonts w:ascii="Arial" w:cs="Arial" w:eastAsia="Arial" w:hAnsi="Arial"/>
          <w:sz w:val="20"/>
          <w:szCs w:val="20"/>
          <w:color w:val="auto"/>
        </w:rPr>
      </w:pPr>
    </w:p>
    <w:p>
      <w:pPr>
        <w:ind w:left="2380" w:hanging="427"/>
        <w:spacing w:after="0"/>
        <w:tabs>
          <w:tab w:leader="none" w:pos="2380" w:val="left"/>
        </w:tabs>
        <w:numPr>
          <w:ilvl w:val="1"/>
          <w:numId w:val="26"/>
        </w:numPr>
        <w:rPr>
          <w:rFonts w:ascii="Arial" w:cs="Arial" w:eastAsia="Arial" w:hAnsi="Arial"/>
          <w:sz w:val="20"/>
          <w:szCs w:val="20"/>
          <w:color w:val="auto"/>
        </w:rPr>
      </w:pPr>
      <w:r>
        <w:rPr>
          <w:rFonts w:ascii="Arial" w:cs="Arial" w:eastAsia="Arial" w:hAnsi="Arial"/>
          <w:sz w:val="20"/>
          <w:szCs w:val="20"/>
          <w:color w:val="auto"/>
        </w:rPr>
        <w:t>If more than one person casts votes, the act of the majority so voting binds all.</w:t>
      </w:r>
    </w:p>
    <w:p>
      <w:pPr>
        <w:spacing w:after="0" w:line="215" w:lineRule="exact"/>
        <w:rPr>
          <w:rFonts w:ascii="Arial" w:cs="Arial" w:eastAsia="Arial" w:hAnsi="Arial"/>
          <w:sz w:val="20"/>
          <w:szCs w:val="20"/>
          <w:color w:val="auto"/>
        </w:rPr>
      </w:pPr>
    </w:p>
    <w:p>
      <w:pPr>
        <w:ind w:left="2440" w:hanging="487"/>
        <w:spacing w:after="0"/>
        <w:tabs>
          <w:tab w:leader="none" w:pos="24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If more than one person casts votes, but the vote is evenly split on a particular matter, the votes shall be deemed</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cast proportionately, as split.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366" w:right="239" w:bottom="1440" w:gutter="0" w:footer="0" w:header="0"/>
        </w:sectPr>
      </w:pPr>
    </w:p>
    <w:bookmarkStart w:id="57" w:name="page58"/>
    <w:bookmarkEnd w:id="57"/>
    <w:p>
      <w:pPr>
        <w:jc w:val="both"/>
        <w:ind w:firstLine="1305"/>
        <w:spacing w:after="0" w:line="259" w:lineRule="auto"/>
        <w:tabs>
          <w:tab w:leader="none" w:pos="1721" w:val="left"/>
        </w:tabs>
        <w:numPr>
          <w:ilvl w:val="0"/>
          <w:numId w:val="27"/>
        </w:numPr>
        <w:rPr>
          <w:rFonts w:ascii="Arial" w:cs="Arial" w:eastAsia="Arial" w:hAnsi="Arial"/>
          <w:sz w:val="19"/>
          <w:szCs w:val="19"/>
          <w:color w:val="auto"/>
        </w:rPr>
      </w:pPr>
      <w:r>
        <w:rPr>
          <w:rFonts w:ascii="Arial" w:cs="Arial" w:eastAsia="Arial" w:hAnsi="Arial"/>
          <w:sz w:val="19"/>
          <w:szCs w:val="19"/>
          <w:color w:val="auto"/>
        </w:rPr>
        <w:t>If a quorum is present, unless the Articles of Incorporation, these Bylaws, the NRS, or other applicable law provide for a different proportion, action by the stockholders entitled to vote on a matter, other than the election of directors, is approved by and is the act of the stockholders if the number of votes cast in favor of the action exceeds the number of votes cast in opposition to the action, unless voting by classes or series is required for any action of the stockholders by the laws of the State of Nevada, the Articles of Incorporation or these Bylaws, in which case the number of votes cast in favor of the action by the voting power of each such class or series must exceed the number of votes cast in opposition to the action by the voting power of each such class or series.</w:t>
      </w:r>
    </w:p>
    <w:p>
      <w:pPr>
        <w:spacing w:after="0" w:line="178" w:lineRule="exact"/>
        <w:rPr>
          <w:rFonts w:ascii="Arial" w:cs="Arial" w:eastAsia="Arial" w:hAnsi="Arial"/>
          <w:sz w:val="19"/>
          <w:szCs w:val="19"/>
          <w:color w:val="auto"/>
        </w:rPr>
      </w:pPr>
    </w:p>
    <w:p>
      <w:pPr>
        <w:ind w:left="1720" w:hanging="415"/>
        <w:spacing w:after="0"/>
        <w:tabs>
          <w:tab w:leader="none" w:pos="1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If a quorum is present, directors shall be elected by a plurality of the votes cast.</w:t>
      </w:r>
    </w:p>
    <w:p>
      <w:pPr>
        <w:spacing w:after="0" w:line="216" w:lineRule="exact"/>
        <w:rPr>
          <w:sz w:val="20"/>
          <w:szCs w:val="20"/>
          <w:color w:val="auto"/>
        </w:rPr>
      </w:pPr>
    </w:p>
    <w:p>
      <w:pPr>
        <w:jc w:val="both"/>
        <w:ind w:left="120" w:firstLine="648"/>
        <w:spacing w:after="0" w:line="243" w:lineRule="auto"/>
        <w:rPr>
          <w:sz w:val="20"/>
          <w:szCs w:val="20"/>
          <w:color w:val="auto"/>
        </w:rPr>
      </w:pPr>
      <w:r>
        <w:rPr>
          <w:rFonts w:ascii="Arial" w:cs="Arial" w:eastAsia="Arial" w:hAnsi="Arial"/>
          <w:sz w:val="20"/>
          <w:szCs w:val="20"/>
          <w:color w:val="auto"/>
        </w:rPr>
        <w:t xml:space="preserve">Section 2.8 </w:t>
      </w:r>
      <w:r>
        <w:rPr>
          <w:rFonts w:ascii="Arial" w:cs="Arial" w:eastAsia="Arial" w:hAnsi="Arial"/>
          <w:sz w:val="20"/>
          <w:szCs w:val="20"/>
          <w:u w:val="single" w:color="auto"/>
          <w:color w:val="auto"/>
        </w:rPr>
        <w:t>Proxies</w:t>
      </w:r>
      <w:r>
        <w:rPr>
          <w:rFonts w:ascii="Arial" w:cs="Arial" w:eastAsia="Arial" w:hAnsi="Arial"/>
          <w:sz w:val="20"/>
          <w:szCs w:val="20"/>
          <w:color w:val="auto"/>
        </w:rPr>
        <w:t>. At any meeting of stockholders, any holder of shares entitled to vote may designate, in a manner permitted by the laws of the State of Nevada, another person or persons to act as a proxy or proxies. If a stockholder designates two or more persons to act as proxies, then a majority of those persons present at a meeting has and may exercise all of the powers conferred by the stockholder or, if only one is present, then that one has and may exercise all of the powers conferred by the stockholder, unless the stockholder’s designation of proxy provides otherwise. Every proxy shall continue in full force and effect until its expiration or revocation in a manner permitted by the laws of the State of Nevada.</w:t>
      </w:r>
    </w:p>
    <w:p>
      <w:pPr>
        <w:spacing w:after="0" w:line="197" w:lineRule="exact"/>
        <w:rPr>
          <w:sz w:val="20"/>
          <w:szCs w:val="20"/>
          <w:color w:val="auto"/>
        </w:rPr>
      </w:pPr>
    </w:p>
    <w:p>
      <w:pPr>
        <w:jc w:val="both"/>
        <w:ind w:left="120" w:firstLine="648"/>
        <w:spacing w:after="0" w:line="250" w:lineRule="auto"/>
        <w:rPr>
          <w:sz w:val="20"/>
          <w:szCs w:val="20"/>
          <w:color w:val="auto"/>
        </w:rPr>
      </w:pPr>
      <w:r>
        <w:rPr>
          <w:rFonts w:ascii="Arial" w:cs="Arial" w:eastAsia="Arial" w:hAnsi="Arial"/>
          <w:sz w:val="20"/>
          <w:szCs w:val="20"/>
          <w:color w:val="auto"/>
        </w:rPr>
        <w:t xml:space="preserve">Section 2.9 </w:t>
      </w:r>
      <w:r>
        <w:rPr>
          <w:rFonts w:ascii="Arial" w:cs="Arial" w:eastAsia="Arial" w:hAnsi="Arial"/>
          <w:sz w:val="20"/>
          <w:szCs w:val="20"/>
          <w:u w:val="single" w:color="auto"/>
          <w:color w:val="auto"/>
        </w:rPr>
        <w:t>No Action Without A Meeting</w:t>
      </w:r>
      <w:r>
        <w:rPr>
          <w:rFonts w:ascii="Arial" w:cs="Arial" w:eastAsia="Arial" w:hAnsi="Arial"/>
          <w:sz w:val="20"/>
          <w:szCs w:val="20"/>
          <w:color w:val="auto"/>
        </w:rPr>
        <w:t>. No action shall be taken by the stockholders except at an annual or special meeting of stockholders called and noticed in the manner required by these Bylaws. The stockholders may not in any circumstance take action by written consent.</w:t>
      </w:r>
    </w:p>
    <w:p>
      <w:pPr>
        <w:spacing w:after="0" w:line="186" w:lineRule="exact"/>
        <w:rPr>
          <w:sz w:val="20"/>
          <w:szCs w:val="20"/>
          <w:color w:val="auto"/>
        </w:rPr>
      </w:pPr>
    </w:p>
    <w:p>
      <w:pPr>
        <w:ind w:left="780"/>
        <w:spacing w:after="0"/>
        <w:tabs>
          <w:tab w:leader="none" w:pos="1920" w:val="left"/>
        </w:tabs>
        <w:rPr>
          <w:sz w:val="20"/>
          <w:szCs w:val="20"/>
          <w:color w:val="auto"/>
        </w:rPr>
      </w:pPr>
      <w:r>
        <w:rPr>
          <w:rFonts w:ascii="Arial" w:cs="Arial" w:eastAsia="Arial" w:hAnsi="Arial"/>
          <w:sz w:val="20"/>
          <w:szCs w:val="20"/>
          <w:color w:val="auto"/>
        </w:rPr>
        <w:t>Section 2.10</w:t>
      </w:r>
      <w:r>
        <w:rPr>
          <w:sz w:val="20"/>
          <w:szCs w:val="20"/>
          <w:color w:val="auto"/>
        </w:rPr>
        <w:tab/>
      </w:r>
      <w:r>
        <w:rPr>
          <w:rFonts w:ascii="Arial" w:cs="Arial" w:eastAsia="Arial" w:hAnsi="Arial"/>
          <w:sz w:val="18"/>
          <w:szCs w:val="18"/>
          <w:u w:val="single" w:color="auto"/>
          <w:color w:val="auto"/>
        </w:rPr>
        <w:t>Organization</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69" w:lineRule="auto"/>
        <w:tabs>
          <w:tab w:leader="none" w:pos="17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Meetings of stockholders shall be presided over by the chairman of the board, or, in the absence of the chairman, by the vice chairman of the board, if any, or if there be no vice chairman or in the absence of the vice chairman, by the chief executive officer, if any, or if there be no chief executive officer or in the absence of the chief executive officer, by the president, or, in the absence of the president, or, in the absence of any of the foregoing persons, by a chairman designated by the Board of Directors, or by a chairman chosen at the meeting by the stockholders entitled to cast a majority of the votes which all stockholders present in person or by proxy are entitled to cast. The individual acting as chairman of the meeting may delegate any or all of his or her authority and responsibilities as such to any director or officer of the Corporation present in person at the meeting. The secretary, or in the absence of the secretary an assistant secretary, shall act as secretary of the meeting, but in the absence of the secretary and any assistant secretary the chairman of the meeting may appoint any person to act as secretary of the meeting. The order of business at each such meeting shall be as determined by the chairman of the meeting. The chairman of the meeting shall have the right and authority to prescribe such rules, regulations and procedures and to do all such acts and things as are necessary or desirable for the proper conduct of the meeting, including, without limitation, (i) the establishment of procedures for the maintenance of order and safety, (ii) limitation on participation in the meeting to stockholders of record of the Corporation, their duly authorized and constituted proxies and such other persons as the chairman of the meeting shall permit, (iii) limitation on the time allotted for consideration of each agenda item and for questions or comments by meeting participants, (iv) restrictions on entry to such meeting after the time prescribed for the commencement thereof and (v) the opening and closing of the voting polls. The Board of Directors, in its discretion, or the chairman of the meeting, in his or her discretion, may require that any votes cast at such meeting shall be cast by written ballot.</w:t>
      </w:r>
    </w:p>
    <w:p>
      <w:pPr>
        <w:spacing w:after="0" w:line="177" w:lineRule="exact"/>
        <w:rPr>
          <w:rFonts w:ascii="Arial" w:cs="Arial" w:eastAsia="Arial" w:hAnsi="Arial"/>
          <w:sz w:val="18"/>
          <w:szCs w:val="18"/>
          <w:color w:val="auto"/>
        </w:rPr>
      </w:pPr>
    </w:p>
    <w:p>
      <w:pPr>
        <w:ind w:firstLine="1305"/>
        <w:spacing w:after="0" w:line="260" w:lineRule="auto"/>
        <w:tabs>
          <w:tab w:leader="none" w:pos="1829"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chairman of the meeting may appoint one or more inspectors of elections. The inspector or inspectors may (i) ascertain the number of shares outstanding and the voting power of each; (ii)</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366" w:right="239" w:bottom="1440" w:gutter="0" w:footer="0" w:header="0"/>
        </w:sectPr>
      </w:pPr>
    </w:p>
    <w:bookmarkStart w:id="58" w:name="page59"/>
    <w:bookmarkEnd w:id="58"/>
    <w:p>
      <w:pPr>
        <w:jc w:val="both"/>
        <w:spacing w:after="0" w:line="250" w:lineRule="auto"/>
        <w:rPr>
          <w:sz w:val="20"/>
          <w:szCs w:val="20"/>
          <w:color w:val="auto"/>
        </w:rPr>
      </w:pPr>
      <w:r>
        <w:rPr>
          <w:rFonts w:ascii="Arial" w:cs="Arial" w:eastAsia="Arial" w:hAnsi="Arial"/>
          <w:sz w:val="20"/>
          <w:szCs w:val="20"/>
          <w:color w:val="auto"/>
        </w:rPr>
        <w:t>determine the number of shares represented at a meeting and the validity of proxies or ballots; (iii) count all votes and ballots; (iv) determine any challenges made to any determination made by the inspector(s); and (v) certify the determination of the number of shares represented at the meeting and the count of all votes and ballots.</w:t>
      </w:r>
    </w:p>
    <w:p>
      <w:pPr>
        <w:spacing w:after="0" w:line="186" w:lineRule="exact"/>
        <w:rPr>
          <w:sz w:val="20"/>
          <w:szCs w:val="20"/>
          <w:color w:val="auto"/>
        </w:rPr>
      </w:pPr>
    </w:p>
    <w:p>
      <w:pPr>
        <w:jc w:val="both"/>
        <w:ind w:firstLine="1305"/>
        <w:spacing w:after="0" w:line="270" w:lineRule="auto"/>
        <w:tabs>
          <w:tab w:leader="none" w:pos="1737"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Only such persons who are nominated in accordance with the procedures set forth in Section 2.12 shall be eligible to be elected at any meeting of stockholders of the Corporation to serve as directors and only such business shall be conducted at a meeting of stockholders as shall have been brought before the meeting in accordance with the procedures set forth in Section 2.12. If any proposed nomination or business was not made or proposed in compliance with Section 2.12 (including proper notice under Section 2.13 and including whether the stockholder or beneficial owner, if any, on whose behalf the nomination or proposal is made solicited (or is part of a group which solicited) or did not so solicit, as the case may be, proxies in compliance with such stockholder’s representation pursuant to clause (a)(iv)(D) of Section 2.13), then the chairman of the meeting shall have the power to declare that such nomination shall be disregarded or that such proposed business shall not be transacted. If the stockholder (or a qualified representative of the stockholder)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For purposes of this Section 2.10, to be considered a qualified representative of the stockholder, a person must be a duly authorized officer, manager or partner of such stockholder or authorized by a writing executed by such stockholder (or a reliable reproduction or electronic transmission of the writing) delivered to the Corporation prior to the making of such nomination or proposal at such meeting by such stockholder stating that such person is authorized to act for such stockholder as proxy at the meeting of stockholders.</w:t>
      </w:r>
    </w:p>
    <w:p>
      <w:pPr>
        <w:spacing w:after="0" w:line="170" w:lineRule="exact"/>
        <w:rPr>
          <w:sz w:val="20"/>
          <w:szCs w:val="20"/>
          <w:color w:val="auto"/>
        </w:rPr>
      </w:pPr>
    </w:p>
    <w:p>
      <w:pPr>
        <w:jc w:val="both"/>
        <w:ind w:left="120" w:firstLine="648"/>
        <w:spacing w:after="0" w:line="259" w:lineRule="auto"/>
        <w:rPr>
          <w:sz w:val="20"/>
          <w:szCs w:val="20"/>
          <w:color w:val="auto"/>
        </w:rPr>
      </w:pPr>
      <w:r>
        <w:rPr>
          <w:rFonts w:ascii="Arial" w:cs="Arial" w:eastAsia="Arial" w:hAnsi="Arial"/>
          <w:sz w:val="19"/>
          <w:szCs w:val="19"/>
          <w:color w:val="auto"/>
        </w:rPr>
        <w:t xml:space="preserve">Section 2.11 </w:t>
      </w:r>
      <w:r>
        <w:rPr>
          <w:rFonts w:ascii="Arial" w:cs="Arial" w:eastAsia="Arial" w:hAnsi="Arial"/>
          <w:sz w:val="19"/>
          <w:szCs w:val="19"/>
          <w:u w:val="single" w:color="auto"/>
          <w:color w:val="auto"/>
        </w:rPr>
        <w:t>Consent to Meetings</w:t>
      </w:r>
      <w:r>
        <w:rPr>
          <w:rFonts w:ascii="Arial" w:cs="Arial" w:eastAsia="Arial" w:hAnsi="Arial"/>
          <w:sz w:val="19"/>
          <w:szCs w:val="19"/>
          <w:color w:val="auto"/>
        </w:rPr>
        <w:t>. Attendance of a person at a meeting shall constitute a waiver of notice of such meeting, except when the person objects at the beginning of the meeting to the transaction of any business because the meeting is not lawfully called, noticed or convened and except that attendance at a meeting is not a waiver of any right to object to the consideration of matters not included in the notice, to the extent such notice is required, if such objection is expressly made at the time any such matters are presented at the meeting. Neither the business to be transacted at nor the purpose of any regular or special meeting of stockholders need be specified in any written waiver of notice or consent, except as otherwise provided in these Bylaws.</w:t>
      </w:r>
    </w:p>
    <w:p>
      <w:pPr>
        <w:spacing w:after="0" w:line="179" w:lineRule="exact"/>
        <w:rPr>
          <w:sz w:val="20"/>
          <w:szCs w:val="20"/>
          <w:color w:val="auto"/>
        </w:rPr>
      </w:pPr>
    </w:p>
    <w:p>
      <w:pPr>
        <w:jc w:val="both"/>
        <w:ind w:left="120" w:firstLine="648"/>
        <w:spacing w:after="0" w:line="272"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Director Nominations and Business Conducted at Meetings of Stockholders</w:t>
      </w:r>
      <w:r>
        <w:rPr>
          <w:rFonts w:ascii="Arial" w:cs="Arial" w:eastAsia="Arial" w:hAnsi="Arial"/>
          <w:sz w:val="18"/>
          <w:szCs w:val="18"/>
          <w:color w:val="auto"/>
        </w:rPr>
        <w:t>. Nominations of persons for election to the Board of Directors of the Corporation and the proposal of business to be considered by the stockholders may be made at an annual meeting of stockholders (i) by or at the direction of the Board of Directors or the chairman of the board or (ii) by any stockholder of the Corporation who is entitled to vote on such matter at the meeting, who complied with the notice procedures set forth in Section 2.13 of these Bylaws and who was a stockholder of record at the time such notice is delivered to the secretary of the Corporation. Nominations of persons for election to the Board of Directors may be made at a special meeting of stockholders at which directors are to be elected pursuant to the Corporation's notice of meeting (i) by or at the direction of the Board of Directors or the chairman of the board or (ii) by any stockholder of the Corporation who is entitled to vote on such matter at the meeting, who complied with the notice procedures set forth in Section 2.13 of these Bylaws and who was a stockholder of record at the time such notice is delivered to the secretary of the Corporation.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366" w:right="239" w:bottom="1440" w:gutter="0" w:footer="0" w:header="0"/>
        </w:sectPr>
      </w:pPr>
    </w:p>
    <w:bookmarkStart w:id="59" w:name="page60"/>
    <w:bookmarkEnd w:id="59"/>
    <w:p>
      <w:pPr>
        <w:ind w:left="780"/>
        <w:spacing w:after="0"/>
        <w:tabs>
          <w:tab w:leader="none" w:pos="1920" w:val="left"/>
        </w:tabs>
        <w:rPr>
          <w:sz w:val="20"/>
          <w:szCs w:val="20"/>
          <w:color w:val="auto"/>
        </w:rPr>
      </w:pPr>
      <w:r>
        <w:rPr>
          <w:rFonts w:ascii="Arial" w:cs="Arial" w:eastAsia="Arial" w:hAnsi="Arial"/>
          <w:sz w:val="20"/>
          <w:szCs w:val="20"/>
          <w:color w:val="auto"/>
        </w:rPr>
        <w:t>Section 2.13</w:t>
      </w:r>
      <w:r>
        <w:rPr>
          <w:sz w:val="20"/>
          <w:szCs w:val="20"/>
          <w:color w:val="auto"/>
        </w:rPr>
        <w:tab/>
      </w:r>
      <w:r>
        <w:rPr>
          <w:rFonts w:ascii="Arial" w:cs="Arial" w:eastAsia="Arial" w:hAnsi="Arial"/>
          <w:sz w:val="18"/>
          <w:szCs w:val="18"/>
          <w:u w:val="single" w:color="auto"/>
          <w:color w:val="auto"/>
        </w:rPr>
        <w:t>Advance Notice of Director Nominations and Stockholder Proposals by Stockholders</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33" w:lineRule="auto"/>
        <w:tabs>
          <w:tab w:leader="none" w:pos="1710" w:val="left"/>
        </w:tabs>
        <w:numPr>
          <w:ilvl w:val="0"/>
          <w:numId w:val="30"/>
        </w:numPr>
        <w:rPr>
          <w:rFonts w:ascii="Arial" w:cs="Arial" w:eastAsia="Arial" w:hAnsi="Arial"/>
          <w:sz w:val="19"/>
          <w:szCs w:val="19"/>
          <w:color w:val="auto"/>
        </w:rPr>
      </w:pPr>
      <w:r>
        <w:rPr>
          <w:rFonts w:ascii="Arial" w:cs="Arial" w:eastAsia="Arial" w:hAnsi="Arial"/>
          <w:sz w:val="19"/>
          <w:szCs w:val="19"/>
          <w:color w:val="auto"/>
        </w:rPr>
        <w:t>For nominations or other business to be properly brought before an annual meeting by a stockholder and for nominations to be properly brought before a special meeting by a stockholder in each case pursuant to Section 2.12, the stockholder of record must have given timely notice thereof in writing to the secretary of the Corporation, and, in the case of business other than nominations, such other business must be a proper matter for stockholder action. To be timely, a stockholder’s notice shall be delivered to the secretary at the principal executive offices of the Corporation not later than the close of business on the 90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nor earlier than the close of business on the 120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prior to the first anniversary of the preceding year’s annual meeting; provided that in the event that the date of the annual meeting is more than 30 days before or more than 70 days after such anniversary date, notice by the stockholder to be timely must be so delivered not earlier than the close of business on the 120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prior to such annual meeting and not later than the close of business on the later of the 90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prior to such annual meeting or the 10th day following the day on which public announcement (as defined below) of the date of such meeting is first made by the Corporation. In no event shall the public announcement of an adjournment or postponement of an annual meeting commence a new time period (or extend any time period) for the giving of a stockholder’s notice as described above. The notice must be provided by a stockholder of record and must set forth:</w:t>
      </w:r>
    </w:p>
    <w:p>
      <w:pPr>
        <w:spacing w:after="0" w:line="202" w:lineRule="exact"/>
        <w:rPr>
          <w:rFonts w:ascii="Arial" w:cs="Arial" w:eastAsia="Arial" w:hAnsi="Arial"/>
          <w:sz w:val="19"/>
          <w:szCs w:val="19"/>
          <w:color w:val="auto"/>
        </w:rPr>
      </w:pPr>
    </w:p>
    <w:p>
      <w:pPr>
        <w:jc w:val="both"/>
        <w:ind w:firstLine="1953"/>
        <w:spacing w:after="0" w:line="263" w:lineRule="auto"/>
        <w:tabs>
          <w:tab w:leader="none" w:pos="2474" w:val="left"/>
        </w:tabs>
        <w:numPr>
          <w:ilvl w:val="1"/>
          <w:numId w:val="30"/>
        </w:numPr>
        <w:rPr>
          <w:rFonts w:ascii="Arial" w:cs="Arial" w:eastAsia="Arial" w:hAnsi="Arial"/>
          <w:sz w:val="19"/>
          <w:szCs w:val="19"/>
          <w:color w:val="auto"/>
        </w:rPr>
      </w:pPr>
      <w:r>
        <w:rPr>
          <w:rFonts w:ascii="Arial" w:cs="Arial" w:eastAsia="Arial" w:hAnsi="Arial"/>
          <w:sz w:val="19"/>
          <w:szCs w:val="19"/>
          <w:color w:val="auto"/>
        </w:rPr>
        <w:t>as to each person whom the stockholder proposes to nominate for election or re-election as a director all information relating to such person that is required to be disclosed in solicitations of proxies for election of directors, or is otherwise required, in each case pursuant to Regulation 14A under the Securities Exchange Act of 1934, as amended (the "Exchange Act"), including such person's written consent to being named in the proxy statement as a nominee and to serving as a director if elected;</w:t>
      </w:r>
    </w:p>
    <w:p>
      <w:pPr>
        <w:spacing w:after="0" w:line="176" w:lineRule="exact"/>
        <w:rPr>
          <w:rFonts w:ascii="Arial" w:cs="Arial" w:eastAsia="Arial" w:hAnsi="Arial"/>
          <w:sz w:val="19"/>
          <w:szCs w:val="19"/>
          <w:color w:val="auto"/>
        </w:rPr>
      </w:pPr>
    </w:p>
    <w:p>
      <w:pPr>
        <w:jc w:val="both"/>
        <w:ind w:firstLine="1953"/>
        <w:spacing w:after="0" w:line="278" w:lineRule="auto"/>
        <w:tabs>
          <w:tab w:leader="none" w:pos="2461" w:val="left"/>
        </w:tabs>
        <w:numPr>
          <w:ilvl w:val="1"/>
          <w:numId w:val="30"/>
        </w:numPr>
        <w:rPr>
          <w:rFonts w:ascii="Arial" w:cs="Arial" w:eastAsia="Arial" w:hAnsi="Arial"/>
          <w:sz w:val="18"/>
          <w:szCs w:val="18"/>
          <w:color w:val="auto"/>
        </w:rPr>
      </w:pPr>
      <w:r>
        <w:rPr>
          <w:rFonts w:ascii="Arial" w:cs="Arial" w:eastAsia="Arial" w:hAnsi="Arial"/>
          <w:sz w:val="18"/>
          <w:szCs w:val="18"/>
          <w:color w:val="auto"/>
        </w:rPr>
        <w:t>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the language of the proposed amendment), the reasons for conducting such business at the meeting and any substantial interest (within the meaning of Item 5 of Schedule 14A under the Exchange Act) in such business of such stockholder and the beneficial owner, if any, on whose behalf the proposal is made;</w:t>
      </w:r>
    </w:p>
    <w:p>
      <w:pPr>
        <w:spacing w:after="0" w:line="165" w:lineRule="exact"/>
        <w:rPr>
          <w:rFonts w:ascii="Arial" w:cs="Arial" w:eastAsia="Arial" w:hAnsi="Arial"/>
          <w:sz w:val="18"/>
          <w:szCs w:val="18"/>
          <w:color w:val="auto"/>
        </w:rPr>
      </w:pPr>
    </w:p>
    <w:p>
      <w:pPr>
        <w:jc w:val="both"/>
        <w:ind w:firstLine="1953"/>
        <w:spacing w:after="0" w:line="258" w:lineRule="auto"/>
        <w:tabs>
          <w:tab w:leader="none" w:pos="2435" w:val="left"/>
        </w:tabs>
        <w:numPr>
          <w:ilvl w:val="1"/>
          <w:numId w:val="30"/>
        </w:numPr>
        <w:rPr>
          <w:rFonts w:ascii="Arial" w:cs="Arial" w:eastAsia="Arial" w:hAnsi="Arial"/>
          <w:sz w:val="19"/>
          <w:szCs w:val="19"/>
          <w:color w:val="auto"/>
        </w:rPr>
      </w:pPr>
      <w:r>
        <w:rPr>
          <w:rFonts w:ascii="Arial" w:cs="Arial" w:eastAsia="Arial" w:hAnsi="Arial"/>
          <w:sz w:val="19"/>
          <w:szCs w:val="19"/>
          <w:color w:val="auto"/>
        </w:rPr>
        <w:t>as to the stockholder giving the notice and the beneficial owner, if any, on whose behalf the nomination is made or the business is proposed: (A) the name and address of such stockholder, as they appear on the Corporation's books, and the name and address of such beneficial owner, (B) the class and number of shares of stock of the Corporation which are owned of record by such stockholder and such beneficial owner as of the date of the notice, and a representation that the stockholder will notify the Corporation in writing within five business days after the record date for such meeting of the class and number of shares of stock of the Corporation owned of record by the stockholder and such beneficial owner as of the record date for the meeting, and (C) a representation that the stockholder intends to appear in person or by proxy at the meeting to propose such nomination or business;</w:t>
      </w:r>
    </w:p>
    <w:p>
      <w:pPr>
        <w:spacing w:after="0" w:line="179" w:lineRule="exact"/>
        <w:rPr>
          <w:rFonts w:ascii="Arial" w:cs="Arial" w:eastAsia="Arial" w:hAnsi="Arial"/>
          <w:sz w:val="19"/>
          <w:szCs w:val="19"/>
          <w:color w:val="auto"/>
        </w:rPr>
      </w:pPr>
    </w:p>
    <w:p>
      <w:pPr>
        <w:jc w:val="both"/>
        <w:ind w:firstLine="1953"/>
        <w:spacing w:after="0" w:line="260" w:lineRule="auto"/>
        <w:tabs>
          <w:tab w:leader="none" w:pos="2438" w:val="left"/>
        </w:tabs>
        <w:numPr>
          <w:ilvl w:val="1"/>
          <w:numId w:val="30"/>
        </w:numPr>
        <w:rPr>
          <w:rFonts w:ascii="Arial" w:cs="Arial" w:eastAsia="Arial" w:hAnsi="Arial"/>
          <w:sz w:val="19"/>
          <w:szCs w:val="19"/>
          <w:color w:val="auto"/>
        </w:rPr>
      </w:pPr>
      <w:r>
        <w:rPr>
          <w:rFonts w:ascii="Arial" w:cs="Arial" w:eastAsia="Arial" w:hAnsi="Arial"/>
          <w:sz w:val="19"/>
          <w:szCs w:val="19"/>
          <w:color w:val="auto"/>
        </w:rPr>
        <w:t>as to the stockholder giving the notice or, if the notice is given on behalf of a beneficial owner on whose behalf the nomination is made or the business is proposed, as to such beneficial owner, and if such stockholder or beneficial owner is an entity, as to each director, executive, managing member or control person of such entity (any such person, a “control person”): (A) the class and number of shares of stock of the Corporation which are beneficially owned (as defined below) by such stockholder or beneficial owner and by any control person as of the date of the notice, and a representation that the stockholder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366" w:right="239" w:bottom="1440" w:gutter="0" w:footer="0" w:header="0"/>
        </w:sectPr>
      </w:pPr>
    </w:p>
    <w:bookmarkStart w:id="60" w:name="page61"/>
    <w:bookmarkEnd w:id="60"/>
    <w:p>
      <w:pPr>
        <w:jc w:val="both"/>
        <w:spacing w:after="0" w:line="275" w:lineRule="auto"/>
        <w:rPr>
          <w:sz w:val="20"/>
          <w:szCs w:val="20"/>
          <w:color w:val="auto"/>
        </w:rPr>
      </w:pPr>
      <w:r>
        <w:rPr>
          <w:rFonts w:ascii="Arial" w:cs="Arial" w:eastAsia="Arial" w:hAnsi="Arial"/>
          <w:sz w:val="18"/>
          <w:szCs w:val="18"/>
          <w:color w:val="auto"/>
        </w:rPr>
        <w:t>will notify the Corporation in writing within five business days after the record date for such meeting of the class and number of shares of stock of the Corporation beneficially owned by such stockholder or beneficial owner and by any control person as of the record date for the meeting,</w:t>
      </w:r>
    </w:p>
    <w:p>
      <w:pPr>
        <w:spacing w:after="0" w:line="1" w:lineRule="exact"/>
        <w:rPr>
          <w:sz w:val="20"/>
          <w:szCs w:val="20"/>
          <w:color w:val="auto"/>
        </w:rPr>
      </w:pPr>
    </w:p>
    <w:p>
      <w:pPr>
        <w:jc w:val="both"/>
        <w:ind w:firstLine="8"/>
        <w:spacing w:after="0" w:line="253" w:lineRule="auto"/>
        <w:tabs>
          <w:tab w:leader="none" w:pos="334" w:val="left"/>
        </w:tabs>
        <w:numPr>
          <w:ilvl w:val="0"/>
          <w:numId w:val="31"/>
        </w:numPr>
        <w:rPr>
          <w:rFonts w:ascii="Arial" w:cs="Arial" w:eastAsia="Arial" w:hAnsi="Arial"/>
          <w:sz w:val="19"/>
          <w:szCs w:val="19"/>
          <w:color w:val="auto"/>
        </w:rPr>
      </w:pPr>
      <w:r>
        <w:rPr>
          <w:rFonts w:ascii="Arial" w:cs="Arial" w:eastAsia="Arial" w:hAnsi="Arial"/>
          <w:sz w:val="19"/>
          <w:szCs w:val="19"/>
          <w:color w:val="auto"/>
        </w:rPr>
        <w:t>a description of any agreement, arrangement or understanding with respect to the nomination or other business between or among such stockholder or beneficial owner or control person and any other person, including without limitation any agreements that would be required to be disclosed pursuant to Item 5 or Item 6 of Exchange Act Schedule 13D (regardless of whether the requirement to file a Schedule 13D is applicable to the stockholder, beneficial owner or control person) and a representation that the stockholder will notify the Corporation in writing within five business days after the record date for such meeting of any such agreement, arrangement or understanding in effect as of the record date for the meeting, (C) a description of any agreement, arrangement or understanding (including any derivative or short positions, profit interests, options, hedging transactions, and borrowed or loaned shares) that has been entered into as of the date of the stockholder's notice by, or on behalf of, such stockholder or beneficial owner and by any control person or any other person acting in concert with any of the foregoing, the effect or intent of which is to mitigate loss, manage risk or benefit from changes in the share price of any class of the Corporation's stock, or maintain, increase or decrease the voting power of the stockholder or beneficial owner with respect to shares of stock of the Corporation, and a representation that the stockholder will notify the Corporation in writing within five business days after the record date for such meeting of any such agreement, arrangement or understanding in effect as of the record date for the meeting, (D) a representation whether the stockholder or the beneficial owner, if any, and any control person will engage in a solicitation with respect to the nomination or business and, if so, the name of each participant (as defined in Item 4 of Schedule 14A under the Exchange Act) in such solicitation and whether such person intends or is part of a group which intends to deliver a proxy statement and/or form of proxy to holders of at least the percentage of the Corporation's outstanding stock required to approve or adopt the business to be proposed (in person or by proxy) by the stockholder; and</w:t>
      </w:r>
    </w:p>
    <w:p>
      <w:pPr>
        <w:spacing w:after="0" w:line="187" w:lineRule="exact"/>
        <w:rPr>
          <w:rFonts w:ascii="Arial" w:cs="Arial" w:eastAsia="Arial" w:hAnsi="Arial"/>
          <w:sz w:val="19"/>
          <w:szCs w:val="19"/>
          <w:color w:val="auto"/>
        </w:rPr>
      </w:pPr>
    </w:p>
    <w:p>
      <w:pPr>
        <w:jc w:val="both"/>
        <w:ind w:firstLine="1953"/>
        <w:spacing w:after="0" w:line="244" w:lineRule="auto"/>
        <w:tabs>
          <w:tab w:leader="none" w:pos="2450" w:val="left"/>
        </w:tabs>
        <w:numPr>
          <w:ilvl w:val="2"/>
          <w:numId w:val="31"/>
        </w:numPr>
        <w:rPr>
          <w:rFonts w:ascii="Arial" w:cs="Arial" w:eastAsia="Arial" w:hAnsi="Arial"/>
          <w:sz w:val="20"/>
          <w:szCs w:val="20"/>
          <w:color w:val="auto"/>
        </w:rPr>
      </w:pPr>
      <w:r>
        <w:rPr>
          <w:rFonts w:ascii="Arial" w:cs="Arial" w:eastAsia="Arial" w:hAnsi="Arial"/>
          <w:sz w:val="20"/>
          <w:szCs w:val="20"/>
          <w:color w:val="auto"/>
        </w:rPr>
        <w:t>a certification that the stockholder giving the notice and the beneficial owner(s), if any, on whose behalf the nomination is made or the business is proposed, has or have complied with all applicable federal, state and other legal requirements in connection with such stockholder’s and/or each such beneficial owner’s acquisition of shares of capital stock or other securities of the Corporation and/or such stockholder’s and/or each such beneficial owner’s acts or omissions as a stockholder of the Corporation, including, without limitation, in connection with such nomination or proposal.</w:t>
      </w:r>
    </w:p>
    <w:p>
      <w:pPr>
        <w:spacing w:after="0" w:line="194" w:lineRule="exact"/>
        <w:rPr>
          <w:rFonts w:ascii="Arial" w:cs="Arial" w:eastAsia="Arial" w:hAnsi="Arial"/>
          <w:sz w:val="20"/>
          <w:szCs w:val="20"/>
          <w:color w:val="auto"/>
        </w:rPr>
      </w:pPr>
    </w:p>
    <w:p>
      <w:pPr>
        <w:jc w:val="both"/>
        <w:ind w:firstLine="1305"/>
        <w:spacing w:after="0" w:line="250" w:lineRule="auto"/>
        <w:tabs>
          <w:tab w:leader="none" w:pos="1734" w:val="left"/>
        </w:tabs>
        <w:numPr>
          <w:ilvl w:val="1"/>
          <w:numId w:val="31"/>
        </w:numPr>
        <w:rPr>
          <w:rFonts w:ascii="Arial" w:cs="Arial" w:eastAsia="Arial" w:hAnsi="Arial"/>
          <w:sz w:val="20"/>
          <w:szCs w:val="20"/>
          <w:color w:val="auto"/>
        </w:rPr>
      </w:pPr>
      <w:r>
        <w:rPr>
          <w:rFonts w:ascii="Arial" w:cs="Arial" w:eastAsia="Arial" w:hAnsi="Arial"/>
          <w:sz w:val="20"/>
          <w:szCs w:val="20"/>
          <w:color w:val="auto"/>
        </w:rPr>
        <w:t>The Corporation may require any proposed nominee to furnish such other information as may reasonably be required by the Corporation to determine the eligibility of such proposed nominee to serve as a director of the Corporation, including information relevant to a determination whether such proposed nominee can be considered an independent director.</w:t>
      </w:r>
    </w:p>
    <w:p>
      <w:pPr>
        <w:spacing w:after="0" w:line="186" w:lineRule="exact"/>
        <w:rPr>
          <w:rFonts w:ascii="Arial" w:cs="Arial" w:eastAsia="Arial" w:hAnsi="Arial"/>
          <w:sz w:val="20"/>
          <w:szCs w:val="20"/>
          <w:color w:val="auto"/>
        </w:rPr>
      </w:pPr>
    </w:p>
    <w:p>
      <w:pPr>
        <w:jc w:val="both"/>
        <w:ind w:firstLine="1305"/>
        <w:spacing w:after="0" w:line="273" w:lineRule="auto"/>
        <w:tabs>
          <w:tab w:leader="none" w:pos="1737" w:val="left"/>
        </w:tabs>
        <w:numPr>
          <w:ilvl w:val="1"/>
          <w:numId w:val="31"/>
        </w:numPr>
        <w:rPr>
          <w:rFonts w:ascii="Arial" w:cs="Arial" w:eastAsia="Arial" w:hAnsi="Arial"/>
          <w:sz w:val="18"/>
          <w:szCs w:val="18"/>
          <w:color w:val="auto"/>
        </w:rPr>
      </w:pPr>
      <w:r>
        <w:rPr>
          <w:rFonts w:ascii="Arial" w:cs="Arial" w:eastAsia="Arial" w:hAnsi="Arial"/>
          <w:sz w:val="18"/>
          <w:szCs w:val="18"/>
          <w:color w:val="auto"/>
        </w:rPr>
        <w:t>For purposes of Section 2.13(a), a “public announcement” shall mean disclosure in a press release reported by the Dow Jones News Service, Associated Press or a comparable national news service or in a document publicly filed by the Corporation with the Securities and Exchange Commission pursuant to Sections 13, 14 or 15(d) of the Exchange Act. For purposes of clause (a)(iv)(A) of this Section 2.13, shares shall be treated as “beneficially owned” by a person if the person beneficially owns such shares, directly or indirectly, for purposes of Section 13(d) of the Exchange Act and Regulations 13D and 13G thereunder or has or shares pursuant to any agreement, arrangement or understanding (whether or not in writing): (i) the right to acquire such shares (whether such right is exercisable immediately or only after the passage of time or the fulfillment of a condition or both), (ii) the right to vote such shares, alone or in concert with others and/or (iii) investment power with respect to such shares, including the power to dispose of, or to direct the disposition of, such shares.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366" w:right="239" w:bottom="1440" w:gutter="0" w:footer="0" w:header="0"/>
        </w:sectPr>
      </w:pPr>
    </w:p>
    <w:bookmarkStart w:id="61" w:name="page62"/>
    <w:bookmarkEnd w:id="61"/>
    <w:p>
      <w:pPr>
        <w:jc w:val="both"/>
        <w:ind w:firstLine="1305"/>
        <w:spacing w:after="0" w:line="246" w:lineRule="auto"/>
        <w:tabs>
          <w:tab w:leader="none" w:pos="1748"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This Section 2.13 shall not apply to notice of a proposal to be made by a stockholder if the stockholder has notified the Corporation of his or her intention to present the proposal at an annual or special meeting only pursuant to and in compliance with Rule 14a-8 under the Exchange Act and such proposal has been included in a proxy statement that has been prepared by the Corporation to solicit proxies for such meeting.</w:t>
      </w:r>
    </w:p>
    <w:p>
      <w:pPr>
        <w:spacing w:after="0" w:line="191" w:lineRule="exact"/>
        <w:rPr>
          <w:rFonts w:ascii="Arial" w:cs="Arial" w:eastAsia="Arial" w:hAnsi="Arial"/>
          <w:sz w:val="20"/>
          <w:szCs w:val="20"/>
          <w:color w:val="auto"/>
        </w:rPr>
      </w:pPr>
    </w:p>
    <w:p>
      <w:pPr>
        <w:jc w:val="both"/>
        <w:ind w:firstLine="1305"/>
        <w:spacing w:after="0" w:line="257" w:lineRule="auto"/>
        <w:tabs>
          <w:tab w:leader="none" w:pos="1777" w:val="left"/>
        </w:tabs>
        <w:numPr>
          <w:ilvl w:val="0"/>
          <w:numId w:val="32"/>
        </w:numPr>
        <w:rPr>
          <w:rFonts w:ascii="Arial" w:cs="Arial" w:eastAsia="Arial" w:hAnsi="Arial"/>
          <w:sz w:val="19"/>
          <w:szCs w:val="19"/>
          <w:color w:val="auto"/>
        </w:rPr>
      </w:pPr>
      <w:r>
        <w:rPr>
          <w:rFonts w:ascii="Arial" w:cs="Arial" w:eastAsia="Arial" w:hAnsi="Arial"/>
          <w:sz w:val="19"/>
          <w:szCs w:val="19"/>
          <w:color w:val="auto"/>
        </w:rPr>
        <w:t>If the stockholder does not provide the information required under clause (a)(iii)(B) and clauses (a)(iv)(A)-(C) of this Section 2.13 to the Corporation within the time frames specified herein, or if the stockholder (or a qualified representative of the stockholder)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The chairman of the meeting shall have the power to determine whether notice of a nomination or of any business proposed to be brought before the meeting was properly made in accordance with the procedures set forth in this Section 2.13. Notwithstanding the foregoing provisions hereof, a stockholder shall also comply with all applicable requirements of the Act, and the rules and regulations thereunder with respect to the matters set forth herein.</w:t>
      </w:r>
    </w:p>
    <w:p>
      <w:pPr>
        <w:spacing w:after="0" w:line="181" w:lineRule="exact"/>
        <w:rPr>
          <w:sz w:val="20"/>
          <w:szCs w:val="20"/>
          <w:color w:val="auto"/>
        </w:rPr>
      </w:pPr>
    </w:p>
    <w:p>
      <w:pPr>
        <w:jc w:val="both"/>
        <w:ind w:left="120" w:firstLine="648"/>
        <w:spacing w:after="0" w:line="273" w:lineRule="auto"/>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Meetings Through Electronic Communications</w:t>
      </w:r>
      <w:r>
        <w:rPr>
          <w:rFonts w:ascii="Arial" w:cs="Arial" w:eastAsia="Arial" w:hAnsi="Arial"/>
          <w:sz w:val="18"/>
          <w:szCs w:val="18"/>
          <w:color w:val="auto"/>
        </w:rPr>
        <w:t>. Stockholders may participate in a meeting of the stockholders by any means of electronic communications, videoconferencing, teleconferencing or other available technology permitted under the NRS (including, without limitation, a telephone conference or similar method of communication by which all individuals participating in the meeting can hear each other) and utilized by the Corporation. If any such means are utilized, the Corporation shall, to the extent required under the NRS, implement reasonable measures to (a) verify the identity of each person participating through such means as a stockholder and (b) provide the stockholders a reasonable opportunity to participate in the meeting and to vote on matters submitted to the stockholders, including an opportunity to communicate, and to read or hear the proceedings of the meeting in a substantially concurrent manner with such proceedings. Participation in a meeting pursuant to this Section 2.14 constitutes presence in person at the meeting.</w:t>
      </w:r>
    </w:p>
    <w:p>
      <w:pPr>
        <w:spacing w:after="0" w:line="169"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ARTICLE III</w:t>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20"/>
          <w:szCs w:val="20"/>
          <w:u w:val="single" w:color="auto"/>
          <w:color w:val="auto"/>
        </w:rPr>
        <w:t>DIRECTORS</w:t>
      </w:r>
    </w:p>
    <w:p>
      <w:pPr>
        <w:spacing w:after="0" w:line="200" w:lineRule="exact"/>
        <w:rPr>
          <w:sz w:val="20"/>
          <w:szCs w:val="20"/>
          <w:color w:val="auto"/>
        </w:rPr>
      </w:pPr>
    </w:p>
    <w:p>
      <w:pPr>
        <w:jc w:val="both"/>
        <w:ind w:left="120" w:right="20" w:firstLine="648"/>
        <w:spacing w:after="0" w:line="287" w:lineRule="auto"/>
        <w:rPr>
          <w:sz w:val="20"/>
          <w:szCs w:val="20"/>
          <w:color w:val="auto"/>
        </w:rPr>
      </w:pPr>
      <w:r>
        <w:rPr>
          <w:rFonts w:ascii="Arial" w:cs="Arial" w:eastAsia="Arial" w:hAnsi="Arial"/>
          <w:sz w:val="19"/>
          <w:szCs w:val="19"/>
          <w:color w:val="auto"/>
        </w:rPr>
        <w:t xml:space="preserve">Section 3.1 </w:t>
      </w:r>
      <w:r>
        <w:rPr>
          <w:rFonts w:ascii="Arial" w:cs="Arial" w:eastAsia="Arial" w:hAnsi="Arial"/>
          <w:sz w:val="19"/>
          <w:szCs w:val="19"/>
          <w:u w:val="single" w:color="auto"/>
          <w:color w:val="auto"/>
        </w:rPr>
        <w:t>General Powers; Performance of Duties</w:t>
      </w:r>
      <w:r>
        <w:rPr>
          <w:rFonts w:ascii="Arial" w:cs="Arial" w:eastAsia="Arial" w:hAnsi="Arial"/>
          <w:sz w:val="19"/>
          <w:szCs w:val="19"/>
          <w:color w:val="auto"/>
        </w:rPr>
        <w:t>. The business and affairs of the Corporation shall be managed by or under the direction of the Board of Directors, except as otherwise provided in Chapter 78 of the NRS or the Articles of Incorporation.</w:t>
      </w:r>
    </w:p>
    <w:p>
      <w:pPr>
        <w:spacing w:after="0" w:line="153" w:lineRule="exact"/>
        <w:rPr>
          <w:sz w:val="20"/>
          <w:szCs w:val="20"/>
          <w:color w:val="auto"/>
        </w:rPr>
      </w:pPr>
    </w:p>
    <w:p>
      <w:pPr>
        <w:ind w:left="780"/>
        <w:spacing w:after="0"/>
        <w:tabs>
          <w:tab w:leader="none" w:pos="1820" w:val="left"/>
        </w:tabs>
        <w:rPr>
          <w:sz w:val="20"/>
          <w:szCs w:val="20"/>
          <w:color w:val="auto"/>
        </w:rPr>
      </w:pPr>
      <w:r>
        <w:rPr>
          <w:rFonts w:ascii="Arial" w:cs="Arial" w:eastAsia="Arial" w:hAnsi="Arial"/>
          <w:sz w:val="20"/>
          <w:szCs w:val="20"/>
          <w:color w:val="auto"/>
        </w:rPr>
        <w:t>Section 3.2</w:t>
      </w:r>
      <w:r>
        <w:rPr>
          <w:sz w:val="20"/>
          <w:szCs w:val="20"/>
          <w:color w:val="auto"/>
        </w:rPr>
        <w:tab/>
      </w:r>
      <w:r>
        <w:rPr>
          <w:rFonts w:ascii="Arial" w:cs="Arial" w:eastAsia="Arial" w:hAnsi="Arial"/>
          <w:sz w:val="18"/>
          <w:szCs w:val="18"/>
          <w:u w:val="single" w:color="auto"/>
          <w:color w:val="auto"/>
        </w:rPr>
        <w:t>Number, Tenure, and Qualifications</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43" w:lineRule="auto"/>
        <w:tabs>
          <w:tab w:leader="none" w:pos="175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Board of Directors shall consist of at least one (1) individual and not more than thirteen (13) individuals, with the number of directors within the foregoing fixed minimum and maximum established and changed from time to time solely by resolution adopted by the Board of Directors without amendment to these Bylaws or the Articles of Incorporation. Each director shall hold office until his or her successor shall be elected or appointed and qualified or until his or her earlier death, retirement, disqualification, resignation or removal. No reduction of the number of directors shall have the effect of removing any director prior to the expiration of his or her term of office. No provision of this Section 3.2 shall restrict the right of the Board of Directors to fill vacancies or the right of the stockholders to remove directors, each as provided in these Bylaws.</w:t>
      </w:r>
    </w:p>
    <w:p>
      <w:pPr>
        <w:spacing w:after="0" w:line="193" w:lineRule="exact"/>
        <w:rPr>
          <w:rFonts w:ascii="Arial" w:cs="Arial" w:eastAsia="Arial" w:hAnsi="Arial"/>
          <w:sz w:val="20"/>
          <w:szCs w:val="20"/>
          <w:color w:val="auto"/>
        </w:rPr>
      </w:pPr>
    </w:p>
    <w:p>
      <w:pPr>
        <w:ind w:left="1720" w:hanging="415"/>
        <w:spacing w:after="0"/>
        <w:tabs>
          <w:tab w:leader="none" w:pos="17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Intentionally deleted.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366" w:right="239" w:bottom="1440" w:gutter="0" w:footer="0" w:header="0"/>
        </w:sectPr>
      </w:pPr>
    </w:p>
    <w:bookmarkStart w:id="62" w:name="page63"/>
    <w:bookmarkEnd w:id="62"/>
    <w:p>
      <w:pPr>
        <w:jc w:val="both"/>
        <w:ind w:firstLine="648"/>
        <w:spacing w:after="0" w:line="342"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Chairman of the Board</w:t>
      </w:r>
      <w:r>
        <w:rPr>
          <w:rFonts w:ascii="Arial" w:cs="Arial" w:eastAsia="Arial" w:hAnsi="Arial"/>
          <w:sz w:val="16"/>
          <w:szCs w:val="16"/>
          <w:color w:val="auto"/>
        </w:rPr>
        <w:t>. The Board of Directors shall elect a chairman of the board from the members of the Board of Directors, who shall preside at all meetings of the Board of Directors and stockholders at which he or she shall be present and shall have and may exercise such powers as may, from time to time, be assigned to him or her by the Board of Directors, these Bylaws or as provided by law.</w:t>
      </w:r>
    </w:p>
    <w:p>
      <w:pPr>
        <w:spacing w:after="0" w:line="11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3.4 </w:t>
      </w:r>
      <w:r>
        <w:rPr>
          <w:rFonts w:ascii="Arial" w:cs="Arial" w:eastAsia="Arial" w:hAnsi="Arial"/>
          <w:sz w:val="20"/>
          <w:szCs w:val="20"/>
          <w:u w:val="single" w:color="auto"/>
          <w:color w:val="auto"/>
        </w:rPr>
        <w:t>Vice Chairman of the Board</w:t>
      </w:r>
      <w:r>
        <w:rPr>
          <w:rFonts w:ascii="Arial" w:cs="Arial" w:eastAsia="Arial" w:hAnsi="Arial"/>
          <w:sz w:val="20"/>
          <w:szCs w:val="20"/>
          <w:color w:val="auto"/>
        </w:rPr>
        <w:t>. The Board of Directors may elect a vice chairman of the board from the members of the Board of Directors who shall preside at all meetings of the Board of Directors and stockholders at which he or she shall be present and the chairman is not present and shall have and may exercise such powers as may, from time to time, be assigned to him or her by the Board of Directors, these Bylaws or as provided by law.</w:t>
      </w:r>
    </w:p>
    <w:p>
      <w:pPr>
        <w:spacing w:after="0" w:line="19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3.5 </w:t>
      </w:r>
      <w:r>
        <w:rPr>
          <w:rFonts w:ascii="Arial" w:cs="Arial" w:eastAsia="Arial" w:hAnsi="Arial"/>
          <w:sz w:val="19"/>
          <w:szCs w:val="19"/>
          <w:u w:val="single" w:color="auto"/>
          <w:color w:val="auto"/>
        </w:rPr>
        <w:t>Classification and Elections</w:t>
      </w:r>
      <w:r>
        <w:rPr>
          <w:rFonts w:ascii="Arial" w:cs="Arial" w:eastAsia="Arial" w:hAnsi="Arial"/>
          <w:sz w:val="19"/>
          <w:szCs w:val="19"/>
          <w:color w:val="auto"/>
        </w:rPr>
        <w:t>. The directors shall be classified, with respect to the time for which they shall hold their respective offices, by dividing them into three classes, to be known as “Class I,” “Class II” and “Class III.” Each director shall hold office for a three-year term or until the next annual meeting of stockholders at which his or her successor is elected and qualified. At each annual meeting of stockholders, successors to the directors of the class whose term of office expires at such annual meeting shall be elected to hold office until the third succeeding annual meeting of stockholders, so that the term of office of only one class of directors shall expire at each annual meeting. The number of directors in each class, which shall be such that as near as possible to one-third and at least one-fourth (or such other fraction as required by the NRS) in number are elected at each annual meeting, shall be established from time to time by resolution of the Board of Directors and shall be increased or decreased by resolution of the Board of Directors, as may be appropriate whenever the total number of directors is increased or decreased.</w:t>
      </w:r>
    </w:p>
    <w:p>
      <w:pPr>
        <w:spacing w:after="0" w:line="1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3.6 </w:t>
      </w:r>
      <w:r>
        <w:rPr>
          <w:rFonts w:ascii="Arial" w:cs="Arial" w:eastAsia="Arial" w:hAnsi="Arial"/>
          <w:sz w:val="19"/>
          <w:szCs w:val="19"/>
          <w:u w:val="single" w:color="auto"/>
          <w:color w:val="auto"/>
        </w:rPr>
        <w:t>Removal and Resignation of Directors</w:t>
      </w:r>
      <w:r>
        <w:rPr>
          <w:rFonts w:ascii="Arial" w:cs="Arial" w:eastAsia="Arial" w:hAnsi="Arial"/>
          <w:sz w:val="19"/>
          <w:szCs w:val="19"/>
          <w:color w:val="auto"/>
        </w:rPr>
        <w:t>. Subject to any rights of the holders of preferred stock, if any, and except as otherwise provided in the NRS, any director may be removed from office with or without cause by the affirmative vote of the holders of not less than two-thirds (2/3) of the voting power of the issued and outstanding stock of the Corporation entitled to vote generally in the election of directors (voting as a single class) excluding stock entitled to vote only upon the happening of a fact or event unless such fact or event shall have occurred. In addition, the Board of Directors of the Corporation, by majority vote, may declare vacant the office of a director who has been (a) declared incompetent by an order of a court of competent jurisdiction, or (b) convicted of a felony or (c) found to be unsuitable to serve as a director of the Corporation by a Gaming Authority in any jurisdiction in which the Corporation or any of its Affiliates holds a gaming license. Any director may resign effective upon giving written notice, unless the notice specifies a later time for effectiveness of such resignation, to the chairman of the board, if any, the president or the secretary, or in the absence of all of them, any other officer of the Corporation.</w:t>
      </w:r>
    </w:p>
    <w:p>
      <w:pPr>
        <w:spacing w:after="0" w:line="18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Section 3.7 </w:t>
      </w:r>
      <w:r>
        <w:rPr>
          <w:rFonts w:ascii="Arial" w:cs="Arial" w:eastAsia="Arial" w:hAnsi="Arial"/>
          <w:sz w:val="19"/>
          <w:szCs w:val="19"/>
          <w:u w:val="single" w:color="auto"/>
          <w:color w:val="auto"/>
        </w:rPr>
        <w:t>Vacancies; Newly Created Directorships</w:t>
      </w:r>
      <w:r>
        <w:rPr>
          <w:rFonts w:ascii="Arial" w:cs="Arial" w:eastAsia="Arial" w:hAnsi="Arial"/>
          <w:sz w:val="19"/>
          <w:szCs w:val="19"/>
          <w:color w:val="auto"/>
        </w:rPr>
        <w:t>. Subject to any rights of the holders of preferred stock, if any, any vacancies on the Board of Directors resulting from death, resignation, retirement, disqualification, removal from office, or other cause, and newly created directorships resulting from any increase in the authorized number of directors, may be filled by a majority vote of the directors then in office or by a sole remaining director, in either case though less than a quorum, and the director(s) so chosen shall hold office for a term expiring at the next annual meeting of stockholders and when their successors are elected or appointed, at which the term of the class to which he or she has been elected expires, or until his or her earlier resignation or removal. No decrease in the number of directors constituting the Board of Directors shall shorten the term of any incumbent directors.</w:t>
      </w:r>
    </w:p>
    <w:p>
      <w:pPr>
        <w:spacing w:after="0" w:line="200" w:lineRule="exact"/>
        <w:rPr>
          <w:sz w:val="20"/>
          <w:szCs w:val="20"/>
          <w:color w:val="auto"/>
        </w:rPr>
      </w:pPr>
    </w:p>
    <w:p>
      <w:pPr>
        <w:spacing w:after="0" w:line="222"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300"/>
          </w:cols>
          <w:pgMar w:left="360" w:top="366" w:right="239" w:bottom="1440" w:gutter="0" w:footer="0" w:header="0"/>
        </w:sectPr>
      </w:pPr>
    </w:p>
    <w:bookmarkStart w:id="63" w:name="page64"/>
    <w:bookmarkEnd w:id="63"/>
    <w:p>
      <w:pPr>
        <w:jc w:val="both"/>
        <w:ind w:left="120" w:firstLine="648"/>
        <w:spacing w:after="0" w:line="276"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Annual and Regular Meetings</w:t>
      </w:r>
      <w:r>
        <w:rPr>
          <w:rFonts w:ascii="Arial" w:cs="Arial" w:eastAsia="Arial" w:hAnsi="Arial"/>
          <w:sz w:val="18"/>
          <w:szCs w:val="18"/>
          <w:color w:val="auto"/>
        </w:rPr>
        <w:t>. Within two (2) business days before or after the annual meeting of the stockholders or any special meeting of the stockholders at which directors are elected (and within two (2) business days after such meeting if any individual first becomes a director by way of such election), the Board of Directors, including directors newly elected, if any, shall hold its annual meeting without call or notice other than this Section 3.8, to transact such business as the Board of Directors deems necessary or appropriate. The Board of Directors may provide by resolution the place, date, and hour for holding regular meetings between annual meetings, and if the Board of Directors so provides with respect to a regular meeting, notice of such regular meeting shall not be required.</w:t>
      </w:r>
    </w:p>
    <w:p>
      <w:pPr>
        <w:spacing w:after="0" w:line="165" w:lineRule="exact"/>
        <w:rPr>
          <w:sz w:val="20"/>
          <w:szCs w:val="20"/>
          <w:color w:val="auto"/>
        </w:rPr>
      </w:pPr>
    </w:p>
    <w:p>
      <w:pPr>
        <w:jc w:val="both"/>
        <w:ind w:left="120" w:firstLine="648"/>
        <w:spacing w:after="0" w:line="276"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Special Meetings</w:t>
      </w:r>
      <w:r>
        <w:rPr>
          <w:rFonts w:ascii="Arial" w:cs="Arial" w:eastAsia="Arial" w:hAnsi="Arial"/>
          <w:sz w:val="18"/>
          <w:szCs w:val="18"/>
          <w:color w:val="auto"/>
        </w:rPr>
        <w:t>. Subject to any rights of the holders of preferred stock, if any, and except as otherwise required by law, special meetings of the Board of Directors may be called only by the chairman of the board, if any, or if there be no chairman of the board, by the chief executive officer, if any, or by the president or the secretary, and shall be called by the chairman of the board, if any, the chief executive officer, if any, the president, or the secretary upon the request of at least a majority of the Board of Directors. If the chairman of the board, or if there be no chairman of the board, each of the chief executive officer, the president, and the secretary, fails for any reason to call such special meeting, a special meeting may be called by a notice signed by at least a majority of the Board of Directors.</w:t>
      </w:r>
    </w:p>
    <w:p>
      <w:pPr>
        <w:spacing w:after="0" w:line="165" w:lineRule="exact"/>
        <w:rPr>
          <w:sz w:val="20"/>
          <w:szCs w:val="20"/>
          <w:color w:val="auto"/>
        </w:rPr>
      </w:pPr>
    </w:p>
    <w:p>
      <w:pPr>
        <w:jc w:val="both"/>
        <w:ind w:left="120" w:firstLine="648"/>
        <w:spacing w:after="0" w:line="250" w:lineRule="auto"/>
        <w:rPr>
          <w:sz w:val="20"/>
          <w:szCs w:val="20"/>
          <w:color w:val="auto"/>
        </w:rPr>
      </w:pPr>
      <w:r>
        <w:rPr>
          <w:rFonts w:ascii="Arial" w:cs="Arial" w:eastAsia="Arial" w:hAnsi="Arial"/>
          <w:sz w:val="20"/>
          <w:szCs w:val="20"/>
          <w:color w:val="auto"/>
        </w:rPr>
        <w:t xml:space="preserve">Section 3.10 </w:t>
      </w:r>
      <w:r>
        <w:rPr>
          <w:rFonts w:ascii="Arial" w:cs="Arial" w:eastAsia="Arial" w:hAnsi="Arial"/>
          <w:sz w:val="20"/>
          <w:szCs w:val="20"/>
          <w:u w:val="single" w:color="auto"/>
          <w:color w:val="auto"/>
        </w:rPr>
        <w:t>Place of Meetings</w:t>
      </w:r>
      <w:r>
        <w:rPr>
          <w:rFonts w:ascii="Arial" w:cs="Arial" w:eastAsia="Arial" w:hAnsi="Arial"/>
          <w:sz w:val="20"/>
          <w:szCs w:val="20"/>
          <w:color w:val="auto"/>
        </w:rPr>
        <w:t>. Any regular or special meeting of the Board of Directors may be held at such place as the Board of Directors, or in the absence of such designation, as the notice calling such meeting, may designate. A waiver of notice signed by the directors may designate any place for the holding of such meeting.</w:t>
      </w:r>
    </w:p>
    <w:p>
      <w:pPr>
        <w:spacing w:after="0" w:line="186" w:lineRule="exact"/>
        <w:rPr>
          <w:sz w:val="20"/>
          <w:szCs w:val="20"/>
          <w:color w:val="auto"/>
        </w:rPr>
      </w:pPr>
    </w:p>
    <w:p>
      <w:pPr>
        <w:jc w:val="both"/>
        <w:ind w:left="120" w:firstLine="648"/>
        <w:spacing w:after="0" w:line="269"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Notice of Meetings</w:t>
      </w:r>
      <w:r>
        <w:rPr>
          <w:rFonts w:ascii="Arial" w:cs="Arial" w:eastAsia="Arial" w:hAnsi="Arial"/>
          <w:sz w:val="18"/>
          <w:szCs w:val="18"/>
          <w:color w:val="auto"/>
        </w:rPr>
        <w:t>. Except as otherwise provided in Section 3.8, there shall be delivered to each director at the address appearing for him or her on the records of the Corporation, at least twenty-four (24) hours before the time of such meeting, a copy of a written notice of any meeting (i) by delivery of such notice personally, (ii) by mailing such notice postage prepaid, (iii) by facsimile, (iv) by overnight courier, or (v) by electronic transmission or electronic writing, including, without limitation, e-mail. If mailed to an address inside the United States, the notice shall be deemed delivered two (2) business days following the date the same is deposited in the United States mail, postage prepaid. If mailed to an address outside the United States, the notice shall be deemed delivered four (4) business days following the date the same is deposited in the United States mail, postage prepaid. If sent via overnight courier, the notice shall be deemed delivered the business day following the delivery of such notice to the courier. If sent via facsimile, the notice shall be deemed delivered upon sender’s receipt of confirmation of the successful transmission. If sent by electronic transmission (including, without limitation, e-mail), the notice shall be deemed delivered when directed to the e-mail address of the director appearing on the records of the Corporation and otherwise pursuant to the applicable provisions of NRS Chapter 75. If the address of any director is incomplete or does not appear upon the records of the Corporation it will be sufficient to address any notice to such director at the registered office of the Corporation. Any director may waive notice of any meeting, and the attendance of a director at a meeting and oral consent entered on the minutes of such meeting shall constitute waiver of notice of the meeting unless such director objects, prior to the transaction of any business, that the meeting was not lawfully called, noticed or convened. Attendance for the express purpose of objecting to the transaction of business thereat because the meeting was not properly called or convened shall not constitute presence or a waiver of notice for purposes hereof.</w:t>
      </w:r>
    </w:p>
    <w:p>
      <w:pPr>
        <w:spacing w:after="0" w:line="178" w:lineRule="exact"/>
        <w:rPr>
          <w:sz w:val="20"/>
          <w:szCs w:val="20"/>
          <w:color w:val="auto"/>
        </w:rPr>
      </w:pPr>
    </w:p>
    <w:p>
      <w:pPr>
        <w:ind w:left="780"/>
        <w:spacing w:after="0"/>
        <w:tabs>
          <w:tab w:leader="none" w:pos="1920" w:val="left"/>
        </w:tabs>
        <w:rPr>
          <w:sz w:val="20"/>
          <w:szCs w:val="20"/>
          <w:color w:val="auto"/>
        </w:rPr>
      </w:pPr>
      <w:r>
        <w:rPr>
          <w:rFonts w:ascii="Arial" w:cs="Arial" w:eastAsia="Arial" w:hAnsi="Arial"/>
          <w:sz w:val="20"/>
          <w:szCs w:val="20"/>
          <w:color w:val="auto"/>
        </w:rPr>
        <w:t>Section 3.12</w:t>
      </w:r>
      <w:r>
        <w:rPr>
          <w:sz w:val="20"/>
          <w:szCs w:val="20"/>
          <w:color w:val="auto"/>
        </w:rPr>
        <w:tab/>
      </w:r>
      <w:r>
        <w:rPr>
          <w:rFonts w:ascii="Arial" w:cs="Arial" w:eastAsia="Arial" w:hAnsi="Arial"/>
          <w:sz w:val="18"/>
          <w:szCs w:val="18"/>
          <w:u w:val="single" w:color="auto"/>
          <w:color w:val="auto"/>
        </w:rPr>
        <w:t>Quorum; Adjourned Meetings</w:t>
      </w:r>
      <w:r>
        <w:rPr>
          <w:rFonts w:ascii="Arial" w:cs="Arial" w:eastAsia="Arial" w:hAnsi="Arial"/>
          <w:sz w:val="18"/>
          <w:szCs w:val="18"/>
          <w:color w:val="auto"/>
        </w:rPr>
        <w:t>.</w:t>
      </w:r>
    </w:p>
    <w:p>
      <w:pPr>
        <w:spacing w:after="0" w:line="216" w:lineRule="exact"/>
        <w:rPr>
          <w:sz w:val="20"/>
          <w:szCs w:val="20"/>
          <w:color w:val="auto"/>
        </w:rPr>
      </w:pPr>
    </w:p>
    <w:p>
      <w:pPr>
        <w:ind w:left="1740" w:hanging="435"/>
        <w:spacing w:after="0"/>
        <w:tabs>
          <w:tab w:leader="none" w:pos="1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majority of the directors in office, at a meeting duly assembled, is necessary to constitute a quorum for the transaction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of business.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366" w:right="239" w:bottom="1440" w:gutter="0" w:footer="0" w:header="0"/>
        </w:sectPr>
      </w:pPr>
    </w:p>
    <w:bookmarkStart w:id="64" w:name="page65"/>
    <w:bookmarkEnd w:id="64"/>
    <w:p>
      <w:pPr>
        <w:jc w:val="both"/>
        <w:ind w:firstLine="1305"/>
        <w:spacing w:after="0" w:line="269" w:lineRule="auto"/>
        <w:tabs>
          <w:tab w:leader="none" w:pos="1748" w:val="left"/>
        </w:tabs>
        <w:numPr>
          <w:ilvl w:val="0"/>
          <w:numId w:val="35"/>
        </w:numPr>
        <w:rPr>
          <w:rFonts w:ascii="Arial" w:cs="Arial" w:eastAsia="Arial" w:hAnsi="Arial"/>
          <w:sz w:val="19"/>
          <w:szCs w:val="19"/>
          <w:color w:val="auto"/>
        </w:rPr>
      </w:pPr>
      <w:r>
        <w:rPr>
          <w:rFonts w:ascii="Arial" w:cs="Arial" w:eastAsia="Arial" w:hAnsi="Arial"/>
          <w:sz w:val="19"/>
          <w:szCs w:val="19"/>
          <w:color w:val="auto"/>
        </w:rPr>
        <w:t>At any meeting of the Board of Directors where a quorum is not present, a majority of those present may adjourn, from time to time, until a quorum is present, and no notice of such adjournment shall be required. At any adjourned meeting where a quorum is present, any business may be transacted which could have been transacted at the meeting originally called.</w:t>
      </w:r>
    </w:p>
    <w:p>
      <w:pPr>
        <w:spacing w:after="0" w:line="170" w:lineRule="exact"/>
        <w:rPr>
          <w:sz w:val="20"/>
          <w:szCs w:val="20"/>
          <w:color w:val="auto"/>
        </w:rPr>
      </w:pPr>
    </w:p>
    <w:p>
      <w:pPr>
        <w:jc w:val="both"/>
        <w:ind w:left="120" w:right="20" w:firstLine="648"/>
        <w:spacing w:after="0" w:line="260" w:lineRule="auto"/>
        <w:rPr>
          <w:sz w:val="20"/>
          <w:szCs w:val="20"/>
          <w:color w:val="auto"/>
        </w:rPr>
      </w:pPr>
      <w:r>
        <w:rPr>
          <w:rFonts w:ascii="Arial" w:cs="Arial" w:eastAsia="Arial" w:hAnsi="Arial"/>
          <w:sz w:val="20"/>
          <w:szCs w:val="20"/>
          <w:color w:val="auto"/>
        </w:rPr>
        <w:t xml:space="preserve">Section 3.13 </w:t>
      </w:r>
      <w:r>
        <w:rPr>
          <w:rFonts w:ascii="Arial" w:cs="Arial" w:eastAsia="Arial" w:hAnsi="Arial"/>
          <w:sz w:val="20"/>
          <w:szCs w:val="20"/>
          <w:u w:val="single" w:color="auto"/>
          <w:color w:val="auto"/>
        </w:rPr>
        <w:t>Manner of Acting</w:t>
      </w:r>
      <w:r>
        <w:rPr>
          <w:rFonts w:ascii="Arial" w:cs="Arial" w:eastAsia="Arial" w:hAnsi="Arial"/>
          <w:sz w:val="20"/>
          <w:szCs w:val="20"/>
          <w:color w:val="auto"/>
        </w:rPr>
        <w:t>. Except as provided in Section 3.14, the affirmative vote of a majority of the directors present at a meeting at which a quorum is present is the act of the Board of Directors.</w:t>
      </w:r>
    </w:p>
    <w:p>
      <w:pPr>
        <w:spacing w:after="0" w:line="177" w:lineRule="exact"/>
        <w:rPr>
          <w:sz w:val="20"/>
          <w:szCs w:val="20"/>
          <w:color w:val="auto"/>
        </w:rPr>
      </w:pPr>
    </w:p>
    <w:p>
      <w:pPr>
        <w:jc w:val="both"/>
        <w:ind w:left="120" w:firstLine="648"/>
        <w:spacing w:after="0" w:line="250" w:lineRule="auto"/>
        <w:rPr>
          <w:sz w:val="20"/>
          <w:szCs w:val="20"/>
          <w:color w:val="auto"/>
        </w:rPr>
      </w:pPr>
      <w:r>
        <w:rPr>
          <w:rFonts w:ascii="Arial" w:cs="Arial" w:eastAsia="Arial" w:hAnsi="Arial"/>
          <w:sz w:val="20"/>
          <w:szCs w:val="20"/>
          <w:color w:val="auto"/>
        </w:rPr>
        <w:t xml:space="preserve">Section 3.14 </w:t>
      </w:r>
      <w:r>
        <w:rPr>
          <w:rFonts w:ascii="Arial" w:cs="Arial" w:eastAsia="Arial" w:hAnsi="Arial"/>
          <w:sz w:val="20"/>
          <w:szCs w:val="20"/>
          <w:u w:val="single" w:color="auto"/>
          <w:color w:val="auto"/>
        </w:rPr>
        <w:t>Super-majority Approval</w:t>
      </w:r>
      <w:r>
        <w:rPr>
          <w:rFonts w:ascii="Arial" w:cs="Arial" w:eastAsia="Arial" w:hAnsi="Arial"/>
          <w:sz w:val="20"/>
          <w:szCs w:val="20"/>
          <w:color w:val="auto"/>
        </w:rPr>
        <w:t>. Notwithstanding anything to the contrary contained in these Bylaws or the Articles of Incorporation, the following actions may be taken by the Corporation only upon the approval of two-thirds of the directors present at a meeting at which a quorum is present:</w:t>
      </w:r>
    </w:p>
    <w:p>
      <w:pPr>
        <w:spacing w:after="0" w:line="186" w:lineRule="exact"/>
        <w:rPr>
          <w:sz w:val="20"/>
          <w:szCs w:val="20"/>
          <w:color w:val="auto"/>
        </w:rPr>
      </w:pPr>
    </w:p>
    <w:p>
      <w:pPr>
        <w:ind w:left="1700" w:hanging="395"/>
        <w:spacing w:after="0"/>
        <w:tabs>
          <w:tab w:leader="none" w:pos="17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any voluntary dissolution or liquidation of the Corporation.</w:t>
      </w:r>
    </w:p>
    <w:p>
      <w:pPr>
        <w:spacing w:after="0" w:line="215" w:lineRule="exact"/>
        <w:rPr>
          <w:rFonts w:ascii="Arial" w:cs="Arial" w:eastAsia="Arial" w:hAnsi="Arial"/>
          <w:sz w:val="20"/>
          <w:szCs w:val="20"/>
          <w:color w:val="auto"/>
        </w:rPr>
      </w:pPr>
    </w:p>
    <w:p>
      <w:pPr>
        <w:ind w:left="1720" w:hanging="415"/>
        <w:spacing w:after="0"/>
        <w:tabs>
          <w:tab w:leader="none" w:pos="17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sale of all or substantially all of the assets of the Corporation.</w:t>
      </w:r>
    </w:p>
    <w:p>
      <w:pPr>
        <w:spacing w:after="0" w:line="215" w:lineRule="exact"/>
        <w:rPr>
          <w:rFonts w:ascii="Arial" w:cs="Arial" w:eastAsia="Arial" w:hAnsi="Arial"/>
          <w:sz w:val="20"/>
          <w:szCs w:val="20"/>
          <w:color w:val="auto"/>
        </w:rPr>
      </w:pPr>
    </w:p>
    <w:p>
      <w:pPr>
        <w:ind w:left="1700" w:hanging="395"/>
        <w:spacing w:after="0"/>
        <w:tabs>
          <w:tab w:leader="none" w:pos="17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filing of a voluntary petition of bankruptcy by the Corporation.</w:t>
      </w:r>
    </w:p>
    <w:p>
      <w:pPr>
        <w:spacing w:after="0" w:line="216" w:lineRule="exact"/>
        <w:rPr>
          <w:sz w:val="20"/>
          <w:szCs w:val="20"/>
          <w:color w:val="auto"/>
        </w:rPr>
      </w:pPr>
    </w:p>
    <w:p>
      <w:pPr>
        <w:jc w:val="both"/>
        <w:ind w:left="120" w:firstLine="648"/>
        <w:spacing w:after="0" w:line="269" w:lineRule="auto"/>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Meetings Through Electronic Communications</w:t>
      </w:r>
      <w:r>
        <w:rPr>
          <w:rFonts w:ascii="Arial" w:cs="Arial" w:eastAsia="Arial" w:hAnsi="Arial"/>
          <w:sz w:val="18"/>
          <w:szCs w:val="18"/>
          <w:color w:val="auto"/>
        </w:rPr>
        <w:t>. Members of the Board of Directors or of any committee designated by the Board of Directors may participate in a meeting of the Board of Directors or such committee by any means of electronic communications, videoconferencing, teleconferencing or other available technology permitted under the NRS (including, without limitation, a telephone conference or similar method of communication by which all individuals participating in the meeting can hear each other) and utilized by the Corporation. If any such means are utilized, the Corporation shall, to the extent required under the NRS, implement reasonable measures to</w:t>
      </w:r>
    </w:p>
    <w:p>
      <w:pPr>
        <w:spacing w:after="0" w:line="4" w:lineRule="exact"/>
        <w:rPr>
          <w:sz w:val="20"/>
          <w:szCs w:val="20"/>
          <w:color w:val="auto"/>
        </w:rPr>
      </w:pPr>
    </w:p>
    <w:p>
      <w:pPr>
        <w:jc w:val="both"/>
        <w:ind w:left="120" w:firstLine="10"/>
        <w:spacing w:after="0"/>
        <w:tabs>
          <w:tab w:leader="none" w:pos="395" w:val="left"/>
        </w:tabs>
        <w:numPr>
          <w:ilvl w:val="0"/>
          <w:numId w:val="37"/>
        </w:numPr>
        <w:rPr>
          <w:rFonts w:ascii="Arial" w:cs="Arial" w:eastAsia="Arial" w:hAnsi="Arial"/>
          <w:sz w:val="20"/>
          <w:szCs w:val="20"/>
          <w:color w:val="auto"/>
        </w:rPr>
      </w:pPr>
      <w:r>
        <w:rPr>
          <w:rFonts w:ascii="Arial" w:cs="Arial" w:eastAsia="Arial" w:hAnsi="Arial"/>
          <w:sz w:val="20"/>
          <w:szCs w:val="20"/>
          <w:color w:val="auto"/>
        </w:rPr>
        <w:t>verify the identity of each person participating through such means as a director or member of the committee, as the case may be, and (b) provide the directors or members of the committee a reasonable opportunity to participate in the meeting and to vote on matters submitted to the directors or members of the committee, including an opportunity to communicate, and to read or hear the proceedings of the meeting in a substantially concurrent manner with such proceedings. Participation in a meeting pursuant to this Section 3.15 constitutes presence in person at the meeting.</w:t>
      </w:r>
    </w:p>
    <w:p>
      <w:pPr>
        <w:spacing w:after="0" w:line="198" w:lineRule="exact"/>
        <w:rPr>
          <w:sz w:val="20"/>
          <w:szCs w:val="20"/>
          <w:color w:val="auto"/>
        </w:rPr>
      </w:pPr>
    </w:p>
    <w:p>
      <w:pPr>
        <w:jc w:val="both"/>
        <w:ind w:left="120" w:firstLine="648"/>
        <w:spacing w:after="0" w:line="244" w:lineRule="auto"/>
        <w:rPr>
          <w:sz w:val="20"/>
          <w:szCs w:val="20"/>
          <w:color w:val="auto"/>
        </w:rPr>
      </w:pPr>
      <w:r>
        <w:rPr>
          <w:rFonts w:ascii="Arial" w:cs="Arial" w:eastAsia="Arial" w:hAnsi="Arial"/>
          <w:sz w:val="20"/>
          <w:szCs w:val="20"/>
          <w:color w:val="auto"/>
        </w:rPr>
        <w:t xml:space="preserve">Section 3.16 </w:t>
      </w:r>
      <w:r>
        <w:rPr>
          <w:rFonts w:ascii="Arial" w:cs="Arial" w:eastAsia="Arial" w:hAnsi="Arial"/>
          <w:sz w:val="20"/>
          <w:szCs w:val="20"/>
          <w:u w:val="single" w:color="auto"/>
          <w:color w:val="auto"/>
        </w:rPr>
        <w:t>Action Without Meeting</w:t>
      </w:r>
      <w:r>
        <w:rPr>
          <w:rFonts w:ascii="Arial" w:cs="Arial" w:eastAsia="Arial" w:hAnsi="Arial"/>
          <w:sz w:val="20"/>
          <w:szCs w:val="20"/>
          <w:color w:val="auto"/>
        </w:rPr>
        <w:t>. Any action required or permitted to be taken at a meeting of the Board of Directors or of a committee thereof may be taken without a meeting if, before or after the action, a written consent thereto is signed by all of the members of the Board of Directors or the committee. The written consent may be signed manually or electronically (or by any other means then permitted under the NRS), and may be so signed in counterparts, including, without limitation, facsimile or email counterparts, and shall be filed with the minutes of the proceedings of the Board of Directors or committee.</w:t>
      </w:r>
    </w:p>
    <w:p>
      <w:pPr>
        <w:spacing w:after="0" w:line="195" w:lineRule="exact"/>
        <w:rPr>
          <w:sz w:val="20"/>
          <w:szCs w:val="20"/>
          <w:color w:val="auto"/>
        </w:rPr>
      </w:pPr>
    </w:p>
    <w:p>
      <w:pPr>
        <w:ind w:left="780"/>
        <w:spacing w:after="0"/>
        <w:tabs>
          <w:tab w:leader="none" w:pos="1920" w:val="left"/>
        </w:tabs>
        <w:rPr>
          <w:sz w:val="20"/>
          <w:szCs w:val="20"/>
          <w:color w:val="auto"/>
        </w:rPr>
      </w:pPr>
      <w:r>
        <w:rPr>
          <w:rFonts w:ascii="Arial" w:cs="Arial" w:eastAsia="Arial" w:hAnsi="Arial"/>
          <w:sz w:val="20"/>
          <w:szCs w:val="20"/>
          <w:color w:val="auto"/>
        </w:rPr>
        <w:t>Section 3.17</w:t>
      </w:r>
      <w:r>
        <w:rPr>
          <w:sz w:val="20"/>
          <w:szCs w:val="20"/>
          <w:color w:val="auto"/>
        </w:rPr>
        <w:tab/>
      </w:r>
      <w:r>
        <w:rPr>
          <w:rFonts w:ascii="Arial" w:cs="Arial" w:eastAsia="Arial" w:hAnsi="Arial"/>
          <w:sz w:val="16"/>
          <w:szCs w:val="16"/>
          <w:u w:val="single" w:color="auto"/>
          <w:color w:val="auto"/>
        </w:rPr>
        <w:t>Powers and Duties</w:t>
      </w:r>
      <w:r>
        <w:rPr>
          <w:rFonts w:ascii="Arial" w:cs="Arial" w:eastAsia="Arial" w:hAnsi="Arial"/>
          <w:sz w:val="16"/>
          <w:szCs w:val="16"/>
          <w:color w:val="auto"/>
        </w:rPr>
        <w:t>.</w:t>
      </w:r>
    </w:p>
    <w:p>
      <w:pPr>
        <w:spacing w:after="0" w:line="216" w:lineRule="exact"/>
        <w:rPr>
          <w:sz w:val="20"/>
          <w:szCs w:val="20"/>
          <w:color w:val="auto"/>
        </w:rPr>
      </w:pPr>
    </w:p>
    <w:p>
      <w:pPr>
        <w:jc w:val="both"/>
        <w:ind w:firstLine="1305"/>
        <w:spacing w:after="0" w:line="263" w:lineRule="auto"/>
        <w:tabs>
          <w:tab w:leader="none" w:pos="1723" w:val="left"/>
        </w:tabs>
        <w:numPr>
          <w:ilvl w:val="0"/>
          <w:numId w:val="38"/>
        </w:numPr>
        <w:rPr>
          <w:rFonts w:ascii="Arial" w:cs="Arial" w:eastAsia="Arial" w:hAnsi="Arial"/>
          <w:sz w:val="19"/>
          <w:szCs w:val="19"/>
          <w:color w:val="auto"/>
        </w:rPr>
      </w:pPr>
      <w:r>
        <w:rPr>
          <w:rFonts w:ascii="Arial" w:cs="Arial" w:eastAsia="Arial" w:hAnsi="Arial"/>
          <w:sz w:val="19"/>
          <w:szCs w:val="19"/>
          <w:color w:val="auto"/>
        </w:rPr>
        <w:t>Except as otherwise restricted by Chapter 78 of the NRS or the Articles of Incorporation, the Board of Directors has full control over the business and affairs of the Corporation. The Board of Directors may delegate any of its authority to manage, control or conduct the business of the Corporation to any standing or special committee, or to any officer or agent, and to appoint any persons to be agents of the Corporation with such powers, including the power to subdelegate, and upon such terms as it deems fit.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366" w:right="239" w:bottom="1440" w:gutter="0" w:footer="0" w:header="0"/>
        </w:sectPr>
      </w:pPr>
    </w:p>
    <w:bookmarkStart w:id="65" w:name="page66"/>
    <w:bookmarkEnd w:id="65"/>
    <w:p>
      <w:pPr>
        <w:jc w:val="both"/>
        <w:ind w:firstLine="1305"/>
        <w:spacing w:after="0" w:line="250" w:lineRule="auto"/>
        <w:tabs>
          <w:tab w:leader="none" w:pos="1734"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Board of Directors, in its discretion, or the chairman presiding at a meeting of stockholders, in his or her discretion, may submit any contract or act for approval or ratification at any annual meeting of the stockholders or any special meeting properly called and noticed for the purpose of considering any such contract or act, provided a quorum is present.</w:t>
      </w:r>
    </w:p>
    <w:p>
      <w:pPr>
        <w:spacing w:after="0" w:line="186" w:lineRule="exact"/>
        <w:rPr>
          <w:rFonts w:ascii="Arial" w:cs="Arial" w:eastAsia="Arial" w:hAnsi="Arial"/>
          <w:sz w:val="20"/>
          <w:szCs w:val="20"/>
          <w:color w:val="auto"/>
        </w:rPr>
      </w:pPr>
    </w:p>
    <w:p>
      <w:pPr>
        <w:jc w:val="both"/>
        <w:ind w:firstLine="1305"/>
        <w:spacing w:after="0" w:line="256" w:lineRule="auto"/>
        <w:tabs>
          <w:tab w:leader="none" w:pos="1831"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Board of Directors may, by resolution passed by a majority of the Board of Directors,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he, she or they constitute a quorum, may unanimously appoint another member of the Board of Directors to act at the meeting in the place of any such absent or disqualified member. Subject to applicable law and to the extent provided in the resolution of the Board of Directors, any such committee shall have and may exercise all the powers of the Board of Directors in the management of the business and affairs of the Corporation. Such committee or committees shall have such name or names as may be determined from time to time by resolution adopted by the Board of Directors. The committees shall keep regular minutes of their proceedings and report the same to the Board of Directors when required.</w:t>
      </w:r>
    </w:p>
    <w:p>
      <w:pPr>
        <w:spacing w:after="0" w:line="181" w:lineRule="exact"/>
        <w:rPr>
          <w:sz w:val="20"/>
          <w:szCs w:val="20"/>
          <w:color w:val="auto"/>
        </w:rPr>
      </w:pPr>
    </w:p>
    <w:p>
      <w:pPr>
        <w:jc w:val="both"/>
        <w:ind w:left="120" w:firstLine="648"/>
        <w:spacing w:after="0" w:line="269" w:lineRule="auto"/>
        <w:rPr>
          <w:sz w:val="20"/>
          <w:szCs w:val="20"/>
          <w:color w:val="auto"/>
        </w:rPr>
      </w:pPr>
      <w:r>
        <w:rPr>
          <w:rFonts w:ascii="Arial" w:cs="Arial" w:eastAsia="Arial" w:hAnsi="Arial"/>
          <w:sz w:val="19"/>
          <w:szCs w:val="19"/>
          <w:color w:val="auto"/>
        </w:rPr>
        <w:t xml:space="preserve">Section 3.18 </w:t>
      </w:r>
      <w:r>
        <w:rPr>
          <w:rFonts w:ascii="Arial" w:cs="Arial" w:eastAsia="Arial" w:hAnsi="Arial"/>
          <w:sz w:val="19"/>
          <w:szCs w:val="19"/>
          <w:u w:val="single" w:color="auto"/>
          <w:color w:val="auto"/>
        </w:rPr>
        <w:t>Compensation</w:t>
      </w:r>
      <w:r>
        <w:rPr>
          <w:rFonts w:ascii="Arial" w:cs="Arial" w:eastAsia="Arial" w:hAnsi="Arial"/>
          <w:sz w:val="19"/>
          <w:szCs w:val="19"/>
          <w:color w:val="auto"/>
        </w:rPr>
        <w:t>. The Board of Directors, without regard to personal interest, may establish the compensation of directors for services in any capacity. If the Board of Directors establishes the compensation of directors pursuant to this Section 3.18, such compensation is presumed to be fair to the Corporation unless proven unfair by a preponderance of the evidence.</w:t>
      </w:r>
    </w:p>
    <w:p>
      <w:pPr>
        <w:spacing w:after="0" w:line="170" w:lineRule="exact"/>
        <w:rPr>
          <w:sz w:val="20"/>
          <w:szCs w:val="20"/>
          <w:color w:val="auto"/>
        </w:rPr>
      </w:pPr>
    </w:p>
    <w:p>
      <w:pPr>
        <w:jc w:val="both"/>
        <w:ind w:left="120" w:firstLine="648"/>
        <w:spacing w:after="0" w:line="244" w:lineRule="auto"/>
        <w:rPr>
          <w:sz w:val="20"/>
          <w:szCs w:val="20"/>
          <w:color w:val="auto"/>
        </w:rPr>
      </w:pPr>
      <w:r>
        <w:rPr>
          <w:rFonts w:ascii="Arial" w:cs="Arial" w:eastAsia="Arial" w:hAnsi="Arial"/>
          <w:sz w:val="20"/>
          <w:szCs w:val="20"/>
          <w:color w:val="auto"/>
        </w:rPr>
        <w:t xml:space="preserve">Section 3.19 </w:t>
      </w:r>
      <w:r>
        <w:rPr>
          <w:rFonts w:ascii="Arial" w:cs="Arial" w:eastAsia="Arial" w:hAnsi="Arial"/>
          <w:sz w:val="20"/>
          <w:szCs w:val="20"/>
          <w:u w:val="single" w:color="auto"/>
          <w:color w:val="auto"/>
        </w:rPr>
        <w:t>Organization</w:t>
      </w:r>
      <w:r>
        <w:rPr>
          <w:rFonts w:ascii="Arial" w:cs="Arial" w:eastAsia="Arial" w:hAnsi="Arial"/>
          <w:sz w:val="20"/>
          <w:szCs w:val="20"/>
          <w:color w:val="auto"/>
        </w:rPr>
        <w:t>. Meetings of the Board of Directors shall be presided over by the chairman of the board, or in the absence of the chairman of the board by the vice chairman, if any, or in his or her absence by a chairman chosen at the meeting. The secretary, or in the absence, of the secretary an assistant secretary, shall act as secretary of the meeting, but in the absence of the secretary and any assistant secretary, the chairman of the meeting may appoint any person to act as secretary of the meeting. The order of business at each such meeting shall be as determined by the chairman of the meeting.</w:t>
      </w:r>
    </w:p>
    <w:p>
      <w:pPr>
        <w:spacing w:after="0" w:line="195" w:lineRule="exact"/>
        <w:rPr>
          <w:sz w:val="20"/>
          <w:szCs w:val="20"/>
          <w:color w:val="auto"/>
        </w:rPr>
      </w:pPr>
    </w:p>
    <w:p>
      <w:pPr>
        <w:jc w:val="right"/>
        <w:ind w:right="5280"/>
        <w:spacing w:after="0"/>
        <w:rPr>
          <w:sz w:val="20"/>
          <w:szCs w:val="20"/>
          <w:color w:val="auto"/>
        </w:rPr>
      </w:pPr>
      <w:r>
        <w:rPr>
          <w:rFonts w:ascii="Arial" w:cs="Arial" w:eastAsia="Arial" w:hAnsi="Arial"/>
          <w:sz w:val="20"/>
          <w:szCs w:val="20"/>
          <w:color w:val="auto"/>
        </w:rPr>
        <w:t>ARTICLE IV</w:t>
      </w:r>
    </w:p>
    <w:p>
      <w:pPr>
        <w:spacing w:after="0" w:line="16" w:lineRule="exact"/>
        <w:rPr>
          <w:sz w:val="20"/>
          <w:szCs w:val="20"/>
          <w:color w:val="auto"/>
        </w:rPr>
      </w:pPr>
    </w:p>
    <w:p>
      <w:pPr>
        <w:jc w:val="right"/>
        <w:ind w:right="5240"/>
        <w:spacing w:after="0"/>
        <w:rPr>
          <w:sz w:val="20"/>
          <w:szCs w:val="20"/>
          <w:color w:val="auto"/>
        </w:rPr>
      </w:pPr>
      <w:r>
        <w:rPr>
          <w:rFonts w:ascii="Arial" w:cs="Arial" w:eastAsia="Arial" w:hAnsi="Arial"/>
          <w:sz w:val="20"/>
          <w:szCs w:val="20"/>
          <w:u w:val="single" w:color="auto"/>
          <w:color w:val="auto"/>
        </w:rPr>
        <w:t>OFFICERS</w:t>
      </w:r>
    </w:p>
    <w:p>
      <w:pPr>
        <w:spacing w:after="0" w:line="200" w:lineRule="exact"/>
        <w:rPr>
          <w:sz w:val="20"/>
          <w:szCs w:val="20"/>
          <w:color w:val="auto"/>
        </w:rPr>
      </w:pPr>
    </w:p>
    <w:p>
      <w:pPr>
        <w:jc w:val="both"/>
        <w:ind w:left="120" w:firstLine="648"/>
        <w:spacing w:after="0" w:line="260" w:lineRule="auto"/>
        <w:rPr>
          <w:sz w:val="20"/>
          <w:szCs w:val="20"/>
          <w:color w:val="auto"/>
        </w:rPr>
      </w:pPr>
      <w:r>
        <w:rPr>
          <w:rFonts w:ascii="Arial" w:cs="Arial" w:eastAsia="Arial" w:hAnsi="Arial"/>
          <w:sz w:val="19"/>
          <w:szCs w:val="19"/>
          <w:color w:val="auto"/>
        </w:rPr>
        <w:t xml:space="preserve">Section 4.1 </w:t>
      </w:r>
      <w:r>
        <w:rPr>
          <w:rFonts w:ascii="Arial" w:cs="Arial" w:eastAsia="Arial" w:hAnsi="Arial"/>
          <w:sz w:val="19"/>
          <w:szCs w:val="19"/>
          <w:u w:val="single" w:color="auto"/>
          <w:color w:val="auto"/>
        </w:rPr>
        <w:t>Election</w:t>
      </w:r>
      <w:r>
        <w:rPr>
          <w:rFonts w:ascii="Arial" w:cs="Arial" w:eastAsia="Arial" w:hAnsi="Arial"/>
          <w:sz w:val="19"/>
          <w:szCs w:val="19"/>
          <w:color w:val="auto"/>
        </w:rPr>
        <w:t>. The Board of Directors shall elect or appoint a president, a secretary and a treasurer or the equivalents of such officers. Such officers shall serve until their respective successors are elected and appointed and shall qualify or until their earlier resignation or removal. The Board of Directors may from time to time, by resolution, elect or appoint such other officers and agents as it may deem advisable, who shall hold office at the pleasure of the Board of Directors, and shall have such powers and duties and be paid such compensation as may be directed by the Board of Directors. Any individual may hold two or more offices.</w:t>
      </w:r>
    </w:p>
    <w:p>
      <w:pPr>
        <w:spacing w:after="0" w:line="181" w:lineRule="exact"/>
        <w:rPr>
          <w:sz w:val="20"/>
          <w:szCs w:val="20"/>
          <w:color w:val="auto"/>
        </w:rPr>
      </w:pPr>
    </w:p>
    <w:p>
      <w:pPr>
        <w:jc w:val="both"/>
        <w:ind w:left="120" w:firstLine="648"/>
        <w:spacing w:after="0" w:line="291"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Removal; Resignation</w:t>
      </w:r>
      <w:r>
        <w:rPr>
          <w:rFonts w:ascii="Arial" w:cs="Arial" w:eastAsia="Arial" w:hAnsi="Arial"/>
          <w:sz w:val="18"/>
          <w:szCs w:val="18"/>
          <w:color w:val="auto"/>
        </w:rPr>
        <w:t>. Any officer or agent elected or appointed by the Board of Directors may be removed by the Board of Directors with or without cause. Any officer may resign at any time upon written notice to the Corporation. Any such removal or resignation shall be subject to the rights, if any, of the respective parties under any contract between the Corporation and such officer or agent.</w:t>
      </w:r>
    </w:p>
    <w:p>
      <w:pPr>
        <w:spacing w:after="0" w:line="152" w:lineRule="exact"/>
        <w:rPr>
          <w:sz w:val="20"/>
          <w:szCs w:val="20"/>
          <w:color w:val="auto"/>
        </w:rPr>
      </w:pPr>
    </w:p>
    <w:p>
      <w:pPr>
        <w:jc w:val="both"/>
        <w:ind w:left="120" w:firstLine="648"/>
        <w:spacing w:after="0" w:line="260" w:lineRule="auto"/>
        <w:rPr>
          <w:sz w:val="20"/>
          <w:szCs w:val="20"/>
          <w:color w:val="auto"/>
        </w:rPr>
      </w:pPr>
      <w:r>
        <w:rPr>
          <w:rFonts w:ascii="Arial" w:cs="Arial" w:eastAsia="Arial" w:hAnsi="Arial"/>
          <w:sz w:val="20"/>
          <w:szCs w:val="20"/>
          <w:color w:val="auto"/>
        </w:rPr>
        <w:t xml:space="preserve">Section 4.3 </w:t>
      </w:r>
      <w:r>
        <w:rPr>
          <w:rFonts w:ascii="Arial" w:cs="Arial" w:eastAsia="Arial" w:hAnsi="Arial"/>
          <w:sz w:val="20"/>
          <w:szCs w:val="20"/>
          <w:u w:val="single" w:color="auto"/>
          <w:color w:val="auto"/>
        </w:rPr>
        <w:t>Vacancies</w:t>
      </w:r>
      <w:r>
        <w:rPr>
          <w:rFonts w:ascii="Arial" w:cs="Arial" w:eastAsia="Arial" w:hAnsi="Arial"/>
          <w:sz w:val="20"/>
          <w:szCs w:val="20"/>
          <w:color w:val="auto"/>
        </w:rPr>
        <w:t>. Any vacancy in any office because of death, resignation, removal or otherwise may be filled by the Board of Directors for the unexpired portion of the term of such office.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20"/>
          </w:cols>
          <w:pgMar w:left="240" w:top="366" w:right="239" w:bottom="1440" w:gutter="0" w:footer="0" w:header="0"/>
        </w:sectPr>
      </w:pPr>
    </w:p>
    <w:bookmarkStart w:id="66" w:name="page67"/>
    <w:bookmarkEnd w:id="66"/>
    <w:p>
      <w:pPr>
        <w:jc w:val="both"/>
        <w:ind w:firstLine="648"/>
        <w:spacing w:after="0" w:line="246" w:lineRule="auto"/>
        <w:rPr>
          <w:sz w:val="20"/>
          <w:szCs w:val="20"/>
          <w:color w:val="auto"/>
        </w:rPr>
      </w:pPr>
      <w:r>
        <w:rPr>
          <w:rFonts w:ascii="Arial" w:cs="Arial" w:eastAsia="Arial" w:hAnsi="Arial"/>
          <w:sz w:val="20"/>
          <w:szCs w:val="20"/>
          <w:color w:val="auto"/>
        </w:rPr>
        <w:t xml:space="preserve">Section 4.4 </w:t>
      </w:r>
      <w:r>
        <w:rPr>
          <w:rFonts w:ascii="Arial" w:cs="Arial" w:eastAsia="Arial" w:hAnsi="Arial"/>
          <w:sz w:val="20"/>
          <w:szCs w:val="20"/>
          <w:u w:val="single" w:color="auto"/>
          <w:color w:val="auto"/>
        </w:rPr>
        <w:t>Chief Executive Officer</w:t>
      </w:r>
      <w:r>
        <w:rPr>
          <w:rFonts w:ascii="Arial" w:cs="Arial" w:eastAsia="Arial" w:hAnsi="Arial"/>
          <w:sz w:val="20"/>
          <w:szCs w:val="20"/>
          <w:color w:val="auto"/>
        </w:rPr>
        <w:t>. The Board of Directors may elect a chief executive officer who, subject to the supervision and control of the Board of Directors, shall have the ultimate responsibility for the management and control of the business and affairs of the Corporation, and perform such other duties and have such other powers which are delegated to him or her by the Board of Directors, these Bylaws or as provided by law.</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Section 4.5 </w:t>
      </w:r>
      <w:r>
        <w:rPr>
          <w:rFonts w:ascii="Arial" w:cs="Arial" w:eastAsia="Arial" w:hAnsi="Arial"/>
          <w:sz w:val="19"/>
          <w:szCs w:val="19"/>
          <w:u w:val="single" w:color="auto"/>
          <w:color w:val="auto"/>
        </w:rPr>
        <w:t>President</w:t>
      </w:r>
      <w:r>
        <w:rPr>
          <w:rFonts w:ascii="Arial" w:cs="Arial" w:eastAsia="Arial" w:hAnsi="Arial"/>
          <w:sz w:val="19"/>
          <w:szCs w:val="19"/>
          <w:color w:val="auto"/>
        </w:rPr>
        <w:t>. The president, subject to the supervision and control of the Board of Directors, shall in general actively supervise and control the business and affairs of the Corporation. The president shall keep the Board of Directors fully informed as the Board of Directors may request and shall consult the Board of Directors concerning the business of the Corporation. The president shall perform such other duties and have such other powers which are delegated and assigned to him or her by the Board of Directors, the chief executive officer, if any, these Bylaws or as provided by law. The president shall be the chief executive officer of the Corporation unless the Board of Directors shall elect or appoint different individuals to hold such positions.</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Section 4.6 </w:t>
      </w:r>
      <w:r>
        <w:rPr>
          <w:rFonts w:ascii="Arial" w:cs="Arial" w:eastAsia="Arial" w:hAnsi="Arial"/>
          <w:sz w:val="19"/>
          <w:szCs w:val="19"/>
          <w:u w:val="single" w:color="auto"/>
          <w:color w:val="auto"/>
        </w:rPr>
        <w:t>Vice Presidents</w:t>
      </w:r>
      <w:r>
        <w:rPr>
          <w:rFonts w:ascii="Arial" w:cs="Arial" w:eastAsia="Arial" w:hAnsi="Arial"/>
          <w:sz w:val="19"/>
          <w:szCs w:val="19"/>
          <w:color w:val="auto"/>
        </w:rPr>
        <w:t>. The Board of Directors may elect one or more vice presidents. In the absence or disability of the president, or at the president’s request, the vice president or vice presidents, in order of their rank as fixed by the Board of Directors, and if not ranked, the vice presidents in the order designated by the Board of Directors, or in the absence of such designation, in the order designated by the president, shall perform all of the duties of the president, and when so acting, shall have all the powers of, and be subject to all the restrictions on the president. Each vice president shall perform such other duties and have such other powers which are delegated and assigned to him or her by the Board of Directors, the president, these Bylaws or as provided by law.</w:t>
      </w:r>
    </w:p>
    <w:p>
      <w:pPr>
        <w:spacing w:after="0" w:line="1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Secretary</w:t>
      </w:r>
      <w:r>
        <w:rPr>
          <w:rFonts w:ascii="Arial" w:cs="Arial" w:eastAsia="Arial" w:hAnsi="Arial"/>
          <w:sz w:val="18"/>
          <w:szCs w:val="18"/>
          <w:color w:val="auto"/>
        </w:rPr>
        <w:t>. The secretary shall attend all meetings of the stockholders, the Board of Directors and any committees thereof, and shall keep, or cause to be kept, the minutes of proceedings thereof in books provided for that purpose. He or she shall keep, or cause to be kept, a register of the stockholders of the Corporation and shall be responsible for the giving of notice of meetings of the stockholders, the Board of Directors and any committees, and shall see that all notices are duly given in accordance with the provisions of these Bylaws or as required by law. The secretary shall be custodian of the corporate seal, if any, the records of the Corporation, the stock certificate books, transfer books and stock ledgers, and such other books and papers as the Board of Directors or any appropriate committee may direct. The secretary shall perform all other duties commonly incident to his or her office and shall perform such other duties which are assigned to him or her by the Board of Directors, the chief executive officer, if any, the president, these Bylaws or as provided by law.</w:t>
      </w:r>
    </w:p>
    <w:p>
      <w:pPr>
        <w:spacing w:after="0" w:line="1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4.8 </w:t>
      </w:r>
      <w:r>
        <w:rPr>
          <w:rFonts w:ascii="Arial" w:cs="Arial" w:eastAsia="Arial" w:hAnsi="Arial"/>
          <w:sz w:val="20"/>
          <w:szCs w:val="20"/>
          <w:u w:val="single" w:color="auto"/>
          <w:color w:val="auto"/>
        </w:rPr>
        <w:t>Assistant Secretaries</w:t>
      </w:r>
      <w:r>
        <w:rPr>
          <w:rFonts w:ascii="Arial" w:cs="Arial" w:eastAsia="Arial" w:hAnsi="Arial"/>
          <w:sz w:val="20"/>
          <w:szCs w:val="20"/>
          <w:color w:val="auto"/>
        </w:rPr>
        <w:t>. An assistant secretary shall, at the request of the secretary, or in the absence or disability of the secretary, perform all the duties of the secretary. He or she shall perform such other duties as are assigned to him or her by the Board of Directors, the chief executive officer, if any, the president, these Bylaws or as provided by law.</w:t>
      </w:r>
    </w:p>
    <w:p>
      <w:pPr>
        <w:spacing w:after="0" w:line="1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4.9 </w:t>
      </w:r>
      <w:r>
        <w:rPr>
          <w:rFonts w:ascii="Arial" w:cs="Arial" w:eastAsia="Arial" w:hAnsi="Arial"/>
          <w:sz w:val="20"/>
          <w:szCs w:val="20"/>
          <w:u w:val="single" w:color="auto"/>
          <w:color w:val="auto"/>
        </w:rPr>
        <w:t>Treasurer</w:t>
      </w:r>
      <w:r>
        <w:rPr>
          <w:rFonts w:ascii="Arial" w:cs="Arial" w:eastAsia="Arial" w:hAnsi="Arial"/>
          <w:sz w:val="20"/>
          <w:szCs w:val="20"/>
          <w:color w:val="auto"/>
        </w:rPr>
        <w:t>. The treasurer, subject to the order of the Board of Directors, shall have the care and custody of, and be responsible for, all of the money, funds, securities, receipts and valuable papers, documents and instruments of the Corporation, and all books and records relating thereto. The treasurer shall keep, or cause to be kept, full and accurate books of accounts of the Corporation’s transactions, which shall be the property of the Corporation, and shall render financial reports and statements of condition of the Corporation when so requested by the Board of Directors, the chairman of the board, if any, the chief executive officer, if any, or the president. The treasurer shall perform all other duties commonly incident to his or her office and such other duties as may, from time to time, be assigned to him or her by the Board</w:t>
      </w:r>
    </w:p>
    <w:p>
      <w:pPr>
        <w:spacing w:after="0" w:line="200" w:lineRule="exact"/>
        <w:rPr>
          <w:sz w:val="20"/>
          <w:szCs w:val="20"/>
          <w:color w:val="auto"/>
        </w:rPr>
      </w:pPr>
    </w:p>
    <w:p>
      <w:pPr>
        <w:spacing w:after="0" w:line="236"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300"/>
          </w:cols>
          <w:pgMar w:left="360" w:top="366" w:right="239" w:bottom="1440" w:gutter="0" w:footer="0" w:header="0"/>
        </w:sectPr>
      </w:pPr>
    </w:p>
    <w:bookmarkStart w:id="67" w:name="page68"/>
    <w:bookmarkEnd w:id="67"/>
    <w:p>
      <w:pPr>
        <w:jc w:val="both"/>
        <w:ind w:left="120"/>
        <w:spacing w:after="0" w:line="259" w:lineRule="auto"/>
        <w:rPr>
          <w:sz w:val="20"/>
          <w:szCs w:val="20"/>
          <w:color w:val="auto"/>
        </w:rPr>
      </w:pPr>
      <w:r>
        <w:rPr>
          <w:rFonts w:ascii="Arial" w:cs="Arial" w:eastAsia="Arial" w:hAnsi="Arial"/>
          <w:sz w:val="19"/>
          <w:szCs w:val="19"/>
          <w:color w:val="auto"/>
        </w:rPr>
        <w:t>of Directors, the chief executive officer, if any, the president, these Bylaws or as provided by law. The treasurer shall, if required by the Board of Directors, give bond to the Corporation in such sum and with such security as shall be approved by the Board of Directors for the faithful performance of all the duties of the treasurer and for restoration to the Corporation, in the event of the treasurer’s death, resignation, retirement or removal from office, of all books, records, papers, vouchers, money and other property in the treasurer’s custody or control and belonging to the Corporation. The expense of such bond shall be borne by the Corporation. If a chief financial officer of the Corporation has not been appointed, the treasurer may be deemed the chief financial officer of the Corporation.</w:t>
      </w:r>
    </w:p>
    <w:p>
      <w:pPr>
        <w:spacing w:after="0" w:line="179" w:lineRule="exact"/>
        <w:rPr>
          <w:sz w:val="20"/>
          <w:szCs w:val="20"/>
          <w:color w:val="auto"/>
        </w:rPr>
      </w:pPr>
    </w:p>
    <w:p>
      <w:pPr>
        <w:jc w:val="both"/>
        <w:ind w:left="120" w:firstLine="648"/>
        <w:spacing w:after="0" w:line="274"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Assistant Treasurers</w:t>
      </w:r>
      <w:r>
        <w:rPr>
          <w:rFonts w:ascii="Arial" w:cs="Arial" w:eastAsia="Arial" w:hAnsi="Arial"/>
          <w:sz w:val="18"/>
          <w:szCs w:val="18"/>
          <w:color w:val="auto"/>
        </w:rPr>
        <w:t>. An assistant treasurer shall, at the request of the treasurer, or in the absence or disability of the treasurer, perform all the duties of the treasurer. He or she shall perform such other duties which are assigned to him or her by the Board of Directors, the chief executive officer, if any, the president, the treasurer, these Bylaws or as provided by law. The Board of Directors may require an assistant treasurer to give a bond to the Corporation in such sum and with such security as it may approve, for the faithful performance of the duties of the assistant treasurer, and for restoration to the Corporation, in the event of the assistant treasurer’s death, resignation, retirement or removal from office, of all books, records, papers, vouchers, money and other property in the assistant treasurer’s custody or control and belonging to the Corporation. The expense of such bond shall be borne by the Corporation.</w:t>
      </w:r>
    </w:p>
    <w:p>
      <w:pPr>
        <w:spacing w:after="0" w:line="169" w:lineRule="exact"/>
        <w:rPr>
          <w:sz w:val="20"/>
          <w:szCs w:val="20"/>
          <w:color w:val="auto"/>
        </w:rPr>
      </w:pPr>
    </w:p>
    <w:p>
      <w:pPr>
        <w:jc w:val="both"/>
        <w:ind w:left="120" w:firstLine="648"/>
        <w:spacing w:after="0" w:line="272"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Execution of Negotiable Instruments, Deeds and Contracts</w:t>
      </w:r>
      <w:r>
        <w:rPr>
          <w:rFonts w:ascii="Arial" w:cs="Arial" w:eastAsia="Arial" w:hAnsi="Arial"/>
          <w:sz w:val="18"/>
          <w:szCs w:val="18"/>
          <w:color w:val="auto"/>
        </w:rPr>
        <w:t>. All (i) checks, drafts, notes, bonds, bills of exchange, and orders for the payment of money of the Corporation, (ii) deeds, mortgages, proxies, powers of attorney and other written contracts, documents, instruments and agreements to which the Corporation shall be a party and (iii) assignments or endorsements of stock certificates, registered bonds or other securities owned by the Corporation shall be signed in the name of the Corporation by such officers or other persons as the Board of Directors may from time to time designate. The Board of Directors may authorize the use of the facsimile signatures of any such persons. Any officer of the Corporation shall be authorized to attend, act and vote, or designate another officer or an agent of the Corporation to attend, act and vote, at any meeting of the owners of any entity in which the Corporation may own an interest or to take action by written consent in lieu thereof. Such officer or agent, at any such meeting or by such written action, shall possess and may exercise on behalf of the Corporation any and all rights and powers incident to the ownership of such interest.</w:t>
      </w:r>
    </w:p>
    <w:p>
      <w:pPr>
        <w:spacing w:after="0" w:line="171"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ARTICLE V</w:t>
      </w:r>
    </w:p>
    <w:p>
      <w:pPr>
        <w:spacing w:after="0" w:line="16" w:lineRule="exact"/>
        <w:rPr>
          <w:sz w:val="20"/>
          <w:szCs w:val="20"/>
          <w:color w:val="auto"/>
        </w:rPr>
      </w:pPr>
    </w:p>
    <w:p>
      <w:pPr>
        <w:ind w:left="4960"/>
        <w:spacing w:after="0"/>
        <w:rPr>
          <w:sz w:val="20"/>
          <w:szCs w:val="20"/>
          <w:color w:val="auto"/>
        </w:rPr>
      </w:pPr>
      <w:r>
        <w:rPr>
          <w:rFonts w:ascii="Arial" w:cs="Arial" w:eastAsia="Arial" w:hAnsi="Arial"/>
          <w:sz w:val="20"/>
          <w:szCs w:val="20"/>
          <w:u w:val="single" w:color="auto"/>
          <w:color w:val="auto"/>
        </w:rPr>
        <w:t>CAPITAL STOCK</w:t>
      </w:r>
    </w:p>
    <w:p>
      <w:pPr>
        <w:spacing w:after="0" w:line="200" w:lineRule="exact"/>
        <w:rPr>
          <w:sz w:val="20"/>
          <w:szCs w:val="20"/>
          <w:color w:val="auto"/>
        </w:rPr>
      </w:pPr>
    </w:p>
    <w:p>
      <w:pPr>
        <w:jc w:val="both"/>
        <w:ind w:left="120" w:firstLine="648"/>
        <w:spacing w:after="0" w:line="291"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Issuance</w:t>
      </w:r>
      <w:r>
        <w:rPr>
          <w:rFonts w:ascii="Arial" w:cs="Arial" w:eastAsia="Arial" w:hAnsi="Arial"/>
          <w:sz w:val="18"/>
          <w:szCs w:val="18"/>
          <w:color w:val="auto"/>
        </w:rPr>
        <w:t>. Shares of the Corporation’s authorized capital stock shall, subject to any provisions or limitations of the laws of the State of Nevada, the Articles of Incorporation or any contracts or agreements to which the Corporation may be a party, be issued in such manner, at such times, upon such conditions and for such consideration as shall be prescribed by the Board of Directors.</w:t>
      </w:r>
    </w:p>
    <w:p>
      <w:pPr>
        <w:spacing w:after="0" w:line="152" w:lineRule="exact"/>
        <w:rPr>
          <w:sz w:val="20"/>
          <w:szCs w:val="20"/>
          <w:color w:val="auto"/>
        </w:rPr>
      </w:pPr>
    </w:p>
    <w:p>
      <w:pPr>
        <w:ind w:left="780"/>
        <w:spacing w:after="0"/>
        <w:tabs>
          <w:tab w:leader="none" w:pos="1820" w:val="left"/>
        </w:tabs>
        <w:rPr>
          <w:sz w:val="20"/>
          <w:szCs w:val="20"/>
          <w:color w:val="auto"/>
        </w:rPr>
      </w:pPr>
      <w:r>
        <w:rPr>
          <w:rFonts w:ascii="Arial" w:cs="Arial" w:eastAsia="Arial" w:hAnsi="Arial"/>
          <w:sz w:val="20"/>
          <w:szCs w:val="20"/>
          <w:color w:val="auto"/>
        </w:rPr>
        <w:t>Section 5.2</w:t>
      </w:r>
      <w:r>
        <w:rPr>
          <w:sz w:val="20"/>
          <w:szCs w:val="20"/>
          <w:color w:val="auto"/>
        </w:rPr>
        <w:tab/>
      </w:r>
      <w:r>
        <w:rPr>
          <w:rFonts w:ascii="Arial" w:cs="Arial" w:eastAsia="Arial" w:hAnsi="Arial"/>
          <w:sz w:val="16"/>
          <w:szCs w:val="16"/>
          <w:u w:val="single" w:color="auto"/>
          <w:color w:val="auto"/>
        </w:rPr>
        <w:t>Stock Certificates and Uncertificated Shares</w:t>
      </w:r>
      <w:r>
        <w:rPr>
          <w:rFonts w:ascii="Arial" w:cs="Arial" w:eastAsia="Arial" w:hAnsi="Arial"/>
          <w:sz w:val="16"/>
          <w:szCs w:val="16"/>
          <w:color w:val="auto"/>
        </w:rPr>
        <w:t>.</w:t>
      </w:r>
    </w:p>
    <w:p>
      <w:pPr>
        <w:spacing w:after="0" w:line="216" w:lineRule="exact"/>
        <w:rPr>
          <w:sz w:val="20"/>
          <w:szCs w:val="20"/>
          <w:color w:val="auto"/>
        </w:rPr>
      </w:pPr>
    </w:p>
    <w:p>
      <w:pPr>
        <w:jc w:val="both"/>
        <w:ind w:firstLine="1305"/>
        <w:spacing w:after="0" w:line="243" w:lineRule="auto"/>
        <w:tabs>
          <w:tab w:leader="none" w:pos="1696" w:val="left"/>
        </w:tabs>
        <w:numPr>
          <w:ilvl w:val="0"/>
          <w:numId w:val="40"/>
        </w:numPr>
        <w:rPr>
          <w:rFonts w:ascii="Arial" w:cs="Arial" w:eastAsia="Arial" w:hAnsi="Arial"/>
          <w:sz w:val="20"/>
          <w:szCs w:val="20"/>
          <w:color w:val="auto"/>
        </w:rPr>
      </w:pPr>
      <w:r>
        <w:rPr>
          <w:rFonts w:ascii="Arial" w:cs="Arial" w:eastAsia="Arial" w:hAnsi="Arial"/>
          <w:sz w:val="20"/>
          <w:szCs w:val="20"/>
          <w:color w:val="auto"/>
        </w:rPr>
        <w:t>Every holder of stock in the Corporation shall be entitled to have a certificate signed by or in the name of the Corporation by (i) the chief executive officer, if any, the president, or a vice president, and (ii) the secretary, an assistant secretary, the treasurer or the chief financial officer, if any, of the Corporation (or any other two officers or agents so authorized by the Board of Directors), certifying the number of shares of stock owned by him, her or it in the Corporation; provided that the Board of Directors may authorize the issuance of uncertificated shares of some or all of any or all classes or series of the Corporation’s stock. Any such issuance of uncertificated shares shall have no effect on existing certificates for shares until such</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20"/>
          </w:cols>
          <w:pgMar w:left="240" w:top="366" w:right="239" w:bottom="1440" w:gutter="0" w:footer="0" w:header="0"/>
        </w:sectPr>
      </w:pPr>
    </w:p>
    <w:bookmarkStart w:id="68" w:name="page69"/>
    <w:bookmarkEnd w:id="68"/>
    <w:p>
      <w:pPr>
        <w:jc w:val="both"/>
        <w:spacing w:after="0" w:line="273" w:lineRule="auto"/>
        <w:rPr>
          <w:sz w:val="20"/>
          <w:szCs w:val="20"/>
          <w:color w:val="auto"/>
        </w:rPr>
      </w:pPr>
      <w:r>
        <w:rPr>
          <w:rFonts w:ascii="Arial" w:cs="Arial" w:eastAsia="Arial" w:hAnsi="Arial"/>
          <w:sz w:val="18"/>
          <w:szCs w:val="18"/>
          <w:color w:val="auto"/>
        </w:rPr>
        <w:t>certificates are surrendered to the Corporation, or on the respective rights and obligations of the stockholders. Whenever any such certificate is countersigned or otherwise authenticated by a transfer agent or a transfer clerk and by a registrar (other than the Corporation), then a facsimile of the signatures of any corporate officers or agents, the transfer agent, transfer clerk or the registrar of the Corporation may be printed or lithographed upon the certificate in lieu of the actual signatures. In the event that any officer or officers who have signed, or whose facsimile signatures have been used on any certificate or certificates for stock cease to be an officer or officers because of death, resignation or other reason, before the certificate or certificates for stock have been delivered by the Corporation, the certificate or certificates may nevertheless be adopted by the Corporation and be issued and delivered as though the person or persons who signed the certificate or certificates, or whose facsimile signature or signatures have been used thereon, had not ceased to be an officer or officers of the Corporation.</w:t>
      </w:r>
    </w:p>
    <w:p>
      <w:pPr>
        <w:spacing w:after="0" w:line="169" w:lineRule="exact"/>
        <w:rPr>
          <w:sz w:val="20"/>
          <w:szCs w:val="20"/>
          <w:color w:val="auto"/>
        </w:rPr>
      </w:pPr>
    </w:p>
    <w:p>
      <w:pPr>
        <w:jc w:val="both"/>
        <w:ind w:firstLine="1305"/>
        <w:spacing w:after="0" w:line="274" w:lineRule="auto"/>
        <w:tabs>
          <w:tab w:leader="none" w:pos="1707"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Within a reasonable time after the issuance or transfer of uncertificated shares, the Corporation shall send to the registered owner thereof a written statement certifying the number and class (and the designation of the series, if any) of the shares owned by such stockholder in the Corporation and any restrictions on the transfer or registration of such shares imposed by the Articles of Incorporation, these Bylaws, any agreement among stockholders or any agreement between the stockholders and the Corporation, and, at least annually thereafter, the Corporation shall provide to such stockholders of record holding uncertificated shares, a written statement confirming the information contained in such written statement previously sent. Except as otherwise expressly provided by the NRS, the rights and obligations of the stockholders of the Corporation shall be identical whether or not their shares of stock are represented by certificates.</w:t>
      </w:r>
    </w:p>
    <w:p>
      <w:pPr>
        <w:spacing w:after="0" w:line="169" w:lineRule="exact"/>
        <w:rPr>
          <w:rFonts w:ascii="Arial" w:cs="Arial" w:eastAsia="Arial" w:hAnsi="Arial"/>
          <w:sz w:val="18"/>
          <w:szCs w:val="18"/>
          <w:color w:val="auto"/>
        </w:rPr>
      </w:pPr>
    </w:p>
    <w:p>
      <w:pPr>
        <w:jc w:val="both"/>
        <w:ind w:firstLine="1305"/>
        <w:spacing w:after="0" w:line="274" w:lineRule="auto"/>
        <w:tabs>
          <w:tab w:leader="none" w:pos="1872"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certificate representing shares shall state the following upon the face thereof: the name of the state of the Corporation’s organization; the name of the person to whom issued; the number and class of shares and the designation of the series, if any, which such certificate represents; the par value of each share, if any, represented by such certificate or a statement that the shares are without par value. Certificates of stock shall be in such form consistent with law as shall be prescribed by the Board of Directors. No certificate shall be issued until the shares represented thereby are fully paid. In addition to the foregoing, all certificates evidencing shares of the Corporation’s stock or other securities issued by the Corporation shall contain such legend or legends as may from time to time be required by the NRS and/or the regulations of the Nevada Gaming Commission then in effect, or such other federal, state or local laws or regulations then in effect.</w:t>
      </w:r>
    </w:p>
    <w:p>
      <w:pPr>
        <w:spacing w:after="0" w:line="169" w:lineRule="exact"/>
        <w:rPr>
          <w:sz w:val="20"/>
          <w:szCs w:val="20"/>
          <w:color w:val="auto"/>
        </w:rPr>
      </w:pPr>
    </w:p>
    <w:p>
      <w:pPr>
        <w:jc w:val="both"/>
        <w:ind w:left="120" w:firstLine="648"/>
        <w:spacing w:after="0" w:line="273"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Surrendered; Lost or Destroyed Certificates</w:t>
      </w:r>
      <w:r>
        <w:rPr>
          <w:rFonts w:ascii="Arial" w:cs="Arial" w:eastAsia="Arial" w:hAnsi="Arial"/>
          <w:sz w:val="18"/>
          <w:szCs w:val="18"/>
          <w:color w:val="auto"/>
        </w:rPr>
        <w:t>. All certificates surrendered to the Corporation, except those representing shares of treasury stock, shall be canceled and no new certificate shall be issued until the former certificate for a like number of shares shall have been canceled, except that in case of a lost, stolen, destroyed or mutilated certificate, a new one may be issued therefor. However, any stockholder applying for the issuance of a stock certificate in lieu of one alleged to have been lost, stolen, destroyed or mutilated shall, prior to the issuance of a replacement, provide the Corporation with his, her or its affidavit of the facts surrounding the loss, theft, destruction or mutilation and, if required by the Board of Directors, an indemnity bond in an amount not less than twice the current market value of the stock, and upon such terms as the treasurer or the Board of Directors shall require which shall indemnify the Corporation against any loss, damage, cost or inconvenience arising as a consequence of the issuance of a replacement certificate.</w:t>
      </w:r>
    </w:p>
    <w:p>
      <w:pPr>
        <w:spacing w:after="0" w:line="169" w:lineRule="exact"/>
        <w:rPr>
          <w:sz w:val="20"/>
          <w:szCs w:val="20"/>
          <w:color w:val="auto"/>
        </w:rPr>
      </w:pPr>
    </w:p>
    <w:p>
      <w:pPr>
        <w:jc w:val="both"/>
        <w:ind w:left="120" w:firstLine="648"/>
        <w:spacing w:after="0" w:line="250" w:lineRule="auto"/>
        <w:rPr>
          <w:sz w:val="20"/>
          <w:szCs w:val="20"/>
          <w:color w:val="auto"/>
        </w:rPr>
      </w:pPr>
      <w:r>
        <w:rPr>
          <w:rFonts w:ascii="Arial" w:cs="Arial" w:eastAsia="Arial" w:hAnsi="Arial"/>
          <w:sz w:val="20"/>
          <w:szCs w:val="20"/>
          <w:color w:val="auto"/>
        </w:rPr>
        <w:t xml:space="preserve">Section 5.4 </w:t>
      </w:r>
      <w:r>
        <w:rPr>
          <w:rFonts w:ascii="Arial" w:cs="Arial" w:eastAsia="Arial" w:hAnsi="Arial"/>
          <w:sz w:val="20"/>
          <w:szCs w:val="20"/>
          <w:u w:val="single" w:color="auto"/>
          <w:color w:val="auto"/>
        </w:rPr>
        <w:t>Replacement Certificate</w:t>
      </w:r>
      <w:r>
        <w:rPr>
          <w:rFonts w:ascii="Arial" w:cs="Arial" w:eastAsia="Arial" w:hAnsi="Arial"/>
          <w:sz w:val="20"/>
          <w:szCs w:val="20"/>
          <w:color w:val="auto"/>
        </w:rPr>
        <w:t>. When the Articles of Incorporation are amended in any way affecting the statements contained in the certificates for outstanding shares of capital stock of the Corporation or it becomes desirable for any reason, in the discretion of the Board of Directors, including,</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366" w:right="239" w:bottom="1440" w:gutter="0" w:footer="0" w:header="0"/>
        </w:sectPr>
      </w:pPr>
    </w:p>
    <w:bookmarkStart w:id="69" w:name="page70"/>
    <w:bookmarkEnd w:id="69"/>
    <w:p>
      <w:pPr>
        <w:jc w:val="both"/>
        <w:ind w:left="120"/>
        <w:spacing w:after="0" w:line="259" w:lineRule="auto"/>
        <w:rPr>
          <w:sz w:val="20"/>
          <w:szCs w:val="20"/>
          <w:color w:val="auto"/>
        </w:rPr>
      </w:pPr>
      <w:r>
        <w:rPr>
          <w:rFonts w:ascii="Arial" w:cs="Arial" w:eastAsia="Arial" w:hAnsi="Arial"/>
          <w:sz w:val="19"/>
          <w:szCs w:val="19"/>
          <w:color w:val="auto"/>
        </w:rPr>
        <w:t>without limitation, the merger of the Corporation with another Corporation or the conversion or reorganization of the Corporation, to cancel any outstanding certificate for shares and issue a new certificate therefor conforming to the rights of the holder, the Board of Directors may order any holders of outstanding certificates for shares to surrender and exchange the same for new certificates within a reasonable time to be fixed by the Board of Directors. The order may provide that a holder of any certificate(s) ordered to be surrendered shall not be entitled to vote, receive distributions or exercise any other rights of stockholders of record until the holder has complied with the order, but the order operates to suspend such rights only after notice and until compliance.</w:t>
      </w:r>
    </w:p>
    <w:p>
      <w:pPr>
        <w:spacing w:after="0" w:line="179" w:lineRule="exact"/>
        <w:rPr>
          <w:sz w:val="20"/>
          <w:szCs w:val="20"/>
          <w:color w:val="auto"/>
        </w:rPr>
      </w:pPr>
    </w:p>
    <w:p>
      <w:pPr>
        <w:jc w:val="both"/>
        <w:ind w:left="120" w:firstLine="648"/>
        <w:spacing w:after="0" w:line="246" w:lineRule="auto"/>
        <w:rPr>
          <w:sz w:val="20"/>
          <w:szCs w:val="20"/>
          <w:color w:val="auto"/>
        </w:rPr>
      </w:pPr>
      <w:r>
        <w:rPr>
          <w:rFonts w:ascii="Arial" w:cs="Arial" w:eastAsia="Arial" w:hAnsi="Arial"/>
          <w:sz w:val="20"/>
          <w:szCs w:val="20"/>
          <w:color w:val="auto"/>
        </w:rPr>
        <w:t xml:space="preserve">Section 5.5 </w:t>
      </w:r>
      <w:r>
        <w:rPr>
          <w:rFonts w:ascii="Arial" w:cs="Arial" w:eastAsia="Arial" w:hAnsi="Arial"/>
          <w:sz w:val="20"/>
          <w:szCs w:val="20"/>
          <w:u w:val="single" w:color="auto"/>
          <w:color w:val="auto"/>
        </w:rPr>
        <w:t>Transfer of Shares</w:t>
      </w:r>
      <w:r>
        <w:rPr>
          <w:rFonts w:ascii="Arial" w:cs="Arial" w:eastAsia="Arial" w:hAnsi="Arial"/>
          <w:sz w:val="20"/>
          <w:szCs w:val="20"/>
          <w:color w:val="auto"/>
        </w:rPr>
        <w:t>. No transfer of stock shall be valid as against the Corporation except on surrender and cancellation of any certificate(s) therefor accompanied by an assignment or transfer by the registered owner made either in person or under assignment. Whenever any transfer shall be expressly made for collateral security and not absolutely, the collateral nature of the transfer shall be reflected in the entry of transfer in the records of the Corporation.</w:t>
      </w:r>
    </w:p>
    <w:p>
      <w:pPr>
        <w:spacing w:after="0" w:line="192" w:lineRule="exact"/>
        <w:rPr>
          <w:sz w:val="20"/>
          <w:szCs w:val="20"/>
          <w:color w:val="auto"/>
        </w:rPr>
      </w:pPr>
    </w:p>
    <w:p>
      <w:pPr>
        <w:jc w:val="both"/>
        <w:ind w:left="120" w:firstLine="648"/>
        <w:spacing w:after="0" w:line="250" w:lineRule="auto"/>
        <w:rPr>
          <w:sz w:val="20"/>
          <w:szCs w:val="20"/>
          <w:color w:val="auto"/>
        </w:rPr>
      </w:pPr>
      <w:r>
        <w:rPr>
          <w:rFonts w:ascii="Arial" w:cs="Arial" w:eastAsia="Arial" w:hAnsi="Arial"/>
          <w:sz w:val="20"/>
          <w:szCs w:val="20"/>
          <w:color w:val="auto"/>
        </w:rPr>
        <w:t xml:space="preserve">Section 5.6 </w:t>
      </w:r>
      <w:r>
        <w:rPr>
          <w:rFonts w:ascii="Arial" w:cs="Arial" w:eastAsia="Arial" w:hAnsi="Arial"/>
          <w:sz w:val="20"/>
          <w:szCs w:val="20"/>
          <w:u w:val="single" w:color="auto"/>
          <w:color w:val="auto"/>
        </w:rPr>
        <w:t>Transfer Agent; Registrars</w:t>
      </w:r>
      <w:r>
        <w:rPr>
          <w:rFonts w:ascii="Arial" w:cs="Arial" w:eastAsia="Arial" w:hAnsi="Arial"/>
          <w:sz w:val="20"/>
          <w:szCs w:val="20"/>
          <w:color w:val="auto"/>
        </w:rPr>
        <w:t>. The Board of Directors may appoint one or more transfer agents, transfer clerks and registrars of transfer and may require all certificates for shares of stock to bear the signature of such transfer agents, transfer clerks and/or registrars of transfer.</w:t>
      </w:r>
    </w:p>
    <w:p>
      <w:pPr>
        <w:spacing w:after="0" w:line="186" w:lineRule="exact"/>
        <w:rPr>
          <w:sz w:val="20"/>
          <w:szCs w:val="20"/>
          <w:color w:val="auto"/>
        </w:rPr>
      </w:pPr>
    </w:p>
    <w:p>
      <w:pPr>
        <w:jc w:val="both"/>
        <w:ind w:left="120" w:firstLine="648"/>
        <w:spacing w:after="0" w:line="250" w:lineRule="auto"/>
        <w:rPr>
          <w:sz w:val="20"/>
          <w:szCs w:val="20"/>
          <w:color w:val="auto"/>
        </w:rPr>
      </w:pPr>
      <w:r>
        <w:rPr>
          <w:rFonts w:ascii="Arial" w:cs="Arial" w:eastAsia="Arial" w:hAnsi="Arial"/>
          <w:sz w:val="20"/>
          <w:szCs w:val="20"/>
          <w:color w:val="auto"/>
        </w:rPr>
        <w:t xml:space="preserve">Section 5.7 </w:t>
      </w:r>
      <w:r>
        <w:rPr>
          <w:rFonts w:ascii="Arial" w:cs="Arial" w:eastAsia="Arial" w:hAnsi="Arial"/>
          <w:sz w:val="20"/>
          <w:szCs w:val="20"/>
          <w:u w:val="single" w:color="auto"/>
          <w:color w:val="auto"/>
        </w:rPr>
        <w:t>Miscellaneous</w:t>
      </w:r>
      <w:r>
        <w:rPr>
          <w:rFonts w:ascii="Arial" w:cs="Arial" w:eastAsia="Arial" w:hAnsi="Arial"/>
          <w:sz w:val="20"/>
          <w:szCs w:val="20"/>
          <w:color w:val="auto"/>
        </w:rPr>
        <w:t>. The Board of Directors shall have the power and authority to make such rules and regulations not inconsistent herewith as it may deem expedient concerning the issue, transfer, and registration of certificates for shares of the Corporation’s stock.</w:t>
      </w:r>
    </w:p>
    <w:p>
      <w:pPr>
        <w:spacing w:after="0" w:line="186" w:lineRule="exact"/>
        <w:rPr>
          <w:sz w:val="20"/>
          <w:szCs w:val="20"/>
          <w:color w:val="auto"/>
        </w:rPr>
      </w:pPr>
    </w:p>
    <w:p>
      <w:pPr>
        <w:jc w:val="both"/>
        <w:ind w:left="120" w:firstLine="648"/>
        <w:spacing w:after="0" w:line="263" w:lineRule="auto"/>
        <w:rPr>
          <w:sz w:val="20"/>
          <w:szCs w:val="20"/>
          <w:color w:val="auto"/>
        </w:rPr>
      </w:pPr>
      <w:r>
        <w:rPr>
          <w:rFonts w:ascii="Arial" w:cs="Arial" w:eastAsia="Arial" w:hAnsi="Arial"/>
          <w:sz w:val="19"/>
          <w:szCs w:val="19"/>
          <w:color w:val="auto"/>
        </w:rPr>
        <w:t xml:space="preserve">Section 5.8 </w:t>
      </w:r>
      <w:r>
        <w:rPr>
          <w:rFonts w:ascii="Arial" w:cs="Arial" w:eastAsia="Arial" w:hAnsi="Arial"/>
          <w:sz w:val="19"/>
          <w:szCs w:val="19"/>
          <w:u w:val="single" w:color="auto"/>
          <w:color w:val="auto"/>
        </w:rPr>
        <w:t>Inapplicability of Controlling Interest Statutes</w:t>
      </w:r>
      <w:r>
        <w:rPr>
          <w:rFonts w:ascii="Arial" w:cs="Arial" w:eastAsia="Arial" w:hAnsi="Arial"/>
          <w:sz w:val="19"/>
          <w:szCs w:val="19"/>
          <w:color w:val="auto"/>
        </w:rPr>
        <w:t>. Notwithstanding any other provision in these Bylaws to the contrary, and in accordance with the provisions of NRS 78.378, the provisions of NRS 78.378 to 78.3793, inclusive (or any successor statutes thereto), relating to acquisitions of controlling interests in the Corporation do not apply to any and all acquisitions of shares of the Corporation’s common stock, par value $.01 per share, effected by Stephen A. Wynn or any of his affiliates.</w:t>
      </w:r>
    </w:p>
    <w:p>
      <w:pPr>
        <w:spacing w:after="0" w:line="177"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ARTICLE VI</w:t>
      </w:r>
    </w:p>
    <w:p>
      <w:pPr>
        <w:spacing w:after="0" w:line="16" w:lineRule="exact"/>
        <w:rPr>
          <w:sz w:val="20"/>
          <w:szCs w:val="20"/>
          <w:color w:val="auto"/>
        </w:rPr>
      </w:pPr>
    </w:p>
    <w:p>
      <w:pPr>
        <w:ind w:left="4960"/>
        <w:spacing w:after="0"/>
        <w:rPr>
          <w:sz w:val="20"/>
          <w:szCs w:val="20"/>
          <w:color w:val="auto"/>
        </w:rPr>
      </w:pPr>
      <w:r>
        <w:rPr>
          <w:rFonts w:ascii="Arial" w:cs="Arial" w:eastAsia="Arial" w:hAnsi="Arial"/>
          <w:sz w:val="20"/>
          <w:szCs w:val="20"/>
          <w:u w:val="single" w:color="auto"/>
          <w:color w:val="auto"/>
        </w:rPr>
        <w:t>DISTRIBUTIONS</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Distributions may be declared, subject to the provisions of the laws of the State of Nevada and the Articles of Incorporation, by the Board of Directors and may be paid in money, shares of corporate stock, property or any other medium not prohibited under applicable law. The Board of Directors may fix in advance a record date, in accordance with and as provided in Section 2.5, prior to the distribution for the purpose of determining stockholders entitled to receive any distribution.</w:t>
      </w:r>
    </w:p>
    <w:p>
      <w:pPr>
        <w:spacing w:after="0" w:line="192"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ARTICLE VII</w:t>
      </w:r>
    </w:p>
    <w:p>
      <w:pPr>
        <w:spacing w:after="0" w:line="16" w:lineRule="exact"/>
        <w:rPr>
          <w:sz w:val="20"/>
          <w:szCs w:val="20"/>
          <w:color w:val="auto"/>
        </w:rPr>
      </w:pPr>
    </w:p>
    <w:p>
      <w:pPr>
        <w:ind w:left="2980"/>
        <w:spacing w:after="0"/>
        <w:rPr>
          <w:sz w:val="20"/>
          <w:szCs w:val="20"/>
          <w:color w:val="auto"/>
        </w:rPr>
      </w:pPr>
      <w:r>
        <w:rPr>
          <w:rFonts w:ascii="Arial" w:cs="Arial" w:eastAsia="Arial" w:hAnsi="Arial"/>
          <w:sz w:val="20"/>
          <w:szCs w:val="20"/>
          <w:u w:val="single" w:color="auto"/>
          <w:color w:val="auto"/>
        </w:rPr>
        <w:t>RECORDS AND REPORTS; CORPORATE SEAL; FISCAL YEAR</w:t>
      </w:r>
    </w:p>
    <w:p>
      <w:pPr>
        <w:spacing w:after="0" w:line="200" w:lineRule="exact"/>
        <w:rPr>
          <w:sz w:val="20"/>
          <w:szCs w:val="20"/>
          <w:color w:val="auto"/>
        </w:rPr>
      </w:pPr>
    </w:p>
    <w:p>
      <w:pPr>
        <w:jc w:val="both"/>
        <w:ind w:left="120" w:firstLine="648"/>
        <w:spacing w:after="0" w:line="316"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Records</w:t>
      </w:r>
      <w:r>
        <w:rPr>
          <w:rFonts w:ascii="Arial" w:cs="Arial" w:eastAsia="Arial" w:hAnsi="Arial"/>
          <w:sz w:val="18"/>
          <w:szCs w:val="18"/>
          <w:color w:val="auto"/>
        </w:rPr>
        <w:t>. All original records of the Corporation, shall be kept at the principal office of the Corporation by or under the direction of the secretary or at such other place or by such other person as may be prescribed by these Bylaws or the Board of Directors.</w:t>
      </w:r>
    </w:p>
    <w:p>
      <w:pPr>
        <w:spacing w:after="0" w:line="130" w:lineRule="exact"/>
        <w:rPr>
          <w:sz w:val="20"/>
          <w:szCs w:val="20"/>
          <w:color w:val="auto"/>
        </w:rPr>
      </w:pPr>
    </w:p>
    <w:p>
      <w:pPr>
        <w:jc w:val="both"/>
        <w:ind w:left="120" w:firstLine="648"/>
        <w:spacing w:after="0" w:line="250" w:lineRule="auto"/>
        <w:rPr>
          <w:sz w:val="20"/>
          <w:szCs w:val="20"/>
          <w:color w:val="auto"/>
        </w:rPr>
      </w:pPr>
      <w:r>
        <w:rPr>
          <w:rFonts w:ascii="Arial" w:cs="Arial" w:eastAsia="Arial" w:hAnsi="Arial"/>
          <w:sz w:val="20"/>
          <w:szCs w:val="20"/>
          <w:color w:val="auto"/>
        </w:rPr>
        <w:t xml:space="preserve">Section 7.2 </w:t>
      </w:r>
      <w:r>
        <w:rPr>
          <w:rFonts w:ascii="Arial" w:cs="Arial" w:eastAsia="Arial" w:hAnsi="Arial"/>
          <w:sz w:val="20"/>
          <w:szCs w:val="20"/>
          <w:u w:val="single" w:color="auto"/>
          <w:color w:val="auto"/>
        </w:rPr>
        <w:t>Corporate Seal</w:t>
      </w:r>
      <w:r>
        <w:rPr>
          <w:rFonts w:ascii="Arial" w:cs="Arial" w:eastAsia="Arial" w:hAnsi="Arial"/>
          <w:sz w:val="20"/>
          <w:szCs w:val="20"/>
          <w:color w:val="auto"/>
        </w:rPr>
        <w:t>. The Board of Directors may, by resolution, authorize a seal, and the seal may be used by causing it, or a facsimile, to be impressed or affixed or reproduced or otherwise. Except when otherwise specifically provided herein, any officer of the Corporation shall have the authority to affix the seal to any document requiring it.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420"/>
          </w:cols>
          <w:pgMar w:left="240" w:top="366" w:right="239" w:bottom="1440" w:gutter="0" w:footer="0" w:header="0"/>
        </w:sectPr>
      </w:pPr>
    </w:p>
    <w:bookmarkStart w:id="70" w:name="page71"/>
    <w:bookmarkEnd w:id="70"/>
    <w:p>
      <w:pPr>
        <w:ind w:left="120" w:firstLine="648"/>
        <w:spacing w:after="0" w:line="260" w:lineRule="auto"/>
        <w:rPr>
          <w:sz w:val="20"/>
          <w:szCs w:val="20"/>
          <w:color w:val="auto"/>
        </w:rPr>
      </w:pPr>
      <w:r>
        <w:rPr>
          <w:rFonts w:ascii="Arial" w:cs="Arial" w:eastAsia="Arial" w:hAnsi="Arial"/>
          <w:sz w:val="20"/>
          <w:szCs w:val="20"/>
          <w:color w:val="auto"/>
        </w:rPr>
        <w:t xml:space="preserve">Section 7.3 </w:t>
      </w:r>
      <w:r>
        <w:rPr>
          <w:rFonts w:ascii="Arial" w:cs="Arial" w:eastAsia="Arial" w:hAnsi="Arial"/>
          <w:sz w:val="20"/>
          <w:szCs w:val="20"/>
          <w:u w:val="single" w:color="auto"/>
          <w:color w:val="auto"/>
        </w:rPr>
        <w:t>Fiscal Year-End</w:t>
      </w:r>
      <w:r>
        <w:rPr>
          <w:rFonts w:ascii="Arial" w:cs="Arial" w:eastAsia="Arial" w:hAnsi="Arial"/>
          <w:sz w:val="20"/>
          <w:szCs w:val="20"/>
          <w:color w:val="auto"/>
        </w:rPr>
        <w:t>. The fiscal year-end of the Corporation shall be such date as may be fixed from time to time by resolution of the Board of Directors.</w:t>
      </w:r>
    </w:p>
    <w:p>
      <w:pPr>
        <w:spacing w:after="0" w:line="177"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ARTICLE VIII</w:t>
      </w:r>
    </w:p>
    <w:p>
      <w:pPr>
        <w:spacing w:after="0" w:line="16" w:lineRule="exact"/>
        <w:rPr>
          <w:sz w:val="20"/>
          <w:szCs w:val="20"/>
          <w:color w:val="auto"/>
        </w:rPr>
      </w:pPr>
    </w:p>
    <w:p>
      <w:pPr>
        <w:ind w:left="4840"/>
        <w:spacing w:after="0"/>
        <w:rPr>
          <w:sz w:val="20"/>
          <w:szCs w:val="20"/>
          <w:color w:val="auto"/>
        </w:rPr>
      </w:pPr>
      <w:r>
        <w:rPr>
          <w:rFonts w:ascii="Arial" w:cs="Arial" w:eastAsia="Arial" w:hAnsi="Arial"/>
          <w:sz w:val="20"/>
          <w:szCs w:val="20"/>
          <w:u w:val="single" w:color="auto"/>
          <w:color w:val="auto"/>
        </w:rPr>
        <w:t>INDEMNIFICATION</w:t>
      </w:r>
    </w:p>
    <w:p>
      <w:pPr>
        <w:spacing w:after="0" w:line="200" w:lineRule="exact"/>
        <w:rPr>
          <w:sz w:val="20"/>
          <w:szCs w:val="20"/>
          <w:color w:val="auto"/>
        </w:rPr>
      </w:pPr>
    </w:p>
    <w:p>
      <w:pPr>
        <w:ind w:left="780"/>
        <w:spacing w:after="0"/>
        <w:tabs>
          <w:tab w:leader="none" w:pos="1820" w:val="left"/>
        </w:tabs>
        <w:rPr>
          <w:sz w:val="20"/>
          <w:szCs w:val="20"/>
          <w:color w:val="auto"/>
        </w:rPr>
      </w:pPr>
      <w:r>
        <w:rPr>
          <w:rFonts w:ascii="Arial" w:cs="Arial" w:eastAsia="Arial" w:hAnsi="Arial"/>
          <w:sz w:val="20"/>
          <w:szCs w:val="20"/>
          <w:color w:val="auto"/>
        </w:rPr>
        <w:t>Section 8.1</w:t>
      </w:r>
      <w:r>
        <w:rPr>
          <w:sz w:val="20"/>
          <w:szCs w:val="20"/>
          <w:color w:val="auto"/>
        </w:rPr>
        <w:tab/>
      </w:r>
      <w:r>
        <w:rPr>
          <w:rFonts w:ascii="Arial" w:cs="Arial" w:eastAsia="Arial" w:hAnsi="Arial"/>
          <w:sz w:val="18"/>
          <w:szCs w:val="18"/>
          <w:u w:val="single" w:color="auto"/>
          <w:color w:val="auto"/>
        </w:rPr>
        <w:t>Indemnification and Insurance</w:t>
      </w:r>
      <w:r>
        <w:rPr>
          <w:rFonts w:ascii="Arial" w:cs="Arial" w:eastAsia="Arial" w:hAnsi="Arial"/>
          <w:sz w:val="18"/>
          <w:szCs w:val="18"/>
          <w:color w:val="auto"/>
        </w:rPr>
        <w:t>.</w:t>
      </w:r>
    </w:p>
    <w:p>
      <w:pPr>
        <w:spacing w:after="0" w:line="216" w:lineRule="exact"/>
        <w:rPr>
          <w:sz w:val="20"/>
          <w:szCs w:val="20"/>
          <w:color w:val="auto"/>
        </w:rPr>
      </w:pPr>
    </w:p>
    <w:p>
      <w:pPr>
        <w:ind w:left="1700" w:hanging="395"/>
        <w:spacing w:after="0"/>
        <w:tabs>
          <w:tab w:leader="none" w:pos="1700"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Indemnification of Directors and Officers</w:t>
      </w:r>
      <w:r>
        <w:rPr>
          <w:rFonts w:ascii="Arial" w:cs="Arial" w:eastAsia="Arial" w:hAnsi="Arial"/>
          <w:sz w:val="20"/>
          <w:szCs w:val="20"/>
          <w:color w:val="auto"/>
        </w:rPr>
        <w:t>.</w:t>
      </w:r>
    </w:p>
    <w:p>
      <w:pPr>
        <w:spacing w:after="0" w:line="209" w:lineRule="exact"/>
        <w:rPr>
          <w:rFonts w:ascii="Arial" w:cs="Arial" w:eastAsia="Arial" w:hAnsi="Arial"/>
          <w:sz w:val="20"/>
          <w:szCs w:val="20"/>
          <w:color w:val="auto"/>
        </w:rPr>
      </w:pPr>
    </w:p>
    <w:p>
      <w:pPr>
        <w:jc w:val="both"/>
        <w:ind w:firstLine="1953"/>
        <w:spacing w:after="0" w:line="257" w:lineRule="auto"/>
        <w:tabs>
          <w:tab w:leader="none" w:pos="2339" w:val="left"/>
        </w:tabs>
        <w:numPr>
          <w:ilvl w:val="1"/>
          <w:numId w:val="42"/>
        </w:numPr>
        <w:rPr>
          <w:rFonts w:ascii="Arial" w:cs="Arial" w:eastAsia="Arial" w:hAnsi="Arial"/>
          <w:sz w:val="19"/>
          <w:szCs w:val="19"/>
          <w:color w:val="auto"/>
        </w:rPr>
      </w:pPr>
      <w:r>
        <w:rPr>
          <w:rFonts w:ascii="Arial" w:cs="Arial" w:eastAsia="Arial" w:hAnsi="Arial"/>
          <w:sz w:val="19"/>
          <w:szCs w:val="19"/>
          <w:color w:val="auto"/>
        </w:rPr>
        <w:t>For purposes of this Article, (A) “</w:t>
      </w:r>
      <w:r>
        <w:rPr>
          <w:rFonts w:ascii="Arial" w:cs="Arial" w:eastAsia="Arial" w:hAnsi="Arial"/>
          <w:sz w:val="19"/>
          <w:szCs w:val="19"/>
          <w:b w:val="1"/>
          <w:bCs w:val="1"/>
          <w:color w:val="auto"/>
        </w:rPr>
        <w:t>Indemnitee</w:t>
      </w:r>
      <w:r>
        <w:rPr>
          <w:rFonts w:ascii="Arial" w:cs="Arial" w:eastAsia="Arial" w:hAnsi="Arial"/>
          <w:sz w:val="19"/>
          <w:szCs w:val="19"/>
          <w:color w:val="auto"/>
        </w:rPr>
        <w:t>” shall mean each director or officer who was or is a party to, or is threatened to be made a party to, or is otherwise involved in, any Proceeding (as hereinafter defined), by reason of the fact that he or she is or was a director, officer, employee or agent (including, without limitation, as a trustee, fiduciary, administrator or manager) of the Corporation or member, manager or managing member of a predecessor limited liability company or affiliate of such limited liability company or is or was serving in any capacity at the request of the Corporation as a director, officer, employee or agent (including, without limitation, as a trustee, fiduciary administrator, partner, member or manager) of, or in any other capacity for, another corporation or any partnership, joint venture, limited liability company, trust, or other enterprise; and (B) “</w:t>
      </w:r>
      <w:r>
        <w:rPr>
          <w:rFonts w:ascii="Arial" w:cs="Arial" w:eastAsia="Arial" w:hAnsi="Arial"/>
          <w:sz w:val="19"/>
          <w:szCs w:val="19"/>
          <w:b w:val="1"/>
          <w:bCs w:val="1"/>
          <w:color w:val="auto"/>
        </w:rPr>
        <w:t>Proceeding</w:t>
      </w:r>
      <w:r>
        <w:rPr>
          <w:rFonts w:ascii="Arial" w:cs="Arial" w:eastAsia="Arial" w:hAnsi="Arial"/>
          <w:sz w:val="19"/>
          <w:szCs w:val="19"/>
          <w:color w:val="auto"/>
        </w:rPr>
        <w:t>” shall mean any threatened, pending, or completed action, suit or proceeding (including, without limitation, an action, suit or proceeding by or in the right of the Corporation), whether civil, criminal, administrative, or investigative.</w:t>
      </w:r>
    </w:p>
    <w:p>
      <w:pPr>
        <w:spacing w:after="0" w:line="182" w:lineRule="exact"/>
        <w:rPr>
          <w:rFonts w:ascii="Arial" w:cs="Arial" w:eastAsia="Arial" w:hAnsi="Arial"/>
          <w:sz w:val="19"/>
          <w:szCs w:val="19"/>
          <w:color w:val="auto"/>
        </w:rPr>
      </w:pPr>
    </w:p>
    <w:p>
      <w:pPr>
        <w:jc w:val="both"/>
        <w:ind w:firstLine="1953"/>
        <w:spacing w:after="0" w:line="268" w:lineRule="auto"/>
        <w:tabs>
          <w:tab w:leader="none" w:pos="23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Each Indemnitee shall be indemnified and held harmless by the Corporation to the fullest extent permitted by the laws of the State of Nevada, against all expense, liability and loss (including, without limitation, attorneys’ fees, judgments, fines, taxes, penalties, and amounts paid or to be paid in settlement) reasonably incurred or suffered by the Indemnitee in connection with any Proceeding; provided that such Indemnitee either is not liable pursuant to NRS 78.138 or acted in good faith and in a manner such Indemnitee reasonably believed to be in or not opposed to the best interests of the Corporation and, with respect to any Proceeding that is criminal in nature, had no reasonable cause to believe that his or her conduct was unlawful. The termination of any Proceeding by judgment, order, settlement, conviction or upon a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or its equivalent, does not, of itself, create a presumption that the Indemnitee is liable pursuant to NRS 78.138 or did not act in good faith and in a manner in which he or she reasonably believed to be in or not opposed to the best interests of the Corporation, or that, with respect to any criminal proceeding he or she had reasonable cause to believe that his or her conduct was unlawful. The Corporation shall not indemnify an Indemnitee for any claim, issue or matter as to which the Indemnitee has been adjudged by a court of competent jurisdiction, after exhaustion of all appeals therefrom, to be liable to the Corporation or for any amounts paid in settlement to the Corporation, unless and only to the extent that the court in which the Proceeding was brought or other court of competent jurisdiction determines upon application that in view of all the circumstances of the case, the Indemnitee is fairly and reasonably entitled to indemnity for such amounts as the court deems proper. Except as so ordered by a court and for advancement of expenses pursuant to this Section, indemnification may not be made to or on behalf of an Indemnitee if a final adjudication establishes that his or her acts or omissions involved intentional misconduct, fraud or a knowing violation of law and was material to the cause of action. Notwithstanding anything to the contrary contained in these Bylaws, no director or officer may be indemnified for expenses incurred in defending any threatened, pending, or completed action, suit or proceeding (including without limitation, an action, suit or proceeding by or in the right of the Corporation), whether civil, criminal, administrative or investigative, that such director or officer incurred in his or her capacity as a stockholder, including, but not limited to, in connection with such person being deemed an Unsuitable Person (as defined in Article VII of the Articles of Incorporation).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420"/>
          </w:cols>
          <w:pgMar w:left="240" w:top="366" w:right="239" w:bottom="1440" w:gutter="0" w:footer="0" w:header="0"/>
        </w:sectPr>
      </w:pPr>
    </w:p>
    <w:bookmarkStart w:id="71" w:name="page72"/>
    <w:bookmarkEnd w:id="71"/>
    <w:p>
      <w:pPr>
        <w:jc w:val="both"/>
        <w:ind w:firstLine="1953"/>
        <w:spacing w:after="0" w:line="244" w:lineRule="auto"/>
        <w:tabs>
          <w:tab w:leader="none" w:pos="2476" w:val="left"/>
        </w:tabs>
        <w:numPr>
          <w:ilvl w:val="1"/>
          <w:numId w:val="43"/>
        </w:numPr>
        <w:rPr>
          <w:rFonts w:ascii="Arial" w:cs="Arial" w:eastAsia="Arial" w:hAnsi="Arial"/>
          <w:sz w:val="20"/>
          <w:szCs w:val="20"/>
          <w:color w:val="auto"/>
        </w:rPr>
      </w:pPr>
      <w:r>
        <w:rPr>
          <w:rFonts w:ascii="Arial" w:cs="Arial" w:eastAsia="Arial" w:hAnsi="Arial"/>
          <w:sz w:val="20"/>
          <w:szCs w:val="20"/>
          <w:color w:val="auto"/>
        </w:rPr>
        <w:t>Indemnification pursuant to this Section shall continue as to an Indemnitee who has ceased to be a director or officer of the Corporation or member, manager or managing member of a predecessor limited liability company or affiliate of such limited liability company or a director, officer, employee, agent, partner, member, manager or fiduciary of, or to serve in any other capacity for, another corporation or any partnership, joint venture, limited liability company, trust, or other enterprise and shall inure to the benefit of his or her heirs, executors and administrators.</w:t>
      </w:r>
    </w:p>
    <w:p>
      <w:pPr>
        <w:spacing w:after="0" w:line="194" w:lineRule="exact"/>
        <w:rPr>
          <w:rFonts w:ascii="Arial" w:cs="Arial" w:eastAsia="Arial" w:hAnsi="Arial"/>
          <w:sz w:val="20"/>
          <w:szCs w:val="20"/>
          <w:color w:val="auto"/>
        </w:rPr>
      </w:pPr>
    </w:p>
    <w:p>
      <w:pPr>
        <w:jc w:val="both"/>
        <w:ind w:firstLine="1953"/>
        <w:spacing w:after="0" w:line="243" w:lineRule="auto"/>
        <w:tabs>
          <w:tab w:leader="none" w:pos="2411" w:val="left"/>
        </w:tabs>
        <w:numPr>
          <w:ilvl w:val="1"/>
          <w:numId w:val="43"/>
        </w:numPr>
        <w:rPr>
          <w:rFonts w:ascii="Arial" w:cs="Arial" w:eastAsia="Arial" w:hAnsi="Arial"/>
          <w:sz w:val="20"/>
          <w:szCs w:val="20"/>
          <w:color w:val="auto"/>
        </w:rPr>
      </w:pPr>
      <w:r>
        <w:rPr>
          <w:rFonts w:ascii="Arial" w:cs="Arial" w:eastAsia="Arial" w:hAnsi="Arial"/>
          <w:sz w:val="20"/>
          <w:szCs w:val="20"/>
          <w:color w:val="auto"/>
        </w:rPr>
        <w:t>The expenses of Indemnitees must be paid by the Corporation or through insurance purchased and maintained by the Corporation or through other financial arrangements made by the Corporation, as such expenses are incurred and in advance of the final disposition of the Proceeding, upon receipt of an undertaking by or on behalf of such Indemnitee to repay the amount if it is ultimately determined by a court of competent jurisdiction that he or she is not entitled to be indemnified by the Corporation. To the extent that an Indemnitee is successful on the merits or otherwise in defense of any Proceeding, or in the defense of any claim, issue or matter therein, the Corporation shall indemnify him or her against expenses, including attorneys’ fees, actually and reasonably incurred in by him or her in connection with the defense.</w:t>
      </w:r>
    </w:p>
    <w:p>
      <w:pPr>
        <w:spacing w:after="0" w:line="193" w:lineRule="exact"/>
        <w:rPr>
          <w:rFonts w:ascii="Arial" w:cs="Arial" w:eastAsia="Arial" w:hAnsi="Arial"/>
          <w:sz w:val="20"/>
          <w:szCs w:val="20"/>
          <w:color w:val="auto"/>
        </w:rPr>
      </w:pPr>
    </w:p>
    <w:p>
      <w:pPr>
        <w:ind w:right="20" w:firstLine="1305"/>
        <w:spacing w:after="0" w:line="260" w:lineRule="auto"/>
        <w:tabs>
          <w:tab w:leader="none" w:pos="1761"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Indemnification of Employees and Other Persons</w:t>
      </w:r>
      <w:r>
        <w:rPr>
          <w:rFonts w:ascii="Arial" w:cs="Arial" w:eastAsia="Arial" w:hAnsi="Arial"/>
          <w:sz w:val="20"/>
          <w:szCs w:val="20"/>
          <w:color w:val="auto"/>
        </w:rPr>
        <w:t>. The Corporation may, by action of its Board of Directors and to the extent provided in such action, indemnify employees and other persons as though they were Indemnitees.</w:t>
      </w:r>
    </w:p>
    <w:p>
      <w:pPr>
        <w:spacing w:after="0" w:line="176" w:lineRule="exact"/>
        <w:rPr>
          <w:rFonts w:ascii="Arial" w:cs="Arial" w:eastAsia="Arial" w:hAnsi="Arial"/>
          <w:sz w:val="20"/>
          <w:szCs w:val="20"/>
          <w:color w:val="auto"/>
        </w:rPr>
      </w:pPr>
    </w:p>
    <w:p>
      <w:pPr>
        <w:jc w:val="both"/>
        <w:ind w:firstLine="1305"/>
        <w:spacing w:after="0" w:line="250" w:lineRule="auto"/>
        <w:tabs>
          <w:tab w:leader="none" w:pos="1696"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Non-Exclusivity of Rights</w:t>
      </w:r>
      <w:r>
        <w:rPr>
          <w:rFonts w:ascii="Arial" w:cs="Arial" w:eastAsia="Arial" w:hAnsi="Arial"/>
          <w:sz w:val="20"/>
          <w:szCs w:val="20"/>
          <w:color w:val="auto"/>
        </w:rPr>
        <w:t>. The rights to indemnification provided in this Article shall not be exclusive of any other rights that any person may have or hereafter acquire under any statute, provision of the Articles of Incorporation or these Bylaws, agreement, vote of stockholders or directors, or otherwise.</w:t>
      </w:r>
    </w:p>
    <w:p>
      <w:pPr>
        <w:spacing w:after="0" w:line="186" w:lineRule="exact"/>
        <w:rPr>
          <w:rFonts w:ascii="Arial" w:cs="Arial" w:eastAsia="Arial" w:hAnsi="Arial"/>
          <w:sz w:val="20"/>
          <w:szCs w:val="20"/>
          <w:color w:val="auto"/>
        </w:rPr>
      </w:pPr>
    </w:p>
    <w:p>
      <w:pPr>
        <w:jc w:val="both"/>
        <w:ind w:firstLine="1305"/>
        <w:spacing w:after="0" w:line="246" w:lineRule="auto"/>
        <w:tabs>
          <w:tab w:leader="none" w:pos="1734"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Insurance</w:t>
      </w:r>
      <w:r>
        <w:rPr>
          <w:rFonts w:ascii="Arial" w:cs="Arial" w:eastAsia="Arial" w:hAnsi="Arial"/>
          <w:sz w:val="20"/>
          <w:szCs w:val="20"/>
          <w:color w:val="auto"/>
        </w:rPr>
        <w:t>. The Corporation may purchase and maintain insurance or make other financial arrangements on behalf of any Indemnitee for any liability asserted against him or her and liability and expenses incurred by him or her in his or her capacity as a director, officer, employee, member, managing member or agent, or arising out of his or her status as such, whether or not the Corporation has the authority to indemnify him or her against such liability and expenses.</w:t>
      </w:r>
    </w:p>
    <w:p>
      <w:pPr>
        <w:spacing w:after="0" w:line="191" w:lineRule="exact"/>
        <w:rPr>
          <w:rFonts w:ascii="Arial" w:cs="Arial" w:eastAsia="Arial" w:hAnsi="Arial"/>
          <w:sz w:val="20"/>
          <w:szCs w:val="20"/>
          <w:color w:val="auto"/>
        </w:rPr>
      </w:pPr>
    </w:p>
    <w:p>
      <w:pPr>
        <w:jc w:val="both"/>
        <w:ind w:firstLine="1305"/>
        <w:spacing w:after="0" w:line="259" w:lineRule="auto"/>
        <w:tabs>
          <w:tab w:leader="none" w:pos="1710"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Other Financial Arrangements</w:t>
      </w:r>
      <w:r>
        <w:rPr>
          <w:rFonts w:ascii="Arial" w:cs="Arial" w:eastAsia="Arial" w:hAnsi="Arial"/>
          <w:sz w:val="19"/>
          <w:szCs w:val="19"/>
          <w:color w:val="auto"/>
        </w:rPr>
        <w:t>. The other financial arrangements which may be made by the Corporation may include the following (i) the creation of a trust fund; (ii) the establishment of a program of self-insurance; (iii) the securing of its obligation of indemnification by granting a security interest or other lien on any assets of the Corporation; and (iv) the establishment of a letter of credit, guarantee or surety. No financial arrangement made pursuant to this subsection may provide protection for a person adjudged by a court of competent jurisdiction, after exhaustion of all appeals therefrom, to be liable for intentional misconduct, fraud, or a knowing violation of law, except with respect to advancement of expenses or indemnification ordered by a court.</w:t>
      </w:r>
    </w:p>
    <w:p>
      <w:pPr>
        <w:spacing w:after="0" w:line="178" w:lineRule="exact"/>
        <w:rPr>
          <w:rFonts w:ascii="Arial" w:cs="Arial" w:eastAsia="Arial" w:hAnsi="Arial"/>
          <w:sz w:val="19"/>
          <w:szCs w:val="19"/>
          <w:color w:val="auto"/>
        </w:rPr>
      </w:pPr>
    </w:p>
    <w:p>
      <w:pPr>
        <w:jc w:val="both"/>
        <w:ind w:firstLine="1305"/>
        <w:spacing w:after="0" w:line="243" w:lineRule="auto"/>
        <w:tabs>
          <w:tab w:leader="none" w:pos="1728"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Other Matters Relating to Insurance or Financial Arrangements</w:t>
      </w:r>
      <w:r>
        <w:rPr>
          <w:rFonts w:ascii="Arial" w:cs="Arial" w:eastAsia="Arial" w:hAnsi="Arial"/>
          <w:sz w:val="20"/>
          <w:szCs w:val="20"/>
          <w:color w:val="auto"/>
        </w:rPr>
        <w:t>. Any insurance or other financial arrangement made on behalf of a person pursuant to this Section 8.1 may be provided by the Corporation or any other person approved by the Board of Directors, even if all or part of the other person’s stock or other securities is owned by the Corporation. In the absence of fraud, (i) the decision of the Board of Directors as to the propriety of the terms and conditions of any insurance or other financial arrangement made pursuant to this Section 8.1 and the choice of the person to provide the insurance or other financial arrangement is conclusive; and (ii) the insurance or other financial arrangement is not void or voidable and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420"/>
          </w:cols>
          <w:pgMar w:left="240" w:top="366" w:right="239" w:bottom="1440" w:gutter="0" w:footer="0" w:header="0"/>
        </w:sectPr>
      </w:pPr>
    </w:p>
    <w:bookmarkStart w:id="72" w:name="page73"/>
    <w:bookmarkEnd w:id="72"/>
    <w:p>
      <w:pPr>
        <w:spacing w:after="0" w:line="260" w:lineRule="auto"/>
        <w:rPr>
          <w:sz w:val="20"/>
          <w:szCs w:val="20"/>
          <w:color w:val="auto"/>
        </w:rPr>
      </w:pPr>
      <w:r>
        <w:rPr>
          <w:rFonts w:ascii="Arial" w:cs="Arial" w:eastAsia="Arial" w:hAnsi="Arial"/>
          <w:sz w:val="20"/>
          <w:szCs w:val="20"/>
          <w:color w:val="auto"/>
        </w:rPr>
        <w:t>does not subject any director approving it to personal liability for his action; even if a director approving the insurance or other financial arrangement is a beneficiary of the insurance or other financial arrangement.</w:t>
      </w:r>
    </w:p>
    <w:p>
      <w:pPr>
        <w:spacing w:after="0" w:line="177" w:lineRule="exact"/>
        <w:rPr>
          <w:sz w:val="20"/>
          <w:szCs w:val="20"/>
          <w:color w:val="auto"/>
        </w:rPr>
      </w:pPr>
    </w:p>
    <w:p>
      <w:pPr>
        <w:jc w:val="both"/>
        <w:ind w:left="120" w:firstLine="648"/>
        <w:spacing w:after="0" w:line="256" w:lineRule="auto"/>
        <w:rPr>
          <w:sz w:val="20"/>
          <w:szCs w:val="20"/>
          <w:color w:val="auto"/>
        </w:rPr>
      </w:pPr>
      <w:r>
        <w:rPr>
          <w:rFonts w:ascii="Arial" w:cs="Arial" w:eastAsia="Arial" w:hAnsi="Arial"/>
          <w:sz w:val="19"/>
          <w:szCs w:val="19"/>
          <w:color w:val="auto"/>
        </w:rPr>
        <w:t xml:space="preserve">Section 8.2 </w:t>
      </w:r>
      <w:r>
        <w:rPr>
          <w:rFonts w:ascii="Arial" w:cs="Arial" w:eastAsia="Arial" w:hAnsi="Arial"/>
          <w:sz w:val="19"/>
          <w:szCs w:val="19"/>
          <w:u w:val="single" w:color="auto"/>
          <w:color w:val="auto"/>
        </w:rPr>
        <w:t>Amendment</w:t>
      </w:r>
      <w:r>
        <w:rPr>
          <w:rFonts w:ascii="Arial" w:cs="Arial" w:eastAsia="Arial" w:hAnsi="Arial"/>
          <w:sz w:val="19"/>
          <w:szCs w:val="19"/>
          <w:color w:val="auto"/>
        </w:rPr>
        <w:t>. The provisions of this Article VIII relating to indemnification shall constitute a contract between the Corporation and each of its directors and officers which may be modified as to any director or officer only with that person’s consent or as specifically provided in this Section 8.2. Notwithstanding any other provision of these Bylaws relating to their amendment generally, any repeal or amendment of this Article VIII which is adverse to any director or officer shall apply to such director or officer only on a prospective basis, and shall not limit the rights of an Indemnitee to indemnification with respect to any action or failure to act occurring prior to the time of such repeal or amendment. Notwithstanding any other provision of these Bylaws (including, without limitation, Article X), no repeal or amendment of these Bylaws shall affect any or all of this Article VIII so as to limit or reduce the indemnification in any manner unless adopted by (i) the unanimous vote of the directors of the Corporation then serving, or (ii) by the stockholders as set forth in Article X; provided that no such amendment shall have a retroactive effect inconsistent with the preceding sentence.</w:t>
      </w:r>
    </w:p>
    <w:p>
      <w:pPr>
        <w:spacing w:after="0" w:line="185"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ARTICLE IX</w:t>
      </w:r>
    </w:p>
    <w:p>
      <w:pPr>
        <w:spacing w:after="0" w:line="16" w:lineRule="exact"/>
        <w:rPr>
          <w:sz w:val="20"/>
          <w:szCs w:val="20"/>
          <w:color w:val="auto"/>
        </w:rPr>
      </w:pPr>
    </w:p>
    <w:p>
      <w:pPr>
        <w:ind w:left="4440"/>
        <w:spacing w:after="0"/>
        <w:rPr>
          <w:sz w:val="20"/>
          <w:szCs w:val="20"/>
          <w:color w:val="auto"/>
        </w:rPr>
      </w:pPr>
      <w:r>
        <w:rPr>
          <w:rFonts w:ascii="Arial" w:cs="Arial" w:eastAsia="Arial" w:hAnsi="Arial"/>
          <w:sz w:val="20"/>
          <w:szCs w:val="20"/>
          <w:u w:val="single" w:color="auto"/>
          <w:color w:val="auto"/>
        </w:rPr>
        <w:t>CHANGES IN NEVADA LAW</w:t>
      </w:r>
    </w:p>
    <w:p>
      <w:pPr>
        <w:spacing w:after="0" w:line="2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References in these Bylaws to the laws of the State of Nevada or the NRS or to any provision thereof shall be to such law as it existed on the date these Bylaws were adopted or as such law thereafter may be changed; provided that (i) in the case of any change which expands the liability of directors or officers or limits the indemnification rights or the rights to advancement of expenses which the Corporation may provide in Article VIII, the rights to limited liability, to indemnification and to the advancement of expenses provided in the Articles of Incorporation and/or these Bylaws shall continue as theretofore to the extent permitted by law; and (ii) if such change permits the Corporation, without the requirement of any further action by stockholders or directors, to limit further the liability of directors or limit the liability of officers or to provide broader indemnification rights or rights to the advancement of expenses than the Corporation was permitted to provide prior to such change, then liability thereupon shall be so limited and the rights to indemnification and the advancement of expenses shall be so broadened to the extent permitted by law.</w:t>
      </w:r>
    </w:p>
    <w:p>
      <w:pPr>
        <w:spacing w:after="0" w:line="185"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ARTICLE X</w:t>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20"/>
          <w:szCs w:val="20"/>
          <w:u w:val="single" w:color="auto"/>
          <w:color w:val="auto"/>
        </w:rPr>
        <w:t>AMENDMENT OR REPEAL</w:t>
      </w:r>
    </w:p>
    <w:p>
      <w:pPr>
        <w:spacing w:after="0" w:line="200" w:lineRule="exact"/>
        <w:rPr>
          <w:sz w:val="20"/>
          <w:szCs w:val="20"/>
          <w:color w:val="auto"/>
        </w:rPr>
      </w:pPr>
    </w:p>
    <w:p>
      <w:pPr>
        <w:ind w:left="780"/>
        <w:spacing w:after="0"/>
        <w:tabs>
          <w:tab w:leader="none" w:pos="1920" w:val="left"/>
        </w:tabs>
        <w:rPr>
          <w:sz w:val="20"/>
          <w:szCs w:val="20"/>
          <w:color w:val="auto"/>
        </w:rPr>
      </w:pPr>
      <w:r>
        <w:rPr>
          <w:rFonts w:ascii="Arial" w:cs="Arial" w:eastAsia="Arial" w:hAnsi="Arial"/>
          <w:sz w:val="20"/>
          <w:szCs w:val="20"/>
          <w:color w:val="auto"/>
        </w:rPr>
        <w:t>Section 10.1</w:t>
      </w:r>
      <w:r>
        <w:rPr>
          <w:sz w:val="20"/>
          <w:szCs w:val="20"/>
          <w:color w:val="auto"/>
        </w:rPr>
        <w:tab/>
      </w:r>
      <w:r>
        <w:rPr>
          <w:rFonts w:ascii="Arial" w:cs="Arial" w:eastAsia="Arial" w:hAnsi="Arial"/>
          <w:sz w:val="18"/>
          <w:szCs w:val="18"/>
          <w:u w:val="single" w:color="auto"/>
          <w:color w:val="auto"/>
        </w:rPr>
        <w:t>Amendment of Bylaws</w:t>
      </w:r>
      <w:r>
        <w:rPr>
          <w:rFonts w:ascii="Arial" w:cs="Arial" w:eastAsia="Arial" w:hAnsi="Arial"/>
          <w:sz w:val="18"/>
          <w:szCs w:val="18"/>
          <w:color w:val="auto"/>
        </w:rPr>
        <w:t>.</w:t>
      </w:r>
    </w:p>
    <w:p>
      <w:pPr>
        <w:spacing w:after="0" w:line="216" w:lineRule="exact"/>
        <w:rPr>
          <w:sz w:val="20"/>
          <w:szCs w:val="20"/>
          <w:color w:val="auto"/>
        </w:rPr>
      </w:pPr>
    </w:p>
    <w:p>
      <w:pPr>
        <w:ind w:right="20" w:firstLine="1305"/>
        <w:spacing w:after="0" w:line="260" w:lineRule="auto"/>
        <w:tabs>
          <w:tab w:leader="none" w:pos="1791"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Board of Directors</w:t>
      </w:r>
      <w:r>
        <w:rPr>
          <w:rFonts w:ascii="Arial" w:cs="Arial" w:eastAsia="Arial" w:hAnsi="Arial"/>
          <w:sz w:val="20"/>
          <w:szCs w:val="20"/>
          <w:color w:val="auto"/>
        </w:rPr>
        <w:t>. In furtherance and not in limitation of the powers conferred by statute, the Board of Directors is expressly authorized to amend or repeal these Bylaws or to adopt new bylaws.</w:t>
      </w:r>
    </w:p>
    <w:p>
      <w:pPr>
        <w:spacing w:after="0" w:line="176" w:lineRule="exact"/>
        <w:rPr>
          <w:rFonts w:ascii="Arial" w:cs="Arial" w:eastAsia="Arial" w:hAnsi="Arial"/>
          <w:sz w:val="20"/>
          <w:szCs w:val="20"/>
          <w:color w:val="auto"/>
        </w:rPr>
      </w:pPr>
    </w:p>
    <w:p>
      <w:pPr>
        <w:jc w:val="both"/>
        <w:ind w:firstLine="1305"/>
        <w:spacing w:after="0" w:line="250" w:lineRule="auto"/>
        <w:tabs>
          <w:tab w:leader="none" w:pos="1829"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Stockholders</w:t>
      </w:r>
      <w:r>
        <w:rPr>
          <w:rFonts w:ascii="Arial" w:cs="Arial" w:eastAsia="Arial" w:hAnsi="Arial"/>
          <w:sz w:val="20"/>
          <w:szCs w:val="20"/>
          <w:color w:val="auto"/>
        </w:rPr>
        <w:t>. Notwithstanding Section 10.1(a), these Bylaws may be amended or repealed in any respect, and new bylaws may be adopted, in each case by the affirmative vote of the holders of at least sixty-six and two-thirds percent (66-2/3%) of the outstanding voting power of the Corporation, voting together as a single class.</w:t>
      </w:r>
    </w:p>
    <w:p>
      <w:pPr>
        <w:spacing w:after="0" w:line="186"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ARTICLE XI</w:t>
      </w:r>
    </w:p>
    <w:p>
      <w:pPr>
        <w:spacing w:after="0" w:line="16" w:lineRule="exact"/>
        <w:rPr>
          <w:sz w:val="20"/>
          <w:szCs w:val="20"/>
          <w:color w:val="auto"/>
        </w:rPr>
      </w:pPr>
    </w:p>
    <w:p>
      <w:pPr>
        <w:ind w:left="3760"/>
        <w:spacing w:after="0"/>
        <w:rPr>
          <w:sz w:val="20"/>
          <w:szCs w:val="20"/>
          <w:color w:val="auto"/>
        </w:rPr>
      </w:pPr>
      <w:r>
        <w:rPr>
          <w:rFonts w:ascii="Arial" w:cs="Arial" w:eastAsia="Arial" w:hAnsi="Arial"/>
          <w:sz w:val="20"/>
          <w:szCs w:val="20"/>
          <w:u w:val="single" w:color="auto"/>
          <w:color w:val="auto"/>
        </w:rPr>
        <w:t>FORUM FOR ADJUDICATION OF DISPUTES</w:t>
      </w:r>
    </w:p>
    <w:p>
      <w:pPr>
        <w:spacing w:after="0" w:line="20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To the fullest extent permitted by law, and unless the Corporation consents in writing to the selection of an alternative forum, the Eighth Judicial District Court of Clark County, Nevada, shall be the sole and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420"/>
          </w:cols>
          <w:pgMar w:left="240" w:top="366" w:right="239" w:bottom="1440" w:gutter="0" w:footer="0" w:header="0"/>
        </w:sectPr>
      </w:pPr>
    </w:p>
    <w:bookmarkStart w:id="73" w:name="page74"/>
    <w:bookmarkEnd w:id="73"/>
    <w:p>
      <w:pPr>
        <w:jc w:val="both"/>
        <w:spacing w:after="0" w:line="243" w:lineRule="auto"/>
        <w:rPr>
          <w:sz w:val="20"/>
          <w:szCs w:val="20"/>
          <w:color w:val="auto"/>
        </w:rPr>
      </w:pPr>
      <w:r>
        <w:rPr>
          <w:rFonts w:ascii="Arial" w:cs="Arial" w:eastAsia="Arial" w:hAnsi="Arial"/>
          <w:sz w:val="20"/>
          <w:szCs w:val="20"/>
          <w:color w:val="auto"/>
        </w:rPr>
        <w:t>exclusive forum for (a) any derivative action or proceeding brought in the name or right of the Corporation or on its behalf, (b) any action asserting a claim for breach of any fiduciary duty owed by any director, officer, employee or agent of the Corporation to the Corporation or the Corporation’s stockholders, (c) any action arising or asserting a claim arising pursuant to any provision of NRS Chapters 78 or 92A or any provision of the Articles of Incorporation or these Bylaws or (d) any action asserting a claim governed by the internal affairs doctrine, including, without limitation, any action to interpret, apply, enforce or determine the validity of the Articles of Incorporation or these Bylaws. Any person or entity purchasing or otherwise acquiring any interest in shares of capital stock of the corporation shall be deemed to have notice of and consented to the provisions of this Article XI.</w:t>
      </w:r>
    </w:p>
    <w:p>
      <w:pPr>
        <w:spacing w:after="0" w:line="193" w:lineRule="exact"/>
        <w:rPr>
          <w:sz w:val="20"/>
          <w:szCs w:val="20"/>
          <w:color w:val="auto"/>
        </w:rPr>
      </w:pPr>
    </w:p>
    <w:p>
      <w:pPr>
        <w:jc w:val="center"/>
        <w:spacing w:after="0"/>
        <w:tabs>
          <w:tab w:leader="none" w:pos="180" w:val="left"/>
          <w:tab w:leader="none" w:pos="180" w:val="left"/>
          <w:tab w:leader="none" w:pos="160" w:val="left"/>
        </w:tabs>
        <w:rPr>
          <w:sz w:val="20"/>
          <w:szCs w:val="20"/>
          <w:color w:val="auto"/>
        </w:rPr>
      </w:pPr>
      <w:r>
        <w:rPr>
          <w:rFonts w:ascii="Arial" w:cs="Arial" w:eastAsia="Arial" w:hAnsi="Arial"/>
          <w:sz w:val="20"/>
          <w:szCs w:val="20"/>
          <w:color w:val="auto"/>
        </w:rPr>
        <w:t>*</w:t>
        <w:tab/>
        <w:t>*</w:t>
        <w:tab/>
        <w:t>*</w:t>
        <w:tab/>
        <w: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420"/>
          </w:cols>
          <w:pgMar w:left="240" w:top="366" w:right="2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20"/>
          <w:szCs w:val="20"/>
          <w:color w:val="auto"/>
        </w:rPr>
        <w:t>CERTIFICATION</w:t>
      </w:r>
    </w:p>
    <w:p>
      <w:pPr>
        <w:spacing w:after="0" w:line="210" w:lineRule="exact"/>
        <w:rPr>
          <w:sz w:val="20"/>
          <w:szCs w:val="20"/>
          <w:color w:val="auto"/>
        </w:rPr>
      </w:pPr>
    </w:p>
    <w:p>
      <w:pPr>
        <w:ind w:firstLine="648"/>
        <w:spacing w:after="0" w:line="323" w:lineRule="auto"/>
        <w:rPr>
          <w:sz w:val="20"/>
          <w:szCs w:val="20"/>
          <w:color w:val="auto"/>
        </w:rPr>
      </w:pPr>
      <w:r>
        <w:rPr>
          <w:rFonts w:ascii="Arial" w:cs="Arial" w:eastAsia="Arial" w:hAnsi="Arial"/>
          <w:sz w:val="18"/>
          <w:szCs w:val="18"/>
          <w:color w:val="auto"/>
        </w:rPr>
        <w:t>The undersigned, as the duly elected Secretary of Wynn Resorts, Limited, a Nevada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 does hereby certify that the Board of Directors of the Corporation adopted the foregoing Seventh Amended and Restated Bylaws as of May 16, 2014.</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31750</wp:posOffset>
            </wp:positionV>
            <wp:extent cx="34988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Kim Sinatra,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420"/>
          </w:cols>
          <w:pgMar w:left="240" w:top="366"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10.1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THIRD AMENDMENT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EMPLOYMENT AGREEMENT</w:t>
      </w:r>
    </w:p>
    <w:p>
      <w:pPr>
        <w:spacing w:after="0" w:line="21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This THIRD AMENDMENT TO EMPLOYMENT AGREEMENT (this "</w:t>
      </w:r>
      <w:r>
        <w:rPr>
          <w:rFonts w:ascii="Arial" w:cs="Arial" w:eastAsia="Arial" w:hAnsi="Arial"/>
          <w:sz w:val="21"/>
          <w:szCs w:val="21"/>
          <w:b w:val="1"/>
          <w:bCs w:val="1"/>
          <w:color w:val="auto"/>
        </w:rPr>
        <w:t>Amendment</w:t>
      </w:r>
      <w:r>
        <w:rPr>
          <w:rFonts w:ascii="Arial" w:cs="Arial" w:eastAsia="Arial" w:hAnsi="Arial"/>
          <w:sz w:val="21"/>
          <w:szCs w:val="21"/>
          <w:color w:val="auto"/>
        </w:rPr>
        <w:t>") is entered into as of the 5</w:t>
      </w:r>
      <w:r>
        <w:rPr>
          <w:rFonts w:ascii="Arial" w:cs="Arial" w:eastAsia="Arial" w:hAnsi="Arial"/>
          <w:sz w:val="17"/>
          <w:szCs w:val="17"/>
          <w:color w:val="auto"/>
        </w:rPr>
        <w:t>TH</w:t>
      </w:r>
      <w:r>
        <w:rPr>
          <w:rFonts w:ascii="Arial" w:cs="Arial" w:eastAsia="Arial" w:hAnsi="Arial"/>
          <w:sz w:val="21"/>
          <w:szCs w:val="21"/>
          <w:color w:val="auto"/>
        </w:rPr>
        <w:t xml:space="preserve"> day of May, 2014, by and between Wynn Resorts, Limited (“</w:t>
      </w:r>
      <w:r>
        <w:rPr>
          <w:rFonts w:ascii="Arial" w:cs="Arial" w:eastAsia="Arial" w:hAnsi="Arial"/>
          <w:sz w:val="21"/>
          <w:szCs w:val="21"/>
          <w:b w:val="1"/>
          <w:bCs w:val="1"/>
          <w:color w:val="auto"/>
        </w:rPr>
        <w:t>Employer</w:t>
      </w:r>
      <w:r>
        <w:rPr>
          <w:rFonts w:ascii="Arial" w:cs="Arial" w:eastAsia="Arial" w:hAnsi="Arial"/>
          <w:sz w:val="21"/>
          <w:szCs w:val="21"/>
          <w:color w:val="auto"/>
        </w:rPr>
        <w:t>”) and Kim Sinatra ("</w:t>
      </w:r>
      <w:r>
        <w:rPr>
          <w:rFonts w:ascii="Arial" w:cs="Arial" w:eastAsia="Arial" w:hAnsi="Arial"/>
          <w:sz w:val="21"/>
          <w:szCs w:val="21"/>
          <w:b w:val="1"/>
          <w:bCs w:val="1"/>
          <w:color w:val="auto"/>
        </w:rPr>
        <w:t>Employee</w:t>
      </w:r>
      <w:r>
        <w:rPr>
          <w:rFonts w:ascii="Arial" w:cs="Arial" w:eastAsia="Arial" w:hAnsi="Arial"/>
          <w:sz w:val="21"/>
          <w:szCs w:val="21"/>
          <w:color w:val="auto"/>
        </w:rPr>
        <w:t>"). Capitalized terms that are not defined herein shall have the meanings ascribed to them in the Agreement (as defined below).</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24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WHEREAS, Employer and Employee have entered into that certain Employment Agreement, dated as of April 24, 2007 as amended by that certain First Amendment to Employment Agreement dated as of December 31, 2008 and that certain Second Amendment dated November 30, 2009 (collectively, the "</w:t>
      </w:r>
      <w:r>
        <w:rPr>
          <w:rFonts w:ascii="Arial" w:cs="Arial" w:eastAsia="Arial" w:hAnsi="Arial"/>
          <w:sz w:val="21"/>
          <w:szCs w:val="21"/>
          <w:b w:val="1"/>
          <w:bCs w:val="1"/>
          <w:color w:val="auto"/>
        </w:rPr>
        <w:t>Agreement</w:t>
      </w:r>
      <w:r>
        <w:rPr>
          <w:rFonts w:ascii="Arial" w:cs="Arial" w:eastAsia="Arial" w:hAnsi="Arial"/>
          <w:sz w:val="21"/>
          <w:szCs w:val="21"/>
          <w:color w:val="auto"/>
        </w:rPr>
        <w:t>"); and</w:t>
      </w:r>
    </w:p>
    <w:p>
      <w:pPr>
        <w:spacing w:after="0" w:line="20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WHEREAS, Employer is willing and Employee desires to modify certain terms and conditions to the Agreement as more fully set forth herein;</w:t>
      </w:r>
    </w:p>
    <w:p>
      <w:pPr>
        <w:spacing w:after="0" w:line="201" w:lineRule="exact"/>
        <w:rPr>
          <w:sz w:val="20"/>
          <w:szCs w:val="20"/>
          <w:color w:val="auto"/>
        </w:rPr>
      </w:pPr>
    </w:p>
    <w:p>
      <w:pPr>
        <w:jc w:val="both"/>
        <w:ind w:right="20" w:firstLine="648"/>
        <w:spacing w:after="0" w:line="249" w:lineRule="auto"/>
        <w:rPr>
          <w:sz w:val="20"/>
          <w:szCs w:val="20"/>
          <w:color w:val="auto"/>
        </w:rPr>
      </w:pPr>
      <w:r>
        <w:rPr>
          <w:rFonts w:ascii="Arial" w:cs="Arial" w:eastAsia="Arial" w:hAnsi="Arial"/>
          <w:sz w:val="21"/>
          <w:szCs w:val="21"/>
          <w:color w:val="auto"/>
        </w:rPr>
        <w:t>NOW, THEREFORE, in consideration of the foregoing and the respective representations, warranties, covenants and agreements set forth in this Amendment, the parties hereto agree as follows:</w:t>
      </w:r>
    </w:p>
    <w:p>
      <w:pPr>
        <w:spacing w:after="0" w:line="175" w:lineRule="exact"/>
        <w:rPr>
          <w:sz w:val="20"/>
          <w:szCs w:val="20"/>
          <w:color w:val="auto"/>
        </w:rPr>
      </w:pPr>
    </w:p>
    <w:p>
      <w:pPr>
        <w:ind w:left="420" w:hanging="412"/>
        <w:spacing w:after="0"/>
        <w:tabs>
          <w:tab w:leader="none" w:pos="420" w:val="left"/>
        </w:tabs>
        <w:numPr>
          <w:ilvl w:val="0"/>
          <w:numId w:val="4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Amendments.</w:t>
      </w:r>
    </w:p>
    <w:p>
      <w:pPr>
        <w:spacing w:after="0" w:line="243" w:lineRule="exact"/>
        <w:rPr>
          <w:rFonts w:ascii="Arial" w:cs="Arial" w:eastAsia="Arial" w:hAnsi="Arial"/>
          <w:sz w:val="21"/>
          <w:szCs w:val="21"/>
          <w:b w:val="1"/>
          <w:bCs w:val="1"/>
          <w:color w:val="auto"/>
        </w:rPr>
      </w:pPr>
    </w:p>
    <w:p>
      <w:pPr>
        <w:ind w:left="660"/>
        <w:spacing w:after="0"/>
        <w:rPr>
          <w:rFonts w:ascii="Arial" w:cs="Arial" w:eastAsia="Arial" w:hAnsi="Arial"/>
          <w:sz w:val="21"/>
          <w:szCs w:val="21"/>
          <w:b w:val="1"/>
          <w:bCs w:val="1"/>
          <w:color w:val="auto"/>
        </w:rPr>
      </w:pPr>
      <w:r>
        <w:rPr>
          <w:rFonts w:ascii="Arial" w:cs="Arial" w:eastAsia="Arial" w:hAnsi="Arial"/>
          <w:sz w:val="21"/>
          <w:szCs w:val="21"/>
          <w:color w:val="auto"/>
        </w:rPr>
        <w:t>a.   Employer and Employee agree to amend Section 1 of the Agreement by adding a new Section 1(k) as set forth</w:t>
      </w:r>
    </w:p>
    <w:p>
      <w:pPr>
        <w:spacing w:after="0" w:line="1"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1"/>
          <w:szCs w:val="21"/>
          <w:color w:val="auto"/>
        </w:rPr>
        <w:t>below:</w:t>
      </w:r>
    </w:p>
    <w:p>
      <w:pPr>
        <w:spacing w:after="0" w:line="192" w:lineRule="exact"/>
        <w:rPr>
          <w:sz w:val="20"/>
          <w:szCs w:val="20"/>
          <w:color w:val="auto"/>
        </w:rPr>
      </w:pPr>
    </w:p>
    <w:p>
      <w:pPr>
        <w:jc w:val="both"/>
        <w:ind w:left="660"/>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(k) “</w:t>
      </w:r>
      <w:r>
        <w:rPr>
          <w:rFonts w:ascii="Arial" w:cs="Arial" w:eastAsia="Arial" w:hAnsi="Arial"/>
          <w:sz w:val="21"/>
          <w:szCs w:val="21"/>
          <w:b w:val="1"/>
          <w:bCs w:val="1"/>
          <w:u w:val="single" w:color="auto"/>
          <w:color w:val="auto"/>
        </w:rPr>
        <w:t>Confidential Information</w:t>
      </w:r>
      <w:r>
        <w:rPr>
          <w:rFonts w:ascii="Arial" w:cs="Arial" w:eastAsia="Arial" w:hAnsi="Arial"/>
          <w:sz w:val="21"/>
          <w:szCs w:val="21"/>
          <w:color w:val="auto"/>
        </w:rPr>
        <w:t>” - means any information that is possessed or developed by or for Employer or its Affiliate and which relates to the Employer’s or Affiliate’s existing or potential business or technology, which is not generally known to the public or to persons engaged in business similar to that conducted or contemplated by Employer or Affiliate, or which Employer or Affiliate seeks to protect from disclosure to its existing or potential competitors or others, and includes without limitation know how, business and technical plans, strategies, existing and proposed bids, costs, technical developments, purchasing history, existing and proposed research projects, copyrights, inventions, patents, intellectual property, data, process, process parameters, methods, practices, products, product design information, research and development data, financial records, operational manuals, pricing and price lists, computer programs and information stored or developed for use in or with computers, customer information, customer lists, supplier lists, marketing plans, financial information, financial or business projections, and all other compilations of information which relate to the business of Employer or Affiliate, and any other proprietary material of Employer or Affiliate, which have not been released to the general public. Confidential Information also includes information received by Employer or any of its Affiliates from others that the Employer or Affiliate has an obligation to treat as confidential. No materials or information shall be considered Confidential Information if Employee can prove that the materials or information are: (1)</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1" w:right="239" w:bottom="1440" w:gutter="0" w:footer="0" w:header="0"/>
        </w:sectPr>
      </w:pPr>
    </w:p>
    <w:bookmarkStart w:id="76" w:name="page77"/>
    <w:bookmarkEnd w:id="76"/>
    <w:p>
      <w:pPr>
        <w:jc w:val="both"/>
        <w:ind w:left="4"/>
        <w:spacing w:after="0" w:line="242" w:lineRule="auto"/>
        <w:rPr>
          <w:sz w:val="20"/>
          <w:szCs w:val="20"/>
          <w:color w:val="auto"/>
        </w:rPr>
      </w:pPr>
      <w:r>
        <w:rPr>
          <w:rFonts w:ascii="Arial" w:cs="Arial" w:eastAsia="Arial" w:hAnsi="Arial"/>
          <w:sz w:val="21"/>
          <w:szCs w:val="21"/>
          <w:color w:val="auto"/>
        </w:rPr>
        <w:t>already known to Employee at the time that they are disclosed; or (2) publicly known at the time of the disclosure to Employee. Additionally, the confidential obligations herein will cease as to particular information that: (1) has become publicly known through no fault of Employee; (2) is received by Employee properly and lawfully from a third party without restriction on disclosure and without knowledge or reasonable suspicion that the third party’s disclosure is in breach of any obligations to Employer or its Affiliate; (3) has been developed by Employee completely independent of the delivery of Confidential Information hereunder; or (4) has been approved for public release by written authorization of Employer or its Affiliate.”</w:t>
      </w:r>
    </w:p>
    <w:p>
      <w:pPr>
        <w:spacing w:after="0" w:line="213" w:lineRule="exact"/>
        <w:rPr>
          <w:sz w:val="20"/>
          <w:szCs w:val="20"/>
          <w:color w:val="auto"/>
        </w:rPr>
      </w:pPr>
    </w:p>
    <w:p>
      <w:pPr>
        <w:ind w:left="404" w:hanging="404"/>
        <w:spacing w:after="0"/>
        <w:tabs>
          <w:tab w:leader="none" w:pos="404" w:val="left"/>
        </w:tabs>
        <w:numPr>
          <w:ilvl w:val="0"/>
          <w:numId w:val="47"/>
        </w:numPr>
        <w:rPr>
          <w:rFonts w:ascii="Arial" w:cs="Arial" w:eastAsia="Arial" w:hAnsi="Arial"/>
          <w:sz w:val="21"/>
          <w:szCs w:val="21"/>
          <w:color w:val="auto"/>
        </w:rPr>
      </w:pPr>
      <w:r>
        <w:rPr>
          <w:rFonts w:ascii="Arial" w:cs="Arial" w:eastAsia="Arial" w:hAnsi="Arial"/>
          <w:sz w:val="21"/>
          <w:szCs w:val="21"/>
          <w:color w:val="auto"/>
        </w:rPr>
        <w:t>Employer and Employee agree to amend Section 4 of the Agreement in its entirety to read as follows:</w:t>
      </w:r>
    </w:p>
    <w:p>
      <w:pPr>
        <w:spacing w:after="0" w:line="192" w:lineRule="exact"/>
        <w:rPr>
          <w:sz w:val="20"/>
          <w:szCs w:val="20"/>
          <w:color w:val="auto"/>
        </w:rPr>
      </w:pPr>
    </w:p>
    <w:p>
      <w:pPr>
        <w:jc w:val="both"/>
        <w:ind w:left="4"/>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4. DUTIES OF EMPLOYEE</w:t>
      </w:r>
      <w:r>
        <w:rPr>
          <w:rFonts w:ascii="Arial" w:cs="Arial" w:eastAsia="Arial" w:hAnsi="Arial"/>
          <w:sz w:val="21"/>
          <w:szCs w:val="21"/>
          <w:color w:val="auto"/>
        </w:rPr>
        <w:t>. Employee shall perform such duties assigned to Employee by Employer as are generally associated with the duties of Executive Vice President and General Counsel for Employer or such similar duties as may be assigned to Employee by Employer as Employer may determine. Employee’s duties shall include, but not be limited to: (i) the supervision of legal and compliance efforts of Employer; (ii) the selection and delegation of duties and responsibilities of subordinates; (iii) the direction, review and oversight of all programs under Employee’s supervision; and (iv) such other and related duties as specifically assigned by Employer to Employee from time to time. The foregoing notwithstanding, Employee shall devote such time to Employer or its Affiliates as may be required by Employer, provided such duties are not inconsistent with Employee’s primary duties to Employer hereunder.”</w:t>
      </w:r>
    </w:p>
    <w:p>
      <w:pPr>
        <w:spacing w:after="0" w:line="211" w:lineRule="exact"/>
        <w:rPr>
          <w:sz w:val="20"/>
          <w:szCs w:val="20"/>
          <w:color w:val="auto"/>
        </w:rPr>
      </w:pPr>
    </w:p>
    <w:p>
      <w:pPr>
        <w:ind w:left="384" w:hanging="384"/>
        <w:spacing w:after="0"/>
        <w:tabs>
          <w:tab w:leader="none" w:pos="384" w:val="left"/>
        </w:tabs>
        <w:numPr>
          <w:ilvl w:val="0"/>
          <w:numId w:val="48"/>
        </w:numPr>
        <w:rPr>
          <w:rFonts w:ascii="Arial" w:cs="Arial" w:eastAsia="Arial" w:hAnsi="Arial"/>
          <w:sz w:val="21"/>
          <w:szCs w:val="21"/>
          <w:color w:val="auto"/>
        </w:rPr>
      </w:pPr>
      <w:r>
        <w:rPr>
          <w:rFonts w:ascii="Arial" w:cs="Arial" w:eastAsia="Arial" w:hAnsi="Arial"/>
          <w:sz w:val="21"/>
          <w:szCs w:val="21"/>
          <w:color w:val="auto"/>
        </w:rPr>
        <w:t>Employer and Employee agree to amend Section 6 of the Agreement in its entirety to read as follows:</w:t>
      </w:r>
    </w:p>
    <w:p>
      <w:pPr>
        <w:spacing w:after="0" w:line="192" w:lineRule="exact"/>
        <w:rPr>
          <w:sz w:val="20"/>
          <w:szCs w:val="20"/>
          <w:color w:val="auto"/>
        </w:rPr>
      </w:pPr>
    </w:p>
    <w:p>
      <w:pPr>
        <w:jc w:val="both"/>
        <w:ind w:left="4"/>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6</w:t>
      </w:r>
      <w:r>
        <w:rPr>
          <w:rFonts w:ascii="Arial" w:cs="Arial" w:eastAsia="Arial" w:hAnsi="Arial"/>
          <w:sz w:val="21"/>
          <w:szCs w:val="21"/>
          <w:b w:val="1"/>
          <w:bCs w:val="1"/>
          <w:i w:val="1"/>
          <w:iCs w:val="1"/>
          <w:color w:val="auto"/>
        </w:rPr>
        <w:t>.</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TERM</w:t>
      </w:r>
      <w:r>
        <w:rPr>
          <w:rFonts w:ascii="Arial" w:cs="Arial" w:eastAsia="Arial" w:hAnsi="Arial"/>
          <w:sz w:val="21"/>
          <w:szCs w:val="21"/>
          <w:color w:val="auto"/>
        </w:rPr>
        <w:t>. Unless sooner terminated as provided in this Agreement, the term of this Agreement (the “</w:t>
      </w:r>
      <w:r>
        <w:rPr>
          <w:rFonts w:ascii="Arial" w:cs="Arial" w:eastAsia="Arial" w:hAnsi="Arial"/>
          <w:sz w:val="21"/>
          <w:szCs w:val="21"/>
          <w:b w:val="1"/>
          <w:bCs w:val="1"/>
          <w:color w:val="auto"/>
        </w:rPr>
        <w:t>Term</w:t>
      </w:r>
      <w:r>
        <w:rPr>
          <w:rFonts w:ascii="Arial" w:cs="Arial" w:eastAsia="Arial" w:hAnsi="Arial"/>
          <w:sz w:val="21"/>
          <w:szCs w:val="21"/>
          <w:color w:val="auto"/>
        </w:rPr>
        <w:t>”) shall commence on the Effective Date of this Agreement and terminating on February 17, 2017 at which time the terms of this Agreement shall expire and shall not apply to any continued employment of Employee by Employer, except for those obligations under Paragraphs 10 and 11. Following the Term, unless the parties enter into a new written contract of employment, (a) any continued employment of Employee shall be at-will, (b) any or all of the other terms and conditions of Employee’s employment may be changed by Employer at its discretion, with or without notice, and (c) the employment relationship may be terminated at any time by either party, with or without cause or notice.”</w:t>
      </w:r>
    </w:p>
    <w:p>
      <w:pPr>
        <w:spacing w:after="0" w:line="204" w:lineRule="exact"/>
        <w:rPr>
          <w:sz w:val="20"/>
          <w:szCs w:val="20"/>
          <w:color w:val="auto"/>
        </w:rPr>
      </w:pPr>
    </w:p>
    <w:p>
      <w:pPr>
        <w:ind w:left="404" w:hanging="404"/>
        <w:spacing w:after="0"/>
        <w:tabs>
          <w:tab w:leader="none" w:pos="404" w:val="left"/>
        </w:tabs>
        <w:numPr>
          <w:ilvl w:val="0"/>
          <w:numId w:val="49"/>
        </w:numPr>
        <w:rPr>
          <w:rFonts w:ascii="Arial" w:cs="Arial" w:eastAsia="Arial" w:hAnsi="Arial"/>
          <w:sz w:val="21"/>
          <w:szCs w:val="21"/>
          <w:color w:val="auto"/>
        </w:rPr>
      </w:pPr>
      <w:r>
        <w:rPr>
          <w:rFonts w:ascii="Arial" w:cs="Arial" w:eastAsia="Arial" w:hAnsi="Arial"/>
          <w:sz w:val="21"/>
          <w:szCs w:val="21"/>
          <w:color w:val="auto"/>
        </w:rPr>
        <w:t>Employer and Employee agree to amend Subparagraph 8(a) of the Agreement in its entirety to read as follows:</w:t>
      </w:r>
    </w:p>
    <w:p>
      <w:pPr>
        <w:spacing w:after="0" w:line="192" w:lineRule="exact"/>
        <w:rPr>
          <w:sz w:val="20"/>
          <w:szCs w:val="20"/>
          <w:color w:val="auto"/>
        </w:rPr>
      </w:pPr>
    </w:p>
    <w:p>
      <w:pPr>
        <w:ind w:left="4"/>
        <w:spacing w:after="0" w:line="27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Base Salary</w:t>
      </w:r>
      <w:r>
        <w:rPr>
          <w:rFonts w:ascii="Arial" w:cs="Arial" w:eastAsia="Arial" w:hAnsi="Arial"/>
          <w:sz w:val="21"/>
          <w:szCs w:val="21"/>
          <w:color w:val="auto"/>
        </w:rPr>
        <w:t>. Subject to Section 7(g), Employer hereby covenants and agrees to pay to Employee, and Employee hereby covenants and agrees to</w:t>
      </w:r>
    </w:p>
    <w:p>
      <w:pPr>
        <w:spacing w:after="0" w:line="207"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764"/>
          </w:cols>
          <w:pgMar w:left="896" w:top="384" w:right="239" w:bottom="1440" w:gutter="0" w:footer="0" w:header="0"/>
        </w:sectPr>
      </w:pPr>
    </w:p>
    <w:bookmarkStart w:id="77" w:name="page78"/>
    <w:bookmarkEnd w:id="77"/>
    <w:p>
      <w:pPr>
        <w:jc w:val="both"/>
        <w:ind w:left="660"/>
        <w:spacing w:after="0" w:line="243" w:lineRule="auto"/>
        <w:rPr>
          <w:sz w:val="20"/>
          <w:szCs w:val="20"/>
          <w:color w:val="auto"/>
        </w:rPr>
      </w:pPr>
      <w:r>
        <w:rPr>
          <w:rFonts w:ascii="Arial" w:cs="Arial" w:eastAsia="Arial" w:hAnsi="Arial"/>
          <w:sz w:val="21"/>
          <w:szCs w:val="21"/>
          <w:color w:val="auto"/>
        </w:rPr>
        <w:t>accept from Employer, a base salary at the rate of Eight Hundred-Fifty Thousand Dollars ($850,000.00) per annum, payable in such installments as shall be convenient to Employer (the “</w:t>
      </w:r>
      <w:r>
        <w:rPr>
          <w:rFonts w:ascii="Arial" w:cs="Arial" w:eastAsia="Arial" w:hAnsi="Arial"/>
          <w:sz w:val="21"/>
          <w:szCs w:val="21"/>
          <w:b w:val="1"/>
          <w:bCs w:val="1"/>
          <w:color w:val="auto"/>
        </w:rPr>
        <w:t>Base Salary”</w:t>
      </w:r>
      <w:r>
        <w:rPr>
          <w:rFonts w:ascii="Arial" w:cs="Arial" w:eastAsia="Arial" w:hAnsi="Arial"/>
          <w:sz w:val="21"/>
          <w:szCs w:val="21"/>
          <w:color w:val="auto"/>
        </w:rPr>
        <w:t>). Employee’s Base Salary shall be exclusive of and in addition to any other benefits which Employer, in its sole discretion, may make available to Employee, including, but not limited to, those benefits described in Subsections 8(b) through (e) of this Agreement. Employee’s Base Salary shall be subject to merit review by Employer’s Board of Directors periodically, and may be increased, but not decreased, as a result of such review.”</w:t>
      </w:r>
    </w:p>
    <w:p>
      <w:pPr>
        <w:spacing w:after="0" w:line="235" w:lineRule="exact"/>
        <w:rPr>
          <w:sz w:val="20"/>
          <w:szCs w:val="20"/>
          <w:color w:val="auto"/>
        </w:rPr>
      </w:pPr>
    </w:p>
    <w:p>
      <w:pPr>
        <w:ind w:left="1120" w:hanging="464"/>
        <w:spacing w:after="0"/>
        <w:tabs>
          <w:tab w:leader="none" w:pos="1120" w:val="left"/>
        </w:tabs>
        <w:numPr>
          <w:ilvl w:val="0"/>
          <w:numId w:val="50"/>
        </w:numPr>
        <w:rPr>
          <w:rFonts w:ascii="Arial" w:cs="Arial" w:eastAsia="Arial" w:hAnsi="Arial"/>
          <w:sz w:val="21"/>
          <w:szCs w:val="21"/>
          <w:color w:val="auto"/>
        </w:rPr>
      </w:pPr>
      <w:r>
        <w:rPr>
          <w:rFonts w:ascii="Arial" w:cs="Arial" w:eastAsia="Arial" w:hAnsi="Arial"/>
          <w:sz w:val="21"/>
          <w:szCs w:val="21"/>
          <w:color w:val="auto"/>
        </w:rPr>
        <w:t>Employer and Employee agree to amend Section 8 of the Agreement by adding a new Section 8(g) to read as</w:t>
      </w:r>
    </w:p>
    <w:p>
      <w:pPr>
        <w:spacing w:after="0" w:line="1"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1"/>
          <w:szCs w:val="21"/>
          <w:color w:val="auto"/>
        </w:rPr>
        <w:t>follows:</w:t>
      </w:r>
    </w:p>
    <w:p>
      <w:pPr>
        <w:spacing w:after="0" w:line="219" w:lineRule="exact"/>
        <w:rPr>
          <w:sz w:val="20"/>
          <w:szCs w:val="20"/>
          <w:color w:val="auto"/>
        </w:rPr>
      </w:pPr>
    </w:p>
    <w:p>
      <w:pPr>
        <w:jc w:val="both"/>
        <w:ind w:left="660"/>
        <w:spacing w:after="0" w:line="250" w:lineRule="auto"/>
        <w:rPr>
          <w:sz w:val="20"/>
          <w:szCs w:val="20"/>
          <w:color w:val="auto"/>
        </w:rPr>
      </w:pPr>
      <w:r>
        <w:rPr>
          <w:rFonts w:ascii="Arial" w:cs="Arial" w:eastAsia="Arial" w:hAnsi="Arial"/>
          <w:sz w:val="21"/>
          <w:szCs w:val="21"/>
          <w:b w:val="1"/>
          <w:bCs w:val="1"/>
          <w:color w:val="auto"/>
        </w:rPr>
        <w:t xml:space="preserve">“(g) </w:t>
      </w:r>
      <w:r>
        <w:rPr>
          <w:rFonts w:ascii="Arial" w:cs="Arial" w:eastAsia="Arial" w:hAnsi="Arial"/>
          <w:sz w:val="21"/>
          <w:szCs w:val="21"/>
          <w:b w:val="1"/>
          <w:bCs w:val="1"/>
          <w:u w:val="single" w:color="auto"/>
          <w:color w:val="auto"/>
        </w:rPr>
        <w:t>Equity Grant</w:t>
      </w:r>
      <w:r>
        <w:rPr>
          <w:rFonts w:ascii="Arial" w:cs="Arial" w:eastAsia="Arial" w:hAnsi="Arial"/>
          <w:sz w:val="21"/>
          <w:szCs w:val="21"/>
          <w:u w:val="single" w:color="auto"/>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Effective as of May 5, 2014, Employee shall be granted 7,500 shares of stock of Wynn Resorts,</w:t>
      </w:r>
      <w:r>
        <w:rPr>
          <w:rFonts w:ascii="Arial" w:cs="Arial" w:eastAsia="Arial" w:hAnsi="Arial"/>
          <w:sz w:val="21"/>
          <w:szCs w:val="21"/>
          <w:b w:val="1"/>
          <w:bCs w:val="1"/>
          <w:color w:val="auto"/>
        </w:rPr>
        <w:t xml:space="preserve"> </w:t>
      </w:r>
      <w:r>
        <w:rPr>
          <w:rFonts w:ascii="Arial" w:cs="Arial" w:eastAsia="Arial" w:hAnsi="Arial"/>
          <w:sz w:val="21"/>
          <w:szCs w:val="21"/>
          <w:color w:val="auto"/>
        </w:rPr>
        <w:t>Limited common stock pursuant to the Wynn Resorts, Limited 2002 Stock Incentive Plan. The Employee and Wynn Resorts, Limited will enter into a separate stock agreement for the grant of the 7,500 shares which agreement will provide that such shares shall vest immediately upon the execution of such stock agreement but that Employee will be restricted from transferring the shares of stock for three years after the date of grant.”</w:t>
      </w:r>
    </w:p>
    <w:p>
      <w:pPr>
        <w:spacing w:after="0" w:line="200" w:lineRule="exact"/>
        <w:rPr>
          <w:sz w:val="20"/>
          <w:szCs w:val="20"/>
          <w:color w:val="auto"/>
        </w:rPr>
      </w:pPr>
    </w:p>
    <w:p>
      <w:pPr>
        <w:ind w:left="1000" w:hanging="344"/>
        <w:spacing w:after="0"/>
        <w:tabs>
          <w:tab w:leader="none" w:pos="1000" w:val="left"/>
        </w:tabs>
        <w:numPr>
          <w:ilvl w:val="0"/>
          <w:numId w:val="51"/>
        </w:numPr>
        <w:rPr>
          <w:rFonts w:ascii="Arial" w:cs="Arial" w:eastAsia="Arial" w:hAnsi="Arial"/>
          <w:sz w:val="21"/>
          <w:szCs w:val="21"/>
          <w:color w:val="auto"/>
        </w:rPr>
      </w:pPr>
      <w:r>
        <w:rPr>
          <w:rFonts w:ascii="Arial" w:cs="Arial" w:eastAsia="Arial" w:hAnsi="Arial"/>
          <w:sz w:val="21"/>
          <w:szCs w:val="21"/>
          <w:color w:val="auto"/>
        </w:rPr>
        <w:t>Employer and Employee agree to amend the Agreement by adding a new Section 24 as set forth below:</w:t>
      </w:r>
    </w:p>
    <w:p>
      <w:pPr>
        <w:spacing w:after="0" w:line="192" w:lineRule="exact"/>
        <w:rPr>
          <w:sz w:val="20"/>
          <w:szCs w:val="20"/>
          <w:color w:val="auto"/>
        </w:rPr>
      </w:pPr>
    </w:p>
    <w:p>
      <w:pPr>
        <w:jc w:val="both"/>
        <w:ind w:left="660"/>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24.</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FCPA COMPLIANCE</w:t>
      </w:r>
      <w:r>
        <w:rPr>
          <w:rFonts w:ascii="Arial" w:cs="Arial" w:eastAsia="Arial" w:hAnsi="Arial"/>
          <w:sz w:val="21"/>
          <w:szCs w:val="21"/>
          <w:color w:val="auto"/>
        </w:rPr>
        <w:t>. Employer advises Employee that the United States Foreign Corrupt Practices Act (“FCPA”) prohibits offering, providing, or promising anything of value (including money, preferential treatment, and any other sort of advantage), either directly or indirectly, by a United States company, or any of its employees, subsidiaries, affiliates, or agents, to an official of a foreign government, a foreign political party, party official, or candidate for foreign political office (or any family members of any of these real persons), for the purposes of influencing an act or decision in that individual’s official capacity, or inducing the official to use his or her influence with the foreign government to assist the United States company, its subsidiaries or affiliates, or anyone else, in obtaining or retaining business. Employee understands that Employee may not directly or indirectly offer, promise, grant, or authorize the giving of money or anything else of value to a government official to influence official action or obtain an improper advantage. Employee understands that these legal restrictions apply fully to Employee with regard to Employee’s activities in the course of or in relation to Employee’s employment with Employer, regardless of Employee’s physical location. Employee represents and warrants that Employee will act in accordance with all applicable laws regarding anti-corruption, including the FCPA, the U.K. Bribery Act, and all other state, federal, and international laws related to anti-corruption. Employee agrees that he or she will not take any action which would cause Employer to be in violation of the FCPA or any other applicable anti-corruption law, regulation, or Company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84" w:right="239" w:bottom="1440" w:gutter="0" w:footer="0" w:header="0"/>
        </w:sectPr>
      </w:pPr>
    </w:p>
    <w:bookmarkStart w:id="78" w:name="page79"/>
    <w:bookmarkEnd w:id="78"/>
    <w:p>
      <w:pPr>
        <w:jc w:val="both"/>
        <w:ind w:left="660"/>
        <w:spacing w:after="0" w:line="257" w:lineRule="auto"/>
        <w:rPr>
          <w:sz w:val="20"/>
          <w:szCs w:val="20"/>
          <w:color w:val="auto"/>
        </w:rPr>
      </w:pPr>
      <w:r>
        <w:rPr>
          <w:rFonts w:ascii="Arial" w:cs="Arial" w:eastAsia="Arial" w:hAnsi="Arial"/>
          <w:sz w:val="20"/>
          <w:szCs w:val="20"/>
          <w:color w:val="auto"/>
        </w:rPr>
        <w:t>policy or procedure. Employee further represents and warrants that Employee will know and understand, and act in accordance with, all Company policies and procedures related to anti -corruption and business conduct. Employee agrees to attend mandatory compliance training. Employee undertakes to duly notify Employer if Employee becomes aware of any such violation of Company policies or procedures, or any other violation of law, committed by Employee or any other person or entity, and to indemnify Employer for any losses, damages, fines, and/or penalties which Employer may suffer or incur arising out of or incidental to any such violation committed by Employee.</w:t>
      </w:r>
    </w:p>
    <w:p>
      <w:pPr>
        <w:spacing w:after="0" w:line="197" w:lineRule="exact"/>
        <w:rPr>
          <w:sz w:val="20"/>
          <w:szCs w:val="20"/>
          <w:color w:val="auto"/>
        </w:rPr>
      </w:pPr>
    </w:p>
    <w:p>
      <w:pPr>
        <w:jc w:val="both"/>
        <w:ind w:left="660"/>
        <w:spacing w:after="0" w:line="245" w:lineRule="auto"/>
        <w:rPr>
          <w:sz w:val="20"/>
          <w:szCs w:val="20"/>
          <w:color w:val="auto"/>
        </w:rPr>
      </w:pPr>
      <w:r>
        <w:rPr>
          <w:rFonts w:ascii="Arial" w:cs="Arial" w:eastAsia="Arial" w:hAnsi="Arial"/>
          <w:sz w:val="21"/>
          <w:szCs w:val="21"/>
          <w:color w:val="auto"/>
        </w:rPr>
        <w:t>Employee also represents and warrants that Employee will disclose to the Employer if Employee or any member of Employee’s family is an official of a foreign government or foreign political party, or is a candidate for foreign political office.”</w:t>
      </w:r>
    </w:p>
    <w:p>
      <w:pPr>
        <w:spacing w:after="0" w:line="180" w:lineRule="exact"/>
        <w:rPr>
          <w:sz w:val="20"/>
          <w:szCs w:val="20"/>
          <w:color w:val="auto"/>
        </w:rPr>
      </w:pPr>
    </w:p>
    <w:p>
      <w:pPr>
        <w:ind w:left="1060" w:hanging="404"/>
        <w:spacing w:after="0"/>
        <w:tabs>
          <w:tab w:leader="none" w:pos="1060" w:val="left"/>
        </w:tabs>
        <w:numPr>
          <w:ilvl w:val="0"/>
          <w:numId w:val="52"/>
        </w:numPr>
        <w:rPr>
          <w:rFonts w:ascii="Arial" w:cs="Arial" w:eastAsia="Arial" w:hAnsi="Arial"/>
          <w:sz w:val="21"/>
          <w:szCs w:val="21"/>
          <w:color w:val="auto"/>
        </w:rPr>
      </w:pPr>
      <w:r>
        <w:rPr>
          <w:rFonts w:ascii="Arial" w:cs="Arial" w:eastAsia="Arial" w:hAnsi="Arial"/>
          <w:sz w:val="21"/>
          <w:szCs w:val="21"/>
          <w:b w:val="1"/>
          <w:bCs w:val="1"/>
          <w:u w:val="single" w:color="auto"/>
          <w:color w:val="auto"/>
        </w:rPr>
        <w:t>Effective Date of Amendments.</w:t>
      </w:r>
      <w:r>
        <w:rPr>
          <w:rFonts w:ascii="Arial" w:cs="Arial" w:eastAsia="Arial" w:hAnsi="Arial"/>
          <w:sz w:val="21"/>
          <w:szCs w:val="21"/>
          <w:b w:val="1"/>
          <w:bCs w:val="1"/>
          <w:color w:val="auto"/>
        </w:rPr>
        <w:t xml:space="preserve"> </w:t>
      </w:r>
      <w:r>
        <w:rPr>
          <w:rFonts w:ascii="Arial" w:cs="Arial" w:eastAsia="Arial" w:hAnsi="Arial"/>
          <w:sz w:val="21"/>
          <w:szCs w:val="21"/>
          <w:color w:val="auto"/>
        </w:rPr>
        <w:t>The amendments set forth herein shall be effective as of February 27, 2014.</w:t>
      </w:r>
    </w:p>
    <w:p>
      <w:pPr>
        <w:spacing w:after="0" w:line="217" w:lineRule="exact"/>
        <w:rPr>
          <w:rFonts w:ascii="Arial" w:cs="Arial" w:eastAsia="Arial" w:hAnsi="Arial"/>
          <w:sz w:val="21"/>
          <w:szCs w:val="21"/>
          <w:color w:val="auto"/>
        </w:rPr>
      </w:pPr>
    </w:p>
    <w:p>
      <w:pPr>
        <w:ind w:right="20" w:firstLine="656"/>
        <w:spacing w:after="0" w:line="275" w:lineRule="auto"/>
        <w:tabs>
          <w:tab w:leader="none" w:pos="1064" w:val="left"/>
        </w:tabs>
        <w:numPr>
          <w:ilvl w:val="0"/>
          <w:numId w:val="52"/>
        </w:numPr>
        <w:rPr>
          <w:rFonts w:ascii="Arial" w:cs="Arial" w:eastAsia="Arial" w:hAnsi="Arial"/>
          <w:sz w:val="21"/>
          <w:szCs w:val="21"/>
          <w:color w:val="auto"/>
        </w:rPr>
      </w:pPr>
      <w:r>
        <w:rPr>
          <w:rFonts w:ascii="Arial" w:cs="Arial" w:eastAsia="Arial" w:hAnsi="Arial"/>
          <w:sz w:val="21"/>
          <w:szCs w:val="21"/>
          <w:b w:val="1"/>
          <w:bCs w:val="1"/>
          <w:u w:val="single" w:color="auto"/>
          <w:color w:val="auto"/>
        </w:rPr>
        <w:t>Other Provisions of Agreement</w:t>
      </w:r>
      <w:r>
        <w:rPr>
          <w:rFonts w:ascii="Arial" w:cs="Arial" w:eastAsia="Arial" w:hAnsi="Arial"/>
          <w:sz w:val="21"/>
          <w:szCs w:val="21"/>
          <w:u w:val="single" w:color="auto"/>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parties acknowledge that the Agreement is being modified only as stated</w:t>
      </w:r>
      <w:r>
        <w:rPr>
          <w:rFonts w:ascii="Arial" w:cs="Arial" w:eastAsia="Arial" w:hAnsi="Arial"/>
          <w:sz w:val="21"/>
          <w:szCs w:val="21"/>
          <w:b w:val="1"/>
          <w:bCs w:val="1"/>
          <w:color w:val="auto"/>
        </w:rPr>
        <w:t xml:space="preserve"> </w:t>
      </w:r>
      <w:r>
        <w:rPr>
          <w:rFonts w:ascii="Arial" w:cs="Arial" w:eastAsia="Arial" w:hAnsi="Arial"/>
          <w:sz w:val="21"/>
          <w:szCs w:val="21"/>
          <w:color w:val="auto"/>
        </w:rPr>
        <w:t>herein, and agree that nothing else in the Agreement shall be affected by this Amendment.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the parties hereto have caused this Amendment to be executed as of the date first written</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6040" w:type="dxa"/>
            <w:vAlign w:val="bottom"/>
            <w:gridSpan w:val="4"/>
          </w:tcPr>
          <w:p>
            <w:pPr>
              <w:spacing w:after="0"/>
              <w:rPr>
                <w:sz w:val="20"/>
                <w:szCs w:val="20"/>
                <w:color w:val="auto"/>
              </w:rPr>
            </w:pPr>
            <w:r>
              <w:rPr>
                <w:rFonts w:ascii="Arial" w:cs="Arial" w:eastAsia="Arial" w:hAnsi="Arial"/>
                <w:sz w:val="21"/>
                <w:szCs w:val="21"/>
                <w:b w:val="1"/>
                <w:bCs w:val="1"/>
                <w:color w:val="auto"/>
              </w:rPr>
              <w:t>WYNN RESORTS, LIMITED</w:t>
            </w:r>
          </w:p>
        </w:tc>
        <w:tc>
          <w:tcPr>
            <w:tcW w:w="3200" w:type="dxa"/>
            <w:vAlign w:val="bottom"/>
            <w:gridSpan w:val="2"/>
          </w:tcPr>
          <w:p>
            <w:pPr>
              <w:spacing w:after="0"/>
              <w:rPr>
                <w:sz w:val="20"/>
                <w:szCs w:val="20"/>
                <w:color w:val="auto"/>
              </w:rPr>
            </w:pPr>
            <w:r>
              <w:rPr>
                <w:rFonts w:ascii="Arial" w:cs="Arial" w:eastAsia="Arial" w:hAnsi="Arial"/>
                <w:sz w:val="21"/>
                <w:szCs w:val="21"/>
                <w:b w:val="1"/>
                <w:bCs w:val="1"/>
                <w:color w:val="auto"/>
              </w:rPr>
              <w:t>EMPLOYEE</w:t>
            </w:r>
          </w:p>
        </w:tc>
      </w:tr>
      <w:tr>
        <w:trPr>
          <w:trHeight w:val="789"/>
        </w:trPr>
        <w:tc>
          <w:tcPr>
            <w:tcW w:w="6040" w:type="dxa"/>
            <w:vAlign w:val="bottom"/>
            <w:gridSpan w:val="4"/>
          </w:tcPr>
          <w:p>
            <w:pPr>
              <w:spacing w:after="0"/>
              <w:rPr>
                <w:sz w:val="20"/>
                <w:szCs w:val="20"/>
                <w:color w:val="auto"/>
              </w:rPr>
            </w:pPr>
            <w:r>
              <w:rPr>
                <w:rFonts w:ascii="Arial" w:cs="Arial" w:eastAsia="Arial" w:hAnsi="Arial"/>
                <w:sz w:val="21"/>
                <w:szCs w:val="21"/>
                <w:color w:val="auto"/>
              </w:rPr>
              <w:t>By: /s/ Matt Maddox__________</w:t>
            </w:r>
          </w:p>
        </w:tc>
        <w:tc>
          <w:tcPr>
            <w:tcW w:w="3200" w:type="dxa"/>
            <w:vAlign w:val="bottom"/>
            <w:gridSpan w:val="2"/>
          </w:tcPr>
          <w:p>
            <w:pPr>
              <w:spacing w:after="0"/>
              <w:rPr>
                <w:sz w:val="20"/>
                <w:szCs w:val="20"/>
                <w:color w:val="auto"/>
              </w:rPr>
            </w:pPr>
            <w:r>
              <w:rPr>
                <w:rFonts w:ascii="Arial" w:cs="Arial" w:eastAsia="Arial" w:hAnsi="Arial"/>
                <w:sz w:val="21"/>
                <w:szCs w:val="21"/>
                <w:color w:val="auto"/>
                <w:w w:val="98"/>
              </w:rPr>
              <w:t>_/s/ Kim Sinatra_______________</w:t>
            </w:r>
          </w:p>
        </w:tc>
      </w:tr>
      <w:tr>
        <w:trPr>
          <w:trHeight w:val="20"/>
        </w:trPr>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3060" w:type="dxa"/>
            <w:vAlign w:val="bottom"/>
            <w:tcBorders>
              <w:left w:val="single" w:sz="8" w:color="auto"/>
            </w:tcBorders>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601"/>
        </w:trPr>
        <w:tc>
          <w:tcPr>
            <w:tcW w:w="6040" w:type="dxa"/>
            <w:vAlign w:val="bottom"/>
            <w:gridSpan w:val="4"/>
          </w:tcPr>
          <w:p>
            <w:pPr>
              <w:spacing w:after="0"/>
              <w:rPr>
                <w:sz w:val="20"/>
                <w:szCs w:val="20"/>
                <w:color w:val="auto"/>
              </w:rPr>
            </w:pPr>
            <w:r>
              <w:rPr>
                <w:rFonts w:ascii="Arial" w:cs="Arial" w:eastAsia="Arial" w:hAnsi="Arial"/>
                <w:sz w:val="21"/>
                <w:szCs w:val="21"/>
                <w:color w:val="auto"/>
              </w:rPr>
              <w:t>Its:  President</w:t>
            </w:r>
          </w:p>
        </w:tc>
        <w:tc>
          <w:tcPr>
            <w:tcW w:w="3200" w:type="dxa"/>
            <w:vAlign w:val="bottom"/>
            <w:gridSpan w:val="2"/>
          </w:tcPr>
          <w:p>
            <w:pPr>
              <w:ind w:left="60"/>
              <w:spacing w:after="0"/>
              <w:rPr>
                <w:sz w:val="20"/>
                <w:szCs w:val="20"/>
                <w:color w:val="auto"/>
              </w:rPr>
            </w:pPr>
            <w:r>
              <w:rPr>
                <w:rFonts w:ascii="Arial" w:cs="Arial" w:eastAsia="Arial" w:hAnsi="Arial"/>
                <w:sz w:val="21"/>
                <w:szCs w:val="21"/>
                <w:color w:val="auto"/>
              </w:rPr>
              <w:t>Kim Sinatra</w:t>
            </w:r>
          </w:p>
        </w:tc>
      </w:tr>
      <w:tr>
        <w:trPr>
          <w:trHeight w:val="20"/>
        </w:trPr>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84"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304" w:lineRule="exact"/>
        <w:rPr>
          <w:sz w:val="20"/>
          <w:szCs w:val="20"/>
          <w:color w:val="auto"/>
        </w:rPr>
      </w:pPr>
    </w:p>
    <w:p>
      <w:pPr>
        <w:ind w:left="4340"/>
        <w:spacing w:after="0"/>
        <w:rPr>
          <w:sz w:val="20"/>
          <w:szCs w:val="20"/>
          <w:color w:val="auto"/>
        </w:rPr>
      </w:pPr>
      <w:r>
        <w:rPr>
          <w:rFonts w:ascii="Arial" w:cs="Arial" w:eastAsia="Arial" w:hAnsi="Arial"/>
          <w:sz w:val="22"/>
          <w:szCs w:val="22"/>
          <w:b w:val="1"/>
          <w:bCs w:val="1"/>
          <w:u w:val="single" w:color="auto"/>
          <w:color w:val="auto"/>
        </w:rPr>
        <w:t>_______________________</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EMPLOYMENT AGREEMENT</w:t>
      </w:r>
    </w:p>
    <w:p>
      <w:pPr>
        <w:spacing w:after="0" w:line="30" w:lineRule="exact"/>
        <w:rPr>
          <w:sz w:val="20"/>
          <w:szCs w:val="20"/>
          <w:color w:val="auto"/>
        </w:rPr>
      </w:pPr>
    </w:p>
    <w:p>
      <w:pPr>
        <w:ind w:left="3980"/>
        <w:spacing w:after="0"/>
        <w:rPr>
          <w:sz w:val="20"/>
          <w:szCs w:val="20"/>
          <w:color w:val="auto"/>
        </w:rPr>
      </w:pPr>
      <w:r>
        <w:rPr>
          <w:rFonts w:ascii="Arial" w:cs="Arial" w:eastAsia="Arial" w:hAnsi="Arial"/>
          <w:sz w:val="22"/>
          <w:szCs w:val="22"/>
          <w:b w:val="1"/>
          <w:bCs w:val="1"/>
          <w:u w:val="single" w:color="auto"/>
          <w:color w:val="auto"/>
        </w:rPr>
        <w:t>_____________________________</w:t>
      </w:r>
    </w:p>
    <w:p>
      <w:pPr>
        <w:spacing w:after="0" w:line="23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b w:val="1"/>
          <w:bCs w:val="1"/>
          <w:color w:val="auto"/>
        </w:rPr>
        <w:t xml:space="preserve">THIS EMPLOYMENT AGREEMENT </w:t>
      </w: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is made and entered into as of the 7th day of November</w:t>
      </w:r>
      <w:r>
        <w:rPr>
          <w:rFonts w:ascii="Arial" w:cs="Arial" w:eastAsia="Arial" w:hAnsi="Arial"/>
          <w:sz w:val="22"/>
          <w:szCs w:val="22"/>
          <w:b w:val="1"/>
          <w:bCs w:val="1"/>
          <w:color w:val="auto"/>
        </w:rPr>
        <w:t xml:space="preserve"> </w:t>
      </w:r>
      <w:r>
        <w:rPr>
          <w:rFonts w:ascii="Arial" w:cs="Arial" w:eastAsia="Arial" w:hAnsi="Arial"/>
          <w:sz w:val="22"/>
          <w:szCs w:val="22"/>
          <w:color w:val="auto"/>
        </w:rPr>
        <w:t>2013 (the “</w:t>
      </w:r>
      <w:r>
        <w:rPr>
          <w:rFonts w:ascii="Arial" w:cs="Arial" w:eastAsia="Arial" w:hAnsi="Arial"/>
          <w:sz w:val="22"/>
          <w:szCs w:val="22"/>
          <w:b w:val="1"/>
          <w:bCs w:val="1"/>
          <w:color w:val="auto"/>
        </w:rPr>
        <w:t>Execution Date</w:t>
      </w:r>
      <w:r>
        <w:rPr>
          <w:rFonts w:ascii="Arial" w:cs="Arial" w:eastAsia="Arial" w:hAnsi="Arial"/>
          <w:sz w:val="22"/>
          <w:szCs w:val="22"/>
          <w:color w:val="auto"/>
        </w:rPr>
        <w:t xml:space="preserve">”), by and between </w:t>
      </w:r>
      <w:r>
        <w:rPr>
          <w:rFonts w:ascii="Arial" w:cs="Arial" w:eastAsia="Arial" w:hAnsi="Arial"/>
          <w:sz w:val="22"/>
          <w:szCs w:val="22"/>
          <w:b w:val="1"/>
          <w:bCs w:val="1"/>
          <w:color w:val="auto"/>
        </w:rPr>
        <w:t>WYNN RESORTS, LIMITED (</w:t>
      </w:r>
      <w:r>
        <w:rPr>
          <w:rFonts w:ascii="Arial" w:cs="Arial" w:eastAsia="Arial" w:hAnsi="Arial"/>
          <w:sz w:val="22"/>
          <w:szCs w:val="22"/>
          <w:color w:val="auto"/>
        </w:rPr>
        <w:t>“</w:t>
      </w:r>
      <w:r>
        <w:rPr>
          <w:rFonts w:ascii="Arial" w:cs="Arial" w:eastAsia="Arial" w:hAnsi="Arial"/>
          <w:sz w:val="22"/>
          <w:szCs w:val="22"/>
          <w:b w:val="1"/>
          <w:bCs w:val="1"/>
          <w:color w:val="auto"/>
        </w:rPr>
        <w:t>Employer</w:t>
      </w:r>
      <w:r>
        <w:rPr>
          <w:rFonts w:ascii="Arial" w:cs="Arial" w:eastAsia="Arial" w:hAnsi="Arial"/>
          <w:sz w:val="22"/>
          <w:szCs w:val="22"/>
          <w:color w:val="auto"/>
        </w:rPr>
        <w:t xml:space="preserve">”) and </w:t>
      </w:r>
      <w:r>
        <w:rPr>
          <w:rFonts w:ascii="Arial" w:cs="Arial" w:eastAsia="Arial" w:hAnsi="Arial"/>
          <w:sz w:val="22"/>
          <w:szCs w:val="22"/>
          <w:b w:val="1"/>
          <w:bCs w:val="1"/>
          <w:color w:val="auto"/>
        </w:rPr>
        <w:t>STEPHEN COOTEY</w:t>
      </w:r>
      <w:r>
        <w:rPr>
          <w:rFonts w:ascii="Arial" w:cs="Arial" w:eastAsia="Arial" w:hAnsi="Arial"/>
          <w:sz w:val="22"/>
          <w:szCs w:val="22"/>
          <w:color w:val="auto"/>
        </w:rPr>
        <w:t xml:space="preserve"> (“</w:t>
      </w:r>
      <w:r>
        <w:rPr>
          <w:rFonts w:ascii="Arial" w:cs="Arial" w:eastAsia="Arial" w:hAnsi="Arial"/>
          <w:sz w:val="22"/>
          <w:szCs w:val="22"/>
          <w:b w:val="1"/>
          <w:bCs w:val="1"/>
          <w:color w:val="auto"/>
        </w:rPr>
        <w:t>Employee</w:t>
      </w:r>
      <w:r>
        <w:rPr>
          <w:rFonts w:ascii="Arial" w:cs="Arial" w:eastAsia="Arial" w:hAnsi="Arial"/>
          <w:sz w:val="22"/>
          <w:szCs w:val="22"/>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u w:val="single" w:color="auto"/>
          <w:color w:val="auto"/>
        </w:rPr>
        <w:t>W I T N E S S E T H</w:t>
      </w:r>
      <w:r>
        <w:rPr>
          <w:rFonts w:ascii="Arial" w:cs="Arial" w:eastAsia="Arial" w:hAnsi="Arial"/>
          <w:sz w:val="22"/>
          <w:szCs w:val="22"/>
          <w:b w:val="1"/>
          <w:bCs w:val="1"/>
          <w:i w:val="1"/>
          <w:iCs w:val="1"/>
          <w:color w:val="auto"/>
        </w:rPr>
        <w:t>:</w:t>
      </w:r>
    </w:p>
    <w:p>
      <w:pPr>
        <w:spacing w:after="0" w:line="260"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Employer is a corporation duly organized and existing under the laws of the State of Nevada,</w:t>
      </w:r>
      <w:r>
        <w:rPr>
          <w:rFonts w:ascii="Arial" w:cs="Arial" w:eastAsia="Arial" w:hAnsi="Arial"/>
          <w:sz w:val="22"/>
          <w:szCs w:val="22"/>
          <w:b w:val="1"/>
          <w:bCs w:val="1"/>
          <w:color w:val="auto"/>
        </w:rPr>
        <w:t xml:space="preserve"> </w:t>
      </w:r>
      <w:r>
        <w:rPr>
          <w:rFonts w:ascii="Arial" w:cs="Arial" w:eastAsia="Arial" w:hAnsi="Arial"/>
          <w:sz w:val="22"/>
          <w:szCs w:val="22"/>
          <w:color w:val="auto"/>
        </w:rPr>
        <w:t>maintains its principal place of business at 3131 Las Vegas Blvd. South, Las Vegas, Nevada 89109, and is engaged in the business of developing, constructing and operating casino resorts; and,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 furtherance of its business, Employer has need of qualified, experienced executives; and,</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Employee is an adult individual currently residing [intentionally omitted]; and,</w:t>
      </w:r>
    </w:p>
    <w:p>
      <w:pPr>
        <w:spacing w:after="0" w:line="2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Employee has advised Employer that i) Employee is currently employed by another organization,</w:t>
      </w:r>
      <w:r>
        <w:rPr>
          <w:rFonts w:ascii="Arial" w:cs="Arial" w:eastAsia="Arial" w:hAnsi="Arial"/>
          <w:sz w:val="22"/>
          <w:szCs w:val="22"/>
          <w:b w:val="1"/>
          <w:bCs w:val="1"/>
          <w:color w:val="auto"/>
        </w:rPr>
        <w:t xml:space="preserve"> </w:t>
      </w:r>
      <w:r>
        <w:rPr>
          <w:rFonts w:ascii="Arial" w:cs="Arial" w:eastAsia="Arial" w:hAnsi="Arial"/>
          <w:sz w:val="22"/>
          <w:szCs w:val="22"/>
          <w:color w:val="auto"/>
        </w:rPr>
        <w:t>and iii) Employee is not aware of any reason why Employee is unable to terminate Employee’s employment with such other organization, enter into this Agreement, and commence Employee’s duties hereunder as of the Effective Date, and</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Employer is willing to employ Employee, and Employee is desirous of accepting employment from</w:t>
      </w:r>
      <w:r>
        <w:rPr>
          <w:rFonts w:ascii="Arial" w:cs="Arial" w:eastAsia="Arial" w:hAnsi="Arial"/>
          <w:sz w:val="22"/>
          <w:szCs w:val="22"/>
          <w:b w:val="1"/>
          <w:bCs w:val="1"/>
          <w:color w:val="auto"/>
        </w:rPr>
        <w:t xml:space="preserve"> </w:t>
      </w:r>
      <w:r>
        <w:rPr>
          <w:rFonts w:ascii="Arial" w:cs="Arial" w:eastAsia="Arial" w:hAnsi="Arial"/>
          <w:sz w:val="22"/>
          <w:szCs w:val="22"/>
          <w:color w:val="auto"/>
        </w:rPr>
        <w:t>Employer under the terms and pursuant to the conditions set forth herein;</w:t>
      </w:r>
    </w:p>
    <w:p>
      <w:pPr>
        <w:spacing w:after="0" w:line="19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b w:val="1"/>
          <w:bCs w:val="1"/>
          <w:i w:val="1"/>
          <w:iCs w:val="1"/>
          <w:color w:val="auto"/>
        </w:rPr>
        <w:t xml:space="preserve">NOW, THEREFORE, </w:t>
      </w:r>
      <w:r>
        <w:rPr>
          <w:rFonts w:ascii="Arial" w:cs="Arial" w:eastAsia="Arial" w:hAnsi="Arial"/>
          <w:sz w:val="22"/>
          <w:szCs w:val="22"/>
          <w:color w:val="auto"/>
        </w:rPr>
        <w:t>for and in consideration of the foregoing recitals, and in consideration of the mutual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covenants, agreements, understandings, undertakings, representations, warranties and promises hereinafter set forth, and intending to be legally bound thereby, Employer and Employee do hereby covenant and agree as follows:</w:t>
      </w:r>
    </w:p>
    <w:p>
      <w:pPr>
        <w:spacing w:after="0" w:line="211" w:lineRule="exact"/>
        <w:rPr>
          <w:sz w:val="20"/>
          <w:szCs w:val="20"/>
          <w:color w:val="auto"/>
        </w:rPr>
      </w:pPr>
    </w:p>
    <w:p>
      <w:pPr>
        <w:ind w:firstLine="656"/>
        <w:spacing w:after="0" w:line="274" w:lineRule="auto"/>
        <w:tabs>
          <w:tab w:leader="none" w:pos="1163" w:val="left"/>
        </w:tabs>
        <w:numPr>
          <w:ilvl w:val="0"/>
          <w:numId w:val="53"/>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DEFINITIONS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As used in this Agreement, the words and terms hereinafter defined have the respective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meanings ascribed to them, unless a different meaning clearly appears from the context:</w:t>
      </w:r>
    </w:p>
    <w:p>
      <w:pPr>
        <w:spacing w:after="0" w:line="192" w:lineRule="exact"/>
        <w:rPr>
          <w:rFonts w:ascii="Arial" w:cs="Arial" w:eastAsia="Arial" w:hAnsi="Arial"/>
          <w:sz w:val="22"/>
          <w:szCs w:val="22"/>
          <w:b w:val="1"/>
          <w:bCs w:val="1"/>
          <w:i w:val="1"/>
          <w:iCs w:val="1"/>
          <w:color w:val="auto"/>
        </w:rPr>
      </w:pPr>
    </w:p>
    <w:p>
      <w:pPr>
        <w:jc w:val="both"/>
        <w:ind w:left="660" w:firstLine="645"/>
        <w:spacing w:after="0" w:line="258" w:lineRule="auto"/>
        <w:tabs>
          <w:tab w:leader="none" w:pos="1853" w:val="left"/>
        </w:tabs>
        <w:numPr>
          <w:ilvl w:val="1"/>
          <w:numId w:val="5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Affiliate</w:t>
      </w:r>
      <w:r>
        <w:rPr>
          <w:rFonts w:ascii="Arial" w:cs="Arial" w:eastAsia="Arial" w:hAnsi="Arial"/>
          <w:sz w:val="22"/>
          <w:szCs w:val="22"/>
          <w:color w:val="auto"/>
        </w:rPr>
        <w:t>” - means with respect to a specified Person, any other Person who or which is (i) directly or indirectly controlling, controlled by or under common control with the specified Person, or (ii) any member, director, officer or manager of the specified Person. For purposes of this definition</w:t>
      </w:r>
    </w:p>
    <w:p>
      <w:pPr>
        <w:sectPr>
          <w:pgSz w:w="11900" w:h="16838" w:orient="portrait"/>
          <w:cols w:equalWidth="0" w:num="1">
            <w:col w:w="11420"/>
          </w:cols>
          <w:pgMar w:left="240" w:top="116" w:right="239" w:bottom="1440" w:gutter="0" w:footer="0" w:header="0"/>
        </w:sectPr>
      </w:pPr>
    </w:p>
    <w:bookmarkStart w:id="80" w:name="page81"/>
    <w:bookmarkEnd w:id="80"/>
    <w:p>
      <w:pPr>
        <w:jc w:val="both"/>
        <w:spacing w:after="0" w:line="244" w:lineRule="auto"/>
        <w:rPr>
          <w:sz w:val="20"/>
          <w:szCs w:val="20"/>
          <w:color w:val="auto"/>
        </w:rPr>
      </w:pPr>
      <w:r>
        <w:rPr>
          <w:rFonts w:ascii="Arial" w:cs="Arial" w:eastAsia="Arial" w:hAnsi="Arial"/>
          <w:sz w:val="22"/>
          <w:szCs w:val="22"/>
          <w:color w:val="auto"/>
        </w:rPr>
        <w:t>only, “control”, “controlling” and “controlled” mean the right to exercise, directly or indirectly, more than fifty percent (50%)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 For purposes hereof, “Person” shall mean an individual, partnership, corporation, limited liability company, business trust, joint stock company, trust, unincorporated association, joint venture or other entity of whatever nature.</w:t>
      </w:r>
    </w:p>
    <w:p>
      <w:pPr>
        <w:spacing w:after="0" w:line="227" w:lineRule="exact"/>
        <w:rPr>
          <w:sz w:val="20"/>
          <w:szCs w:val="20"/>
          <w:color w:val="auto"/>
        </w:rPr>
      </w:pPr>
    </w:p>
    <w:p>
      <w:pPr>
        <w:ind w:firstLine="645"/>
        <w:spacing w:after="0" w:line="274" w:lineRule="auto"/>
        <w:tabs>
          <w:tab w:leader="none" w:pos="1207" w:val="left"/>
        </w:tabs>
        <w:numPr>
          <w:ilvl w:val="0"/>
          <w:numId w:val="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Anniversary</w:t>
      </w:r>
      <w:r>
        <w:rPr>
          <w:rFonts w:ascii="Arial" w:cs="Arial" w:eastAsia="Arial" w:hAnsi="Arial"/>
          <w:sz w:val="22"/>
          <w:szCs w:val="22"/>
          <w:color w:val="auto"/>
        </w:rPr>
        <w:t>” - means each anniversary date of the Effective Date during the Term (as defined in Section 5 hereof).</w:t>
      </w:r>
    </w:p>
    <w:p>
      <w:pPr>
        <w:spacing w:after="0" w:line="192" w:lineRule="exact"/>
        <w:rPr>
          <w:rFonts w:ascii="Arial" w:cs="Arial" w:eastAsia="Arial" w:hAnsi="Arial"/>
          <w:sz w:val="22"/>
          <w:szCs w:val="22"/>
          <w:color w:val="auto"/>
        </w:rPr>
      </w:pPr>
    </w:p>
    <w:p>
      <w:pPr>
        <w:ind w:left="1140" w:hanging="495"/>
        <w:spacing w:after="0"/>
        <w:tabs>
          <w:tab w:leader="none" w:pos="11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Cause</w:t>
      </w:r>
      <w:r>
        <w:rPr>
          <w:rFonts w:ascii="Arial" w:cs="Arial" w:eastAsia="Arial" w:hAnsi="Arial"/>
          <w:sz w:val="22"/>
          <w:szCs w:val="22"/>
          <w:color w:val="auto"/>
        </w:rPr>
        <w:t>” - means</w:t>
      </w:r>
    </w:p>
    <w:p>
      <w:pPr>
        <w:spacing w:after="0" w:line="286" w:lineRule="exact"/>
        <w:rPr>
          <w:rFonts w:ascii="Arial" w:cs="Arial" w:eastAsia="Arial" w:hAnsi="Arial"/>
          <w:sz w:val="22"/>
          <w:szCs w:val="22"/>
          <w:color w:val="auto"/>
        </w:rPr>
      </w:pPr>
    </w:p>
    <w:p>
      <w:pPr>
        <w:ind w:left="640" w:firstLine="653"/>
        <w:spacing w:after="0" w:line="249" w:lineRule="auto"/>
        <w:tabs>
          <w:tab w:leader="none" w:pos="1963" w:val="left"/>
        </w:tabs>
        <w:numPr>
          <w:ilvl w:val="1"/>
          <w:numId w:val="54"/>
        </w:numPr>
        <w:rPr>
          <w:rFonts w:ascii="Arial" w:cs="Arial" w:eastAsia="Arial" w:hAnsi="Arial"/>
          <w:sz w:val="22"/>
          <w:szCs w:val="22"/>
          <w:color w:val="auto"/>
        </w:rPr>
      </w:pPr>
      <w:r>
        <w:rPr>
          <w:rFonts w:ascii="Arial" w:cs="Arial" w:eastAsia="Arial" w:hAnsi="Arial"/>
          <w:sz w:val="22"/>
          <w:szCs w:val="22"/>
          <w:color w:val="auto"/>
        </w:rPr>
        <w:t>Employee’s failure to successfully pass the Employer’s pre-employment drug test and background investigation conducted in accordance with the Employer’s standard policy and procedures;</w:t>
      </w:r>
    </w:p>
    <w:p>
      <w:pPr>
        <w:spacing w:after="0" w:line="244" w:lineRule="exact"/>
        <w:rPr>
          <w:rFonts w:ascii="Arial" w:cs="Arial" w:eastAsia="Arial" w:hAnsi="Arial"/>
          <w:sz w:val="22"/>
          <w:szCs w:val="22"/>
          <w:color w:val="auto"/>
        </w:rPr>
      </w:pPr>
    </w:p>
    <w:p>
      <w:pPr>
        <w:ind w:left="640" w:firstLine="653"/>
        <w:spacing w:after="0" w:line="249" w:lineRule="auto"/>
        <w:tabs>
          <w:tab w:leader="none" w:pos="1835" w:val="left"/>
        </w:tabs>
        <w:numPr>
          <w:ilvl w:val="1"/>
          <w:numId w:val="54"/>
        </w:numPr>
        <w:rPr>
          <w:rFonts w:ascii="Arial" w:cs="Arial" w:eastAsia="Arial" w:hAnsi="Arial"/>
          <w:sz w:val="22"/>
          <w:szCs w:val="22"/>
          <w:color w:val="auto"/>
        </w:rPr>
      </w:pPr>
      <w:r>
        <w:rPr>
          <w:rFonts w:ascii="Arial" w:cs="Arial" w:eastAsia="Arial" w:hAnsi="Arial"/>
          <w:sz w:val="22"/>
          <w:szCs w:val="22"/>
          <w:color w:val="auto"/>
        </w:rPr>
        <w:t>Employee’s inability or failure to secure and/or maintain any licenses or permits required by government agencies with jurisdiction over the business of Employer or its Affiliate;</w:t>
      </w:r>
    </w:p>
    <w:p>
      <w:pPr>
        <w:spacing w:after="0" w:line="244" w:lineRule="exact"/>
        <w:rPr>
          <w:rFonts w:ascii="Arial" w:cs="Arial" w:eastAsia="Arial" w:hAnsi="Arial"/>
          <w:sz w:val="22"/>
          <w:szCs w:val="22"/>
          <w:color w:val="auto"/>
        </w:rPr>
      </w:pPr>
    </w:p>
    <w:p>
      <w:pPr>
        <w:ind w:left="640" w:firstLine="653"/>
        <w:spacing w:after="0" w:line="249" w:lineRule="auto"/>
        <w:tabs>
          <w:tab w:leader="none" w:pos="1984"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the willful destruction by Employee of the property of Employer or an Affiliate having a material value to Employer or such Affiliate;</w:t>
      </w:r>
    </w:p>
    <w:p>
      <w:pPr>
        <w:spacing w:after="0" w:line="244" w:lineRule="exact"/>
        <w:rPr>
          <w:rFonts w:ascii="Arial" w:cs="Arial" w:eastAsia="Arial" w:hAnsi="Arial"/>
          <w:sz w:val="22"/>
          <w:szCs w:val="22"/>
          <w:color w:val="auto"/>
        </w:rPr>
      </w:pPr>
    </w:p>
    <w:p>
      <w:pPr>
        <w:ind w:left="640" w:right="20" w:firstLine="653"/>
        <w:spacing w:after="0" w:line="249" w:lineRule="auto"/>
        <w:tabs>
          <w:tab w:leader="none" w:pos="2069" w:val="left"/>
        </w:tabs>
        <w:numPr>
          <w:ilvl w:val="1"/>
          <w:numId w:val="54"/>
        </w:numPr>
        <w:rPr>
          <w:rFonts w:ascii="Arial" w:cs="Arial" w:eastAsia="Arial" w:hAnsi="Arial"/>
          <w:sz w:val="22"/>
          <w:szCs w:val="22"/>
          <w:color w:val="auto"/>
        </w:rPr>
      </w:pPr>
      <w:r>
        <w:rPr>
          <w:rFonts w:ascii="Arial" w:cs="Arial" w:eastAsia="Arial" w:hAnsi="Arial"/>
          <w:sz w:val="22"/>
          <w:szCs w:val="22"/>
          <w:color w:val="auto"/>
        </w:rPr>
        <w:t>fraud, embezzlement, theft, or comparable dishonest activity committed by Employee (excluding acts involving a de minimis dollar value and not related to Employer or an Affiliate);</w:t>
      </w:r>
    </w:p>
    <w:p>
      <w:pPr>
        <w:spacing w:after="0" w:line="244" w:lineRule="exact"/>
        <w:rPr>
          <w:rFonts w:ascii="Arial" w:cs="Arial" w:eastAsia="Arial" w:hAnsi="Arial"/>
          <w:sz w:val="22"/>
          <w:szCs w:val="22"/>
          <w:color w:val="auto"/>
        </w:rPr>
      </w:pPr>
    </w:p>
    <w:p>
      <w:pPr>
        <w:jc w:val="both"/>
        <w:ind w:left="640" w:firstLine="653"/>
        <w:spacing w:after="0" w:line="246" w:lineRule="auto"/>
        <w:tabs>
          <w:tab w:leader="none" w:pos="1990" w:val="left"/>
        </w:tabs>
        <w:numPr>
          <w:ilvl w:val="1"/>
          <w:numId w:val="54"/>
        </w:numPr>
        <w:rPr>
          <w:rFonts w:ascii="Arial" w:cs="Arial" w:eastAsia="Arial" w:hAnsi="Arial"/>
          <w:sz w:val="22"/>
          <w:szCs w:val="22"/>
          <w:color w:val="auto"/>
        </w:rPr>
      </w:pPr>
      <w:r>
        <w:rPr>
          <w:rFonts w:ascii="Arial" w:cs="Arial" w:eastAsia="Arial" w:hAnsi="Arial"/>
          <w:sz w:val="22"/>
          <w:szCs w:val="22"/>
          <w:color w:val="auto"/>
        </w:rPr>
        <w:t>Employee’s conviction of or entering a plea of guilty or nolo contendere to any crime constituting a felony or any misdemeanor involving fraud, dishonesty or moral turpitude (excluding acts involving a de minimis dollar value and not related to Employer or an Affiliate);</w:t>
      </w:r>
    </w:p>
    <w:p>
      <w:pPr>
        <w:spacing w:after="0" w:line="248" w:lineRule="exact"/>
        <w:rPr>
          <w:rFonts w:ascii="Arial" w:cs="Arial" w:eastAsia="Arial" w:hAnsi="Arial"/>
          <w:sz w:val="22"/>
          <w:szCs w:val="22"/>
          <w:color w:val="auto"/>
        </w:rPr>
      </w:pPr>
    </w:p>
    <w:p>
      <w:pPr>
        <w:jc w:val="both"/>
        <w:ind w:left="640" w:right="20" w:firstLine="653"/>
        <w:spacing w:after="0" w:line="246" w:lineRule="auto"/>
        <w:tabs>
          <w:tab w:leader="none" w:pos="1987" w:val="left"/>
        </w:tabs>
        <w:numPr>
          <w:ilvl w:val="1"/>
          <w:numId w:val="54"/>
        </w:numPr>
        <w:rPr>
          <w:rFonts w:ascii="Arial" w:cs="Arial" w:eastAsia="Arial" w:hAnsi="Arial"/>
          <w:sz w:val="22"/>
          <w:szCs w:val="22"/>
          <w:color w:val="auto"/>
        </w:rPr>
      </w:pPr>
      <w:r>
        <w:rPr>
          <w:rFonts w:ascii="Arial" w:cs="Arial" w:eastAsia="Arial" w:hAnsi="Arial"/>
          <w:sz w:val="22"/>
          <w:szCs w:val="22"/>
          <w:color w:val="auto"/>
        </w:rPr>
        <w:t>Employee’s breach, willful neglect, refusal, or failure to materially discharge Employee’s duties (other than due to physical or mental illness) commensurate with Employee’s title and function, or Employee’s failure to comply with the lawful directions of Employer that is not cured within</w:t>
      </w:r>
    </w:p>
    <w:p>
      <w:pPr>
        <w:spacing w:after="0" w:line="235"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760"/>
          </w:cols>
          <w:pgMar w:left="900" w:top="903" w:right="239" w:bottom="1440" w:gutter="0" w:footer="0" w:header="0"/>
        </w:sectPr>
      </w:pPr>
    </w:p>
    <w:bookmarkStart w:id="81" w:name="page82"/>
    <w:bookmarkEnd w:id="81"/>
    <w:p>
      <w:pPr>
        <w:ind w:left="100"/>
        <w:spacing w:after="0"/>
        <w:rPr>
          <w:sz w:val="20"/>
          <w:szCs w:val="20"/>
          <w:color w:val="auto"/>
        </w:rPr>
      </w:pPr>
      <w:r>
        <w:rPr>
          <w:rFonts w:ascii="Arial" w:cs="Arial" w:eastAsia="Arial" w:hAnsi="Arial"/>
          <w:sz w:val="22"/>
          <w:szCs w:val="22"/>
          <w:color w:val="auto"/>
        </w:rPr>
        <w:t>fifteen (15) days after Employee has received written notice thereof from Employer’s Board of Directors;</w:t>
      </w:r>
    </w:p>
    <w:p>
      <w:pPr>
        <w:spacing w:after="0" w:line="260" w:lineRule="exact"/>
        <w:rPr>
          <w:sz w:val="20"/>
          <w:szCs w:val="20"/>
          <w:color w:val="auto"/>
        </w:rPr>
      </w:pPr>
    </w:p>
    <w:p>
      <w:pPr>
        <w:ind w:left="1340" w:hanging="587"/>
        <w:spacing w:after="0"/>
        <w:tabs>
          <w:tab w:leader="none" w:pos="1340" w:val="left"/>
        </w:tabs>
        <w:numPr>
          <w:ilvl w:val="0"/>
          <w:numId w:val="55"/>
        </w:numPr>
        <w:rPr>
          <w:rFonts w:ascii="Arial" w:cs="Arial" w:eastAsia="Arial" w:hAnsi="Arial"/>
          <w:sz w:val="22"/>
          <w:szCs w:val="22"/>
          <w:color w:val="auto"/>
        </w:rPr>
      </w:pPr>
      <w:r>
        <w:rPr>
          <w:rFonts w:ascii="Arial" w:cs="Arial" w:eastAsia="Arial" w:hAnsi="Arial"/>
          <w:sz w:val="22"/>
          <w:szCs w:val="22"/>
          <w:color w:val="auto"/>
        </w:rPr>
        <w:t>a willful and knowing material misrepresentation to Employer;</w:t>
      </w:r>
    </w:p>
    <w:p>
      <w:pPr>
        <w:spacing w:after="0" w:line="260" w:lineRule="exact"/>
        <w:rPr>
          <w:rFonts w:ascii="Arial" w:cs="Arial" w:eastAsia="Arial" w:hAnsi="Arial"/>
          <w:sz w:val="22"/>
          <w:szCs w:val="22"/>
          <w:color w:val="auto"/>
        </w:rPr>
      </w:pPr>
    </w:p>
    <w:p>
      <w:pPr>
        <w:ind w:left="100" w:firstLine="653"/>
        <w:spacing w:after="0" w:line="249" w:lineRule="auto"/>
        <w:tabs>
          <w:tab w:leader="none" w:pos="1495" w:val="left"/>
        </w:tabs>
        <w:numPr>
          <w:ilvl w:val="0"/>
          <w:numId w:val="55"/>
        </w:numPr>
        <w:rPr>
          <w:rFonts w:ascii="Arial" w:cs="Arial" w:eastAsia="Arial" w:hAnsi="Arial"/>
          <w:sz w:val="22"/>
          <w:szCs w:val="22"/>
          <w:color w:val="auto"/>
        </w:rPr>
      </w:pPr>
      <w:r>
        <w:rPr>
          <w:rFonts w:ascii="Arial" w:cs="Arial" w:eastAsia="Arial" w:hAnsi="Arial"/>
          <w:sz w:val="22"/>
          <w:szCs w:val="22"/>
          <w:color w:val="auto"/>
        </w:rPr>
        <w:t>a willful violation of a material policy of Employer, which does or could result in material harm to Employer or Employer’s reputation;</w:t>
      </w:r>
    </w:p>
    <w:p>
      <w:pPr>
        <w:spacing w:after="0" w:line="244" w:lineRule="exact"/>
        <w:rPr>
          <w:rFonts w:ascii="Arial" w:cs="Arial" w:eastAsia="Arial" w:hAnsi="Arial"/>
          <w:sz w:val="22"/>
          <w:szCs w:val="22"/>
          <w:color w:val="auto"/>
        </w:rPr>
      </w:pPr>
    </w:p>
    <w:p>
      <w:pPr>
        <w:ind w:left="100" w:firstLine="653"/>
        <w:spacing w:after="0" w:line="249" w:lineRule="auto"/>
        <w:tabs>
          <w:tab w:leader="none" w:pos="1303" w:val="left"/>
        </w:tabs>
        <w:numPr>
          <w:ilvl w:val="0"/>
          <w:numId w:val="55"/>
        </w:numPr>
        <w:rPr>
          <w:rFonts w:ascii="Arial" w:cs="Arial" w:eastAsia="Arial" w:hAnsi="Arial"/>
          <w:sz w:val="22"/>
          <w:szCs w:val="22"/>
          <w:color w:val="auto"/>
        </w:rPr>
      </w:pPr>
      <w:r>
        <w:rPr>
          <w:rFonts w:ascii="Arial" w:cs="Arial" w:eastAsia="Arial" w:hAnsi="Arial"/>
          <w:sz w:val="22"/>
          <w:szCs w:val="22"/>
          <w:color w:val="auto"/>
        </w:rPr>
        <w:t>Employee’s material violation of a statutory duty, common law duty of loyalty or fiduciary duty to Employer, including but not limited to Employer’s conflict of interest policy; or</w:t>
      </w:r>
    </w:p>
    <w:p>
      <w:pPr>
        <w:spacing w:after="0" w:line="244" w:lineRule="exact"/>
        <w:rPr>
          <w:rFonts w:ascii="Arial" w:cs="Arial" w:eastAsia="Arial" w:hAnsi="Arial"/>
          <w:sz w:val="22"/>
          <w:szCs w:val="22"/>
          <w:color w:val="auto"/>
        </w:rPr>
      </w:pPr>
    </w:p>
    <w:p>
      <w:pPr>
        <w:ind w:left="100" w:firstLine="653"/>
        <w:spacing w:after="0" w:line="249" w:lineRule="auto"/>
        <w:tabs>
          <w:tab w:leader="none" w:pos="1335" w:val="left"/>
        </w:tabs>
        <w:numPr>
          <w:ilvl w:val="0"/>
          <w:numId w:val="55"/>
        </w:numPr>
        <w:rPr>
          <w:rFonts w:ascii="Arial" w:cs="Arial" w:eastAsia="Arial" w:hAnsi="Arial"/>
          <w:sz w:val="22"/>
          <w:szCs w:val="22"/>
          <w:color w:val="auto"/>
        </w:rPr>
      </w:pPr>
      <w:r>
        <w:rPr>
          <w:rFonts w:ascii="Arial" w:cs="Arial" w:eastAsia="Arial" w:hAnsi="Arial"/>
          <w:sz w:val="22"/>
          <w:szCs w:val="22"/>
          <w:color w:val="auto"/>
        </w:rPr>
        <w:t>conduct by Employee which adversely and materially reflects upon the business, affairs or reputation of Employer and its affiliate.</w:t>
      </w:r>
    </w:p>
    <w:p>
      <w:pPr>
        <w:spacing w:after="0" w:line="245" w:lineRule="exact"/>
        <w:rPr>
          <w:sz w:val="20"/>
          <w:szCs w:val="20"/>
          <w:color w:val="auto"/>
        </w:rPr>
      </w:pPr>
    </w:p>
    <w:p>
      <w:pPr>
        <w:ind w:left="100" w:right="20"/>
        <w:spacing w:after="0" w:line="249" w:lineRule="auto"/>
        <w:rPr>
          <w:sz w:val="20"/>
          <w:szCs w:val="20"/>
          <w:color w:val="auto"/>
        </w:rPr>
      </w:pPr>
      <w:r>
        <w:rPr>
          <w:rFonts w:ascii="Arial" w:cs="Arial" w:eastAsia="Arial" w:hAnsi="Arial"/>
          <w:sz w:val="22"/>
          <w:szCs w:val="22"/>
          <w:color w:val="auto"/>
        </w:rPr>
        <w:t>provided, however, that Employee’s Complete Disability due to illness or accident or any other mental or physical incapacity shall not constitute “Cause” as defined herein.</w:t>
      </w:r>
    </w:p>
    <w:p>
      <w:pPr>
        <w:spacing w:after="0" w:line="245" w:lineRule="exact"/>
        <w:rPr>
          <w:sz w:val="20"/>
          <w:szCs w:val="20"/>
          <w:color w:val="auto"/>
        </w:rPr>
      </w:pPr>
    </w:p>
    <w:p>
      <w:pPr>
        <w:ind w:left="600" w:hanging="495"/>
        <w:spacing w:after="0"/>
        <w:tabs>
          <w:tab w:leader="none" w:pos="600" w:val="left"/>
        </w:tabs>
        <w:numPr>
          <w:ilvl w:val="0"/>
          <w:numId w:val="56"/>
        </w:numPr>
        <w:rPr>
          <w:rFonts w:ascii="Arial" w:cs="Arial" w:eastAsia="Arial" w:hAnsi="Arial"/>
          <w:sz w:val="21"/>
          <w:szCs w:val="21"/>
          <w:color w:val="auto"/>
        </w:rPr>
      </w:pPr>
      <w:r>
        <w:rPr>
          <w:rFonts w:ascii="Arial" w:cs="Arial" w:eastAsia="Arial" w:hAnsi="Arial"/>
          <w:sz w:val="21"/>
          <w:szCs w:val="21"/>
          <w:color w:val="auto"/>
        </w:rPr>
        <w:t>“Change of Control” - means the occurrence, after the Effective Date, of any of the following events:</w:t>
      </w:r>
    </w:p>
    <w:p>
      <w:pPr>
        <w:spacing w:after="0" w:line="271" w:lineRule="exact"/>
        <w:rPr>
          <w:rFonts w:ascii="Arial" w:cs="Arial" w:eastAsia="Arial" w:hAnsi="Arial"/>
          <w:sz w:val="21"/>
          <w:szCs w:val="21"/>
          <w:color w:val="auto"/>
        </w:rPr>
      </w:pPr>
    </w:p>
    <w:p>
      <w:pPr>
        <w:jc w:val="both"/>
        <w:ind w:left="100" w:firstLine="653"/>
        <w:spacing w:after="0" w:line="258" w:lineRule="auto"/>
        <w:tabs>
          <w:tab w:leader="none" w:pos="1384" w:val="left"/>
        </w:tabs>
        <w:numPr>
          <w:ilvl w:val="1"/>
          <w:numId w:val="56"/>
        </w:numPr>
        <w:rPr>
          <w:rFonts w:ascii="Arial" w:cs="Arial" w:eastAsia="Arial" w:hAnsi="Arial"/>
          <w:sz w:val="21"/>
          <w:szCs w:val="21"/>
          <w:color w:val="auto"/>
        </w:rPr>
      </w:pPr>
      <w:r>
        <w:rPr>
          <w:rFonts w:ascii="Arial" w:cs="Arial" w:eastAsia="Arial" w:hAnsi="Arial"/>
          <w:sz w:val="21"/>
          <w:szCs w:val="21"/>
          <w:color w:val="auto"/>
        </w:rPr>
        <w:t>any "Person" or "Group" (as such terms are defined in Section 13(d) of the Securities Exchange Act of 1934 (the "</w:t>
      </w:r>
      <w:r>
        <w:rPr>
          <w:rFonts w:ascii="Arial" w:cs="Arial" w:eastAsia="Arial" w:hAnsi="Arial"/>
          <w:sz w:val="21"/>
          <w:szCs w:val="21"/>
          <w:b w:val="1"/>
          <w:bCs w:val="1"/>
          <w:color w:val="auto"/>
        </w:rPr>
        <w:t>Exchange Act</w:t>
      </w:r>
      <w:r>
        <w:rPr>
          <w:rFonts w:ascii="Arial" w:cs="Arial" w:eastAsia="Arial" w:hAnsi="Arial"/>
          <w:sz w:val="21"/>
          <w:szCs w:val="21"/>
          <w:color w:val="auto"/>
        </w:rPr>
        <w:t>") and the rules and regulations promulgated thereunder), excluding any Excluded Stockholder, is or becomes the "Beneficial Owner" (within the meaning of Rule 13d-3 promulgated under the Exchange Act), directly or indirectly, of securities of Wynn Resorts, Limited (“</w:t>
      </w:r>
      <w:r>
        <w:rPr>
          <w:rFonts w:ascii="Arial" w:cs="Arial" w:eastAsia="Arial" w:hAnsi="Arial"/>
          <w:sz w:val="21"/>
          <w:szCs w:val="21"/>
          <w:b w:val="1"/>
          <w:bCs w:val="1"/>
          <w:color w:val="auto"/>
        </w:rPr>
        <w:t>WRL</w:t>
      </w:r>
      <w:r>
        <w:rPr>
          <w:rFonts w:ascii="Arial" w:cs="Arial" w:eastAsia="Arial" w:hAnsi="Arial"/>
          <w:sz w:val="21"/>
          <w:szCs w:val="21"/>
          <w:color w:val="auto"/>
        </w:rPr>
        <w:t>”), or of any entity resulting from a merger or consolidation involving WRL, representing more than fifty percent (50%) of the combined voting power of the then outstanding securities of WRL or such entity;</w:t>
      </w:r>
    </w:p>
    <w:p>
      <w:pPr>
        <w:spacing w:after="0" w:line="238" w:lineRule="exact"/>
        <w:rPr>
          <w:rFonts w:ascii="Arial" w:cs="Arial" w:eastAsia="Arial" w:hAnsi="Arial"/>
          <w:sz w:val="21"/>
          <w:szCs w:val="21"/>
          <w:color w:val="auto"/>
        </w:rPr>
      </w:pPr>
    </w:p>
    <w:p>
      <w:pPr>
        <w:jc w:val="both"/>
        <w:ind w:left="100" w:firstLine="653"/>
        <w:spacing w:after="0" w:line="245" w:lineRule="auto"/>
        <w:tabs>
          <w:tab w:leader="none" w:pos="1282" w:val="left"/>
        </w:tabs>
        <w:numPr>
          <w:ilvl w:val="1"/>
          <w:numId w:val="56"/>
        </w:numPr>
        <w:rPr>
          <w:rFonts w:ascii="Arial" w:cs="Arial" w:eastAsia="Arial" w:hAnsi="Arial"/>
          <w:sz w:val="22"/>
          <w:szCs w:val="22"/>
          <w:color w:val="auto"/>
        </w:rPr>
      </w:pPr>
      <w:r>
        <w:rPr>
          <w:rFonts w:ascii="Arial" w:cs="Arial" w:eastAsia="Arial" w:hAnsi="Arial"/>
          <w:sz w:val="22"/>
          <w:szCs w:val="22"/>
          <w:color w:val="auto"/>
        </w:rPr>
        <w:t>the individuals who, as of the Effective Date, are members of WRL’s Board of Directors (the "Existing Directors") cease, for any reason, to constitute more than fifty percent (50%) of the number of authorized directors of WRL as determined in the manner prescribed in WRL’s Articles of Incorporation and Bylaws; provided, however, that if the election, or nomination for election, by WRL's stockholders of</w:t>
      </w:r>
    </w:p>
    <w:p>
      <w:pPr>
        <w:spacing w:after="0" w:line="23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220"/>
          </w:cols>
          <w:pgMar w:left="1440" w:top="903" w:right="239" w:bottom="1440" w:gutter="0" w:footer="0" w:header="0"/>
        </w:sectPr>
      </w:pPr>
    </w:p>
    <w:bookmarkStart w:id="82" w:name="page83"/>
    <w:bookmarkEnd w:id="82"/>
    <w:p>
      <w:pPr>
        <w:jc w:val="both"/>
        <w:ind w:left="100"/>
        <w:spacing w:after="0" w:line="244" w:lineRule="auto"/>
        <w:rPr>
          <w:sz w:val="20"/>
          <w:szCs w:val="20"/>
          <w:color w:val="auto"/>
        </w:rPr>
      </w:pPr>
      <w:r>
        <w:rPr>
          <w:rFonts w:ascii="Arial" w:cs="Arial" w:eastAsia="Arial" w:hAnsi="Arial"/>
          <w:sz w:val="22"/>
          <w:szCs w:val="22"/>
          <w:color w:val="auto"/>
        </w:rPr>
        <w:t>any new director was approved by a vote of at least fifty percent (50%) of the Existing Directors, such new director shall be considered an Existing Director; provided further, however, that no individual shall be considered an Existing Director if such individual initially assumed office as a result of either an actual or threatened "Election Contest" (as described in Rule 14a-11 promulgated under the Exchange Act) or other actual or threatened solicitation of proxies by or on behalf of anyone other than the Board (a "Proxy Contest"), including by reason of any agreement intended to avoid or settle any Election Contest or Proxy Contest; or</w:t>
      </w:r>
    </w:p>
    <w:p>
      <w:pPr>
        <w:spacing w:after="0" w:line="253" w:lineRule="exact"/>
        <w:rPr>
          <w:sz w:val="20"/>
          <w:szCs w:val="20"/>
          <w:color w:val="auto"/>
        </w:rPr>
      </w:pPr>
    </w:p>
    <w:p>
      <w:pPr>
        <w:jc w:val="both"/>
        <w:ind w:left="100" w:firstLine="653"/>
        <w:spacing w:after="0" w:line="243" w:lineRule="auto"/>
        <w:tabs>
          <w:tab w:leader="none" w:pos="1336"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consummation of (x) a merger, consolidation or reorganization to which WRL is a party, whether or not WRL is the Person surviving or resulting therefrom, or (y) a sale, assignment, lease, conveyance or other disposition of all or substantially all of the assets of Employer or WRL, in one transaction or a series of related transactions, to any Person other than WRL or an Affiliate, where any such transaction or series of related transactions as is referred to in clause (x) or clause (y) above in this subparagraph (iii) (singly or collectively, a "</w:t>
      </w:r>
      <w:r>
        <w:rPr>
          <w:rFonts w:ascii="Arial" w:cs="Arial" w:eastAsia="Arial" w:hAnsi="Arial"/>
          <w:sz w:val="22"/>
          <w:szCs w:val="22"/>
          <w:b w:val="1"/>
          <w:bCs w:val="1"/>
          <w:color w:val="auto"/>
        </w:rPr>
        <w:t>Transaction</w:t>
      </w:r>
      <w:r>
        <w:rPr>
          <w:rFonts w:ascii="Arial" w:cs="Arial" w:eastAsia="Arial" w:hAnsi="Arial"/>
          <w:sz w:val="22"/>
          <w:szCs w:val="22"/>
          <w:color w:val="auto"/>
        </w:rPr>
        <w:t>") does not otherwise result in a "Change in Control" pursuant to subparagraph (i) of this definition of "Change in Control"; provided, however, that no such Transaction shall constitute a "Change in Control" under this subparagraph (iii) if the Persons who were the members or stockholders of Employer or WRL immediately before the consummation of such Transaction are the Beneficial Owners, immediately following the consummation of such Transaction, of fifty percent (50%) or more of the combined voting power of the then outstanding membership interests or voting securities of the Person surviving or resulting from any merger, consolidation or reorganization referred to in clause (x) above in this subparagraph (iii) or the Person to whom the assets of Employer or WRL are sold, assigned, leased, conveyed or disposed of in any transaction or series of related transactions referred in clause (y) above in this subparagraph (iii), in substantially the same proportions in which such Beneficial Owners held membership interests or voting stock in Employer or WRL immediately before such Transaction.</w:t>
      </w:r>
    </w:p>
    <w:p>
      <w:pPr>
        <w:spacing w:after="0" w:line="265" w:lineRule="exact"/>
        <w:rPr>
          <w:sz w:val="20"/>
          <w:szCs w:val="20"/>
          <w:color w:val="auto"/>
        </w:rPr>
      </w:pPr>
    </w:p>
    <w:p>
      <w:pPr>
        <w:jc w:val="both"/>
        <w:ind w:left="100"/>
        <w:spacing w:after="0" w:line="246" w:lineRule="auto"/>
        <w:rPr>
          <w:sz w:val="20"/>
          <w:szCs w:val="20"/>
          <w:color w:val="auto"/>
        </w:rPr>
      </w:pPr>
      <w:r>
        <w:rPr>
          <w:rFonts w:ascii="Arial" w:cs="Arial" w:eastAsia="Arial" w:hAnsi="Arial"/>
          <w:sz w:val="22"/>
          <w:szCs w:val="22"/>
          <w:color w:val="auto"/>
        </w:rPr>
        <w:t>For purposes of the foregoing definition of “Change in Control,” the term “Excluded Stockholder” means Stephen A. Wynn, the spouse, siblings, children, grandchildren or great grandchildren of Stephen A. Wynn, any trust primarily for the</w:t>
      </w:r>
    </w:p>
    <w:p>
      <w:pPr>
        <w:spacing w:after="0" w:line="235"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220"/>
          </w:cols>
          <w:pgMar w:left="1440" w:top="903" w:right="239" w:bottom="1440" w:gutter="0" w:footer="0" w:header="0"/>
        </w:sectPr>
      </w:pPr>
    </w:p>
    <w:bookmarkStart w:id="83" w:name="page84"/>
    <w:bookmarkEnd w:id="83"/>
    <w:p>
      <w:pPr>
        <w:ind w:left="100"/>
        <w:spacing w:after="0"/>
        <w:rPr>
          <w:sz w:val="20"/>
          <w:szCs w:val="20"/>
          <w:color w:val="auto"/>
        </w:rPr>
      </w:pPr>
      <w:r>
        <w:rPr>
          <w:rFonts w:ascii="Arial" w:cs="Arial" w:eastAsia="Arial" w:hAnsi="Arial"/>
          <w:sz w:val="22"/>
          <w:szCs w:val="22"/>
          <w:color w:val="auto"/>
        </w:rPr>
        <w:t>benefit of the foregoing persons, or any Affiliate of any of the foregoing persons.</w:t>
      </w:r>
    </w:p>
    <w:p>
      <w:pPr>
        <w:spacing w:after="0" w:line="234" w:lineRule="exact"/>
        <w:rPr>
          <w:sz w:val="20"/>
          <w:szCs w:val="20"/>
          <w:color w:val="auto"/>
        </w:rPr>
      </w:pPr>
    </w:p>
    <w:p>
      <w:pPr>
        <w:jc w:val="both"/>
        <w:ind w:left="-540" w:firstLine="645"/>
        <w:spacing w:after="0" w:line="258" w:lineRule="auto"/>
        <w:tabs>
          <w:tab w:leader="none" w:pos="653" w:val="left"/>
        </w:tabs>
        <w:numPr>
          <w:ilvl w:val="0"/>
          <w:numId w:val="5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Complete Disability</w:t>
      </w:r>
      <w:r>
        <w:rPr>
          <w:rFonts w:ascii="Arial" w:cs="Arial" w:eastAsia="Arial" w:hAnsi="Arial"/>
          <w:sz w:val="22"/>
          <w:szCs w:val="22"/>
          <w:color w:val="auto"/>
        </w:rPr>
        <w:t>” - means the inability of Employee, due to illness or accident or other mental or physical incapacity, to perform Employee’s obligations under this Agreement for a period as defined by Employer’s disability plan or plans.</w:t>
      </w:r>
    </w:p>
    <w:p>
      <w:pPr>
        <w:spacing w:after="0" w:line="210" w:lineRule="exact"/>
        <w:rPr>
          <w:rFonts w:ascii="Arial" w:cs="Arial" w:eastAsia="Arial" w:hAnsi="Arial"/>
          <w:sz w:val="22"/>
          <w:szCs w:val="22"/>
          <w:color w:val="auto"/>
        </w:rPr>
      </w:pPr>
    </w:p>
    <w:p>
      <w:pPr>
        <w:jc w:val="both"/>
        <w:ind w:left="-540" w:firstLine="645"/>
        <w:spacing w:after="0" w:line="258" w:lineRule="auto"/>
        <w:tabs>
          <w:tab w:leader="none" w:pos="775" w:val="left"/>
        </w:tabs>
        <w:numPr>
          <w:ilvl w:val="0"/>
          <w:numId w:val="5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Confidential Information</w:t>
      </w:r>
      <w:r>
        <w:rPr>
          <w:rFonts w:ascii="Arial" w:cs="Arial" w:eastAsia="Arial" w:hAnsi="Arial"/>
          <w:sz w:val="21"/>
          <w:szCs w:val="21"/>
          <w:color w:val="auto"/>
        </w:rPr>
        <w:t>” - means any information that is possessed or developed by or for Employer or its Affiliate and which relates to the Employer’s or Affiliate’s existing or potential business or technology, which is not generally known to the public or to persons engaged in business similar to that conducted or contemplated by Employer or Affiliate, or which Employer or Affiliate seeks to protect from disclosure to its existing or potential competitors or others, and includes without limitation know how, business and technical plans, strategies, existing and proposed bids, costs, technical developments, purchasing history, existing and proposed research projects, copyrights, inventions, patents, intellectual property, data, process, process parameters, methods, practices, products, product design information, research and development data, financial records, operational manuals, pricing and price lists, computer programs and information stored or developed for use in or with computers, customer information, customer lists, supplier lists, marketing plans, financial information, financial or business projections, and all other compilations of information which relate to the business of Employer or Affiliate, and any other proprietary material of Employer or Affiliate, which have not been released to the general public. Confidential Information also includes information received by Employer or any of its Affiliates from others that the Employer or Affiliate has an obligation to treat as confidential.</w:t>
      </w:r>
    </w:p>
    <w:p>
      <w:pPr>
        <w:spacing w:after="0" w:line="214" w:lineRule="exact"/>
        <w:rPr>
          <w:rFonts w:ascii="Arial" w:cs="Arial" w:eastAsia="Arial" w:hAnsi="Arial"/>
          <w:sz w:val="21"/>
          <w:szCs w:val="21"/>
          <w:color w:val="auto"/>
        </w:rPr>
      </w:pPr>
    </w:p>
    <w:p>
      <w:pPr>
        <w:ind w:left="-540" w:right="20" w:firstLine="645"/>
        <w:spacing w:after="0" w:line="274" w:lineRule="auto"/>
        <w:tabs>
          <w:tab w:leader="none" w:pos="566" w:val="left"/>
        </w:tabs>
        <w:numPr>
          <w:ilvl w:val="0"/>
          <w:numId w:val="5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Effective Date</w:t>
      </w:r>
      <w:r>
        <w:rPr>
          <w:rFonts w:ascii="Arial" w:cs="Arial" w:eastAsia="Arial" w:hAnsi="Arial"/>
          <w:sz w:val="22"/>
          <w:szCs w:val="22"/>
          <w:color w:val="auto"/>
        </w:rPr>
        <w:t>” – means December 2, 2013 or such other date as may be mutually agreed upon by the Employer and Employee, but in no event later than December 31, 2013.</w:t>
      </w:r>
    </w:p>
    <w:p>
      <w:pPr>
        <w:spacing w:after="0" w:line="192" w:lineRule="exact"/>
        <w:rPr>
          <w:rFonts w:ascii="Arial" w:cs="Arial" w:eastAsia="Arial" w:hAnsi="Arial"/>
          <w:sz w:val="22"/>
          <w:szCs w:val="22"/>
          <w:color w:val="auto"/>
        </w:rPr>
      </w:pPr>
    </w:p>
    <w:p>
      <w:pPr>
        <w:jc w:val="both"/>
        <w:ind w:left="-540" w:firstLine="645"/>
        <w:spacing w:after="0" w:line="253" w:lineRule="auto"/>
        <w:tabs>
          <w:tab w:leader="none" w:pos="640" w:val="left"/>
        </w:tabs>
        <w:numPr>
          <w:ilvl w:val="0"/>
          <w:numId w:val="5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Good Reason</w:t>
      </w:r>
      <w:r>
        <w:rPr>
          <w:rFonts w:ascii="Arial" w:cs="Arial" w:eastAsia="Arial" w:hAnsi="Arial"/>
          <w:sz w:val="22"/>
          <w:szCs w:val="22"/>
          <w:color w:val="auto"/>
        </w:rPr>
        <w:t>” - means the occurrence, on or after the occurrence of a Change in Control, of any of the following (except with Employee’s written consent or resulting from an isolated, insubstantial and inadvertent action not taken in bad faith and which is remedied by Employer or its Affiliate promptly after receipt of notice thereof from Employee):</w:t>
      </w:r>
    </w:p>
    <w:p>
      <w:pPr>
        <w:spacing w:after="0" w:line="242" w:lineRule="exact"/>
        <w:rPr>
          <w:rFonts w:ascii="Arial" w:cs="Arial" w:eastAsia="Arial" w:hAnsi="Arial"/>
          <w:sz w:val="22"/>
          <w:szCs w:val="22"/>
          <w:color w:val="auto"/>
        </w:rPr>
      </w:pPr>
    </w:p>
    <w:p>
      <w:pPr>
        <w:ind w:left="1600" w:hanging="847"/>
        <w:spacing w:after="0"/>
        <w:tabs>
          <w:tab w:leader="none" w:pos="1600" w:val="left"/>
        </w:tabs>
        <w:numPr>
          <w:ilvl w:val="1"/>
          <w:numId w:val="58"/>
        </w:numPr>
        <w:rPr>
          <w:rFonts w:ascii="Arial" w:cs="Arial" w:eastAsia="Arial" w:hAnsi="Arial"/>
          <w:sz w:val="22"/>
          <w:szCs w:val="22"/>
          <w:color w:val="auto"/>
        </w:rPr>
      </w:pPr>
      <w:r>
        <w:rPr>
          <w:rFonts w:ascii="Arial" w:cs="Arial" w:eastAsia="Arial" w:hAnsi="Arial"/>
          <w:sz w:val="22"/>
          <w:szCs w:val="22"/>
          <w:color w:val="auto"/>
        </w:rPr>
        <w:t>Employer or an Affiliate reduces Employee’s Base Salary (as defined in Subparagraph</w:t>
      </w:r>
    </w:p>
    <w:p>
      <w:pPr>
        <w:spacing w:after="0" w:line="3" w:lineRule="exact"/>
        <w:rPr>
          <w:rFonts w:ascii="Arial" w:cs="Arial" w:eastAsia="Arial" w:hAnsi="Arial"/>
          <w:sz w:val="22"/>
          <w:szCs w:val="22"/>
          <w:color w:val="auto"/>
        </w:rPr>
      </w:pPr>
    </w:p>
    <w:p>
      <w:pPr>
        <w:ind w:left="100"/>
        <w:spacing w:after="0"/>
        <w:rPr>
          <w:rFonts w:ascii="Arial" w:cs="Arial" w:eastAsia="Arial" w:hAnsi="Arial"/>
          <w:sz w:val="22"/>
          <w:szCs w:val="22"/>
          <w:color w:val="auto"/>
        </w:rPr>
      </w:pPr>
      <w:r>
        <w:rPr>
          <w:rFonts w:ascii="Arial" w:cs="Arial" w:eastAsia="Arial" w:hAnsi="Arial"/>
          <w:sz w:val="22"/>
          <w:szCs w:val="22"/>
          <w:color w:val="auto"/>
        </w:rPr>
        <w:t>8(a) below);</w:t>
      </w:r>
    </w:p>
    <w:p>
      <w:pPr>
        <w:spacing w:after="0" w:line="260" w:lineRule="exact"/>
        <w:rPr>
          <w:rFonts w:ascii="Arial" w:cs="Arial" w:eastAsia="Arial" w:hAnsi="Arial"/>
          <w:sz w:val="22"/>
          <w:szCs w:val="22"/>
          <w:color w:val="auto"/>
        </w:rPr>
      </w:pPr>
    </w:p>
    <w:p>
      <w:pPr>
        <w:ind w:left="100" w:firstLine="653"/>
        <w:spacing w:after="0" w:line="249" w:lineRule="auto"/>
        <w:tabs>
          <w:tab w:leader="none" w:pos="1636" w:val="left"/>
        </w:tabs>
        <w:numPr>
          <w:ilvl w:val="1"/>
          <w:numId w:val="58"/>
        </w:numPr>
        <w:rPr>
          <w:rFonts w:ascii="Arial" w:cs="Arial" w:eastAsia="Arial" w:hAnsi="Arial"/>
          <w:sz w:val="22"/>
          <w:szCs w:val="22"/>
          <w:color w:val="auto"/>
        </w:rPr>
      </w:pPr>
      <w:r>
        <w:rPr>
          <w:rFonts w:ascii="Arial" w:cs="Arial" w:eastAsia="Arial" w:hAnsi="Arial"/>
          <w:sz w:val="22"/>
          <w:szCs w:val="22"/>
          <w:color w:val="auto"/>
        </w:rPr>
        <w:t>Employer discontinues its bonus plan in which Employee participates as in effect immediately before the</w:t>
      </w:r>
    </w:p>
    <w:p>
      <w:pPr>
        <w:spacing w:after="0" w:line="23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220"/>
          </w:cols>
          <w:pgMar w:left="1440" w:top="903" w:right="239" w:bottom="1440" w:gutter="0" w:footer="0" w:header="0"/>
        </w:sectPr>
      </w:pPr>
    </w:p>
    <w:bookmarkStart w:id="84" w:name="page85"/>
    <w:bookmarkEnd w:id="84"/>
    <w:p>
      <w:pPr>
        <w:jc w:val="both"/>
        <w:ind w:left="640"/>
        <w:spacing w:after="0" w:line="245" w:lineRule="auto"/>
        <w:rPr>
          <w:sz w:val="20"/>
          <w:szCs w:val="20"/>
          <w:color w:val="auto"/>
        </w:rPr>
      </w:pPr>
      <w:r>
        <w:rPr>
          <w:rFonts w:ascii="Arial" w:cs="Arial" w:eastAsia="Arial" w:hAnsi="Arial"/>
          <w:sz w:val="22"/>
          <w:szCs w:val="22"/>
          <w:color w:val="auto"/>
        </w:rPr>
        <w:t>Change in Control without immediately replacing such bonus plan with a plan that is the substantial economic equivalent of such bonus plan, or amends such bonus plan so as to materially reduce Employee’s potential bonus at any given level of economic performance of Employer or its successor entity;</w:t>
      </w:r>
    </w:p>
    <w:p>
      <w:pPr>
        <w:spacing w:after="0" w:line="250" w:lineRule="exact"/>
        <w:rPr>
          <w:sz w:val="20"/>
          <w:szCs w:val="20"/>
          <w:color w:val="auto"/>
        </w:rPr>
      </w:pPr>
    </w:p>
    <w:p>
      <w:pPr>
        <w:ind w:left="640" w:firstLine="653"/>
        <w:spacing w:after="0" w:line="249" w:lineRule="auto"/>
        <w:tabs>
          <w:tab w:leader="none" w:pos="2224" w:val="left"/>
        </w:tabs>
        <w:numPr>
          <w:ilvl w:val="0"/>
          <w:numId w:val="59"/>
        </w:numPr>
        <w:rPr>
          <w:rFonts w:ascii="Arial" w:cs="Arial" w:eastAsia="Arial" w:hAnsi="Arial"/>
          <w:sz w:val="22"/>
          <w:szCs w:val="22"/>
          <w:color w:val="auto"/>
        </w:rPr>
      </w:pPr>
      <w:r>
        <w:rPr>
          <w:rFonts w:ascii="Arial" w:cs="Arial" w:eastAsia="Arial" w:hAnsi="Arial"/>
          <w:sz w:val="22"/>
          <w:szCs w:val="22"/>
          <w:color w:val="auto"/>
        </w:rPr>
        <w:t>Employer materially reduces the aggregate benefits and perquisites to Employee from those being provided immediately before the Change in Control;</w:t>
      </w:r>
    </w:p>
    <w:p>
      <w:pPr>
        <w:spacing w:after="0" w:line="244" w:lineRule="exact"/>
        <w:rPr>
          <w:rFonts w:ascii="Arial" w:cs="Arial" w:eastAsia="Arial" w:hAnsi="Arial"/>
          <w:sz w:val="22"/>
          <w:szCs w:val="22"/>
          <w:color w:val="auto"/>
        </w:rPr>
      </w:pPr>
    </w:p>
    <w:p>
      <w:pPr>
        <w:jc w:val="both"/>
        <w:ind w:left="640" w:firstLine="653"/>
        <w:spacing w:after="0" w:line="246" w:lineRule="auto"/>
        <w:tabs>
          <w:tab w:leader="none" w:pos="2236" w:val="left"/>
        </w:tabs>
        <w:numPr>
          <w:ilvl w:val="0"/>
          <w:numId w:val="59"/>
        </w:numPr>
        <w:rPr>
          <w:rFonts w:ascii="Arial" w:cs="Arial" w:eastAsia="Arial" w:hAnsi="Arial"/>
          <w:sz w:val="22"/>
          <w:szCs w:val="22"/>
          <w:color w:val="auto"/>
        </w:rPr>
      </w:pPr>
      <w:r>
        <w:rPr>
          <w:rFonts w:ascii="Arial" w:cs="Arial" w:eastAsia="Arial" w:hAnsi="Arial"/>
          <w:sz w:val="22"/>
          <w:szCs w:val="22"/>
          <w:color w:val="auto"/>
        </w:rPr>
        <w:t>Employer or any of its Affiliates requires Employee to change the location of Employee’s job or office, so that Employee will be based at a location more than 25 miles from the location of Employee’s job or office immediately before the Change in Control;</w:t>
      </w:r>
    </w:p>
    <w:p>
      <w:pPr>
        <w:spacing w:after="0" w:line="248" w:lineRule="exact"/>
        <w:rPr>
          <w:rFonts w:ascii="Arial" w:cs="Arial" w:eastAsia="Arial" w:hAnsi="Arial"/>
          <w:sz w:val="22"/>
          <w:szCs w:val="22"/>
          <w:color w:val="auto"/>
        </w:rPr>
      </w:pPr>
    </w:p>
    <w:p>
      <w:pPr>
        <w:jc w:val="both"/>
        <w:ind w:left="640" w:firstLine="653"/>
        <w:spacing w:after="0" w:line="246" w:lineRule="auto"/>
        <w:tabs>
          <w:tab w:leader="none" w:pos="2188" w:val="left"/>
        </w:tabs>
        <w:numPr>
          <w:ilvl w:val="0"/>
          <w:numId w:val="59"/>
        </w:numPr>
        <w:rPr>
          <w:rFonts w:ascii="Arial" w:cs="Arial" w:eastAsia="Arial" w:hAnsi="Arial"/>
          <w:sz w:val="22"/>
          <w:szCs w:val="22"/>
          <w:color w:val="auto"/>
        </w:rPr>
      </w:pPr>
      <w:r>
        <w:rPr>
          <w:rFonts w:ascii="Arial" w:cs="Arial" w:eastAsia="Arial" w:hAnsi="Arial"/>
          <w:sz w:val="22"/>
          <w:szCs w:val="22"/>
          <w:color w:val="auto"/>
        </w:rPr>
        <w:t>Employer or any of its Affiliates reduces Employee’s responsibilities or directs Employee to report to a person of lower rank or responsibilities than the person to whom Employee reported immediately before the Change in Control; or</w:t>
      </w:r>
    </w:p>
    <w:p>
      <w:pPr>
        <w:spacing w:after="0" w:line="248" w:lineRule="exact"/>
        <w:rPr>
          <w:rFonts w:ascii="Arial" w:cs="Arial" w:eastAsia="Arial" w:hAnsi="Arial"/>
          <w:sz w:val="22"/>
          <w:szCs w:val="22"/>
          <w:color w:val="auto"/>
        </w:rPr>
      </w:pPr>
    </w:p>
    <w:p>
      <w:pPr>
        <w:ind w:left="640" w:firstLine="653"/>
        <w:spacing w:after="0" w:line="249" w:lineRule="auto"/>
        <w:tabs>
          <w:tab w:leader="none" w:pos="1888"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successor to Employer fails or refuses expressly to assume in writing the obligations of Employer under this Agreement.</w:t>
      </w:r>
    </w:p>
    <w:p>
      <w:pPr>
        <w:spacing w:after="0" w:line="245" w:lineRule="exact"/>
        <w:rPr>
          <w:sz w:val="20"/>
          <w:szCs w:val="20"/>
          <w:color w:val="auto"/>
        </w:rPr>
      </w:pPr>
    </w:p>
    <w:p>
      <w:pPr>
        <w:ind w:right="280" w:firstLine="648"/>
        <w:spacing w:after="0" w:line="249" w:lineRule="auto"/>
        <w:rPr>
          <w:sz w:val="20"/>
          <w:szCs w:val="20"/>
          <w:color w:val="auto"/>
        </w:rPr>
      </w:pPr>
      <w:r>
        <w:rPr>
          <w:rFonts w:ascii="Arial" w:cs="Arial" w:eastAsia="Arial" w:hAnsi="Arial"/>
          <w:sz w:val="22"/>
          <w:szCs w:val="22"/>
          <w:color w:val="auto"/>
        </w:rPr>
        <w:t>For purposes of this Agreement, a determination by Employee that Employee has “Good Reason” shall be final and binding on Employer and Employee absent a showing of bad faith on Employee’s part.</w:t>
      </w:r>
    </w:p>
    <w:p>
      <w:pPr>
        <w:spacing w:after="0" w:line="219" w:lineRule="exact"/>
        <w:rPr>
          <w:sz w:val="20"/>
          <w:szCs w:val="20"/>
          <w:color w:val="auto"/>
        </w:rPr>
      </w:pPr>
    </w:p>
    <w:p>
      <w:pPr>
        <w:jc w:val="both"/>
        <w:ind w:firstLine="645"/>
        <w:spacing w:after="0" w:line="258" w:lineRule="auto"/>
        <w:tabs>
          <w:tab w:leader="none" w:pos="1166" w:val="left"/>
        </w:tabs>
        <w:numPr>
          <w:ilvl w:val="0"/>
          <w:numId w:val="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Separation Payment</w:t>
      </w:r>
      <w:r>
        <w:rPr>
          <w:rFonts w:ascii="Arial" w:cs="Arial" w:eastAsia="Arial" w:hAnsi="Arial"/>
          <w:sz w:val="22"/>
          <w:szCs w:val="22"/>
          <w:color w:val="auto"/>
        </w:rPr>
        <w:t>” - means a lump sum equal to (A) 12 months of Employee’s Base Salary (as defined in Subparagraph 8(a) of this Agreement), plus (B) any accrued but unpaid vacation pay, less deductions of all applicable taxes and withholdings.</w:t>
      </w:r>
    </w:p>
    <w:p>
      <w:pPr>
        <w:spacing w:after="0" w:line="211" w:lineRule="exact"/>
        <w:rPr>
          <w:sz w:val="20"/>
          <w:szCs w:val="20"/>
          <w:color w:val="auto"/>
        </w:rPr>
      </w:pPr>
    </w:p>
    <w:p>
      <w:pPr>
        <w:jc w:val="both"/>
        <w:ind w:firstLine="645"/>
        <w:spacing w:after="0" w:line="248" w:lineRule="auto"/>
        <w:tabs>
          <w:tab w:leader="none" w:pos="1207" w:val="left"/>
        </w:tabs>
        <w:numPr>
          <w:ilvl w:val="0"/>
          <w:numId w:val="6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Trade Secrets</w:t>
      </w:r>
      <w:r>
        <w:rPr>
          <w:rFonts w:ascii="Arial" w:cs="Arial" w:eastAsia="Arial" w:hAnsi="Arial"/>
          <w:sz w:val="22"/>
          <w:szCs w:val="22"/>
          <w:color w:val="auto"/>
        </w:rPr>
        <w:t>” - means unpublished inventions or works of authorship, as well as all information possessed by or developed by or for Employer or its Affiliate, including without limitation any formula, pattern, compilation, program device, method, technique, product, system, process, design, prototype, procedure, computer programming or code that (i) derives independent economic value, actual or potential, from not being generally known to, and not being readily ascertainable by proper means by the public or other persons who can obtain economic value from its disclosure or use; and (ii) is the subject of efforts that are reasonable to maintain its secrecy.</w:t>
      </w:r>
    </w:p>
    <w:p>
      <w:pPr>
        <w:spacing w:after="0" w:line="200" w:lineRule="exact"/>
        <w:rPr>
          <w:sz w:val="20"/>
          <w:szCs w:val="20"/>
          <w:color w:val="auto"/>
        </w:rPr>
      </w:pPr>
    </w:p>
    <w:p>
      <w:pPr>
        <w:spacing w:after="0" w:line="292"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760"/>
          </w:cols>
          <w:pgMar w:left="900" w:top="903" w:right="239" w:bottom="1440" w:gutter="0" w:footer="0" w:header="0"/>
        </w:sectPr>
      </w:pPr>
    </w:p>
    <w:bookmarkStart w:id="85" w:name="page86"/>
    <w:bookmarkEnd w:id="85"/>
    <w:p>
      <w:pPr>
        <w:jc w:val="both"/>
        <w:ind w:left="660" w:firstLine="648"/>
        <w:spacing w:after="0" w:line="248" w:lineRule="auto"/>
        <w:rPr>
          <w:sz w:val="20"/>
          <w:szCs w:val="20"/>
          <w:color w:val="auto"/>
        </w:rPr>
      </w:pPr>
      <w:r>
        <w:rPr>
          <w:rFonts w:ascii="Arial" w:cs="Arial" w:eastAsia="Arial" w:hAnsi="Arial"/>
          <w:sz w:val="22"/>
          <w:szCs w:val="22"/>
          <w:color w:val="auto"/>
        </w:rPr>
        <w:t>(h ) “</w:t>
      </w:r>
      <w:r>
        <w:rPr>
          <w:rFonts w:ascii="Arial" w:cs="Arial" w:eastAsia="Arial" w:hAnsi="Arial"/>
          <w:sz w:val="22"/>
          <w:szCs w:val="22"/>
          <w:b w:val="1"/>
          <w:bCs w:val="1"/>
          <w:u w:val="single" w:color="auto"/>
          <w:color w:val="auto"/>
        </w:rPr>
        <w:t>Work of Authorship</w:t>
      </w:r>
      <w:r>
        <w:rPr>
          <w:rFonts w:ascii="Arial" w:cs="Arial" w:eastAsia="Arial" w:hAnsi="Arial"/>
          <w:sz w:val="22"/>
          <w:szCs w:val="22"/>
          <w:color w:val="auto"/>
        </w:rPr>
        <w:t>” - means any computer program, code or system as well as any literary, pictorial, sculptural, graphic or audio visual work, whether published or unpublished, and whether copyrightable or not, in whatever form and jointly with others that (i) relates to any of Employer’s or its Affiliate’s existing or potential products, practices, processes, formulations, manufacturing, engineering, research, equipment, applications or other business or technical activities or investigations; or (ii) relates to ideas, work or investigations conceived or carried on by Employer or its Affiliate or by Employee in connection with or because of performing services for Employer or its Affiliate.</w:t>
      </w:r>
    </w:p>
    <w:p>
      <w:pPr>
        <w:spacing w:after="0" w:line="223" w:lineRule="exact"/>
        <w:rPr>
          <w:sz w:val="20"/>
          <w:szCs w:val="20"/>
          <w:color w:val="auto"/>
        </w:rPr>
      </w:pPr>
    </w:p>
    <w:p>
      <w:pPr>
        <w:jc w:val="both"/>
        <w:ind w:firstLine="656"/>
        <w:spacing w:after="0" w:line="249" w:lineRule="auto"/>
        <w:tabs>
          <w:tab w:leader="none" w:pos="1109" w:val="left"/>
        </w:tabs>
        <w:numPr>
          <w:ilvl w:val="0"/>
          <w:numId w:val="6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BASIC EMPLOYMENT AGREEMENT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Subject to the terms and pursuant to the conditions hereinafter set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forth, Employer hereby employs Employee during the Term hereinafter specified to serve in a executive capacity, under a title, and with such duties not inconsistent with those set forth in Section 3 of this Agreement, as the same may be modified and/or assigned to Employee by Employer from time to time; provided, however, that no change in Employee’s duties shall be permitted if it would result in a material reduction in the level of Employee’s duties as in effect prior to the change</w:t>
      </w:r>
    </w:p>
    <w:p>
      <w:pPr>
        <w:spacing w:after="0" w:line="221" w:lineRule="exact"/>
        <w:rPr>
          <w:rFonts w:ascii="Arial" w:cs="Arial" w:eastAsia="Arial" w:hAnsi="Arial"/>
          <w:sz w:val="22"/>
          <w:szCs w:val="22"/>
          <w:b w:val="1"/>
          <w:bCs w:val="1"/>
          <w:i w:val="1"/>
          <w:iCs w:val="1"/>
          <w:color w:val="auto"/>
        </w:rPr>
      </w:pPr>
    </w:p>
    <w:p>
      <w:pPr>
        <w:ind w:left="1080" w:hanging="424"/>
        <w:spacing w:after="0"/>
        <w:tabs>
          <w:tab w:leader="none" w:pos="1080" w:val="left"/>
        </w:tabs>
        <w:numPr>
          <w:ilvl w:val="0"/>
          <w:numId w:val="6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DUTIES OF EMPLOYEE</w:t>
      </w:r>
      <w:r>
        <w:rPr>
          <w:rFonts w:ascii="Arial" w:cs="Arial" w:eastAsia="Arial" w:hAnsi="Arial"/>
          <w:sz w:val="22"/>
          <w:szCs w:val="22"/>
          <w:b w:val="1"/>
          <w:bCs w:val="1"/>
          <w:i w:val="1"/>
          <w:iCs w:val="1"/>
          <w:color w:val="auto"/>
        </w:rPr>
        <w:t>.</w:t>
      </w:r>
    </w:p>
    <w:p>
      <w:pPr>
        <w:spacing w:after="0" w:line="286" w:lineRule="exact"/>
        <w:rPr>
          <w:rFonts w:ascii="Arial" w:cs="Arial" w:eastAsia="Arial" w:hAnsi="Arial"/>
          <w:sz w:val="22"/>
          <w:szCs w:val="22"/>
          <w:b w:val="1"/>
          <w:bCs w:val="1"/>
          <w:i w:val="1"/>
          <w:iCs w:val="1"/>
          <w:color w:val="auto"/>
        </w:rPr>
      </w:pPr>
    </w:p>
    <w:p>
      <w:pPr>
        <w:jc w:val="both"/>
        <w:ind w:left="660" w:firstLine="645"/>
        <w:spacing w:after="0" w:line="244" w:lineRule="auto"/>
        <w:tabs>
          <w:tab w:leader="none" w:pos="2221" w:val="left"/>
        </w:tabs>
        <w:numPr>
          <w:ilvl w:val="1"/>
          <w:numId w:val="62"/>
        </w:numPr>
        <w:rPr>
          <w:rFonts w:ascii="Arial" w:cs="Arial" w:eastAsia="Arial" w:hAnsi="Arial"/>
          <w:sz w:val="22"/>
          <w:szCs w:val="22"/>
          <w:color w:val="auto"/>
        </w:rPr>
      </w:pPr>
      <w:r>
        <w:rPr>
          <w:rFonts w:ascii="Arial" w:cs="Arial" w:eastAsia="Arial" w:hAnsi="Arial"/>
          <w:sz w:val="22"/>
          <w:szCs w:val="22"/>
          <w:color w:val="auto"/>
        </w:rPr>
        <w:t xml:space="preserve">Employee shall perform such duties assigned to Employee by Employer as are generally associated with the duties of </w:t>
      </w:r>
      <w:r>
        <w:rPr>
          <w:rFonts w:ascii="Arial" w:cs="Arial" w:eastAsia="Arial" w:hAnsi="Arial"/>
          <w:sz w:val="22"/>
          <w:szCs w:val="22"/>
          <w:b w:val="1"/>
          <w:bCs w:val="1"/>
          <w:color w:val="auto"/>
        </w:rPr>
        <w:t>Senior Vice President and Treasurer</w:t>
      </w:r>
      <w:r>
        <w:rPr>
          <w:rFonts w:ascii="Arial" w:cs="Arial" w:eastAsia="Arial" w:hAnsi="Arial"/>
          <w:sz w:val="22"/>
          <w:szCs w:val="22"/>
          <w:color w:val="auto"/>
        </w:rPr>
        <w:t xml:space="preserve"> for Employer or such similar duties as may be assigned to Employee by Employer as Employer may determine. Employee’s duties shall include, but not be limited to: (i) the efficient and continuous operation of Employer and its Affiliates; (ii) the preparation of relevant budgets and allocation of relevant funds; (iii) the selection and delegation of duties and responsibilities of subordinates; (iv) the direction, review and oversight of all programs and projects under Employee’s supervision; and (v) such other and further related duties as specifically assigned by Employer to Employee from time to time. The foregoing notwithstanding, Employee shall devote such time to Employer or its Affiliates as may be required by Employer, provided such duties are not inconsistent with Employee’s primary duties to Employer hereunder and that Employee is located in Las Vegas, Nevada.</w:t>
      </w:r>
    </w:p>
    <w:p>
      <w:pPr>
        <w:spacing w:after="0" w:line="250" w:lineRule="exact"/>
        <w:rPr>
          <w:rFonts w:ascii="Arial" w:cs="Arial" w:eastAsia="Arial" w:hAnsi="Arial"/>
          <w:sz w:val="22"/>
          <w:szCs w:val="22"/>
          <w:color w:val="auto"/>
        </w:rPr>
      </w:pPr>
    </w:p>
    <w:p>
      <w:pPr>
        <w:jc w:val="both"/>
        <w:ind w:left="660" w:right="20" w:firstLine="645"/>
        <w:spacing w:after="0" w:line="261" w:lineRule="auto"/>
        <w:tabs>
          <w:tab w:leader="none" w:pos="2221" w:val="left"/>
        </w:tabs>
        <w:numPr>
          <w:ilvl w:val="1"/>
          <w:numId w:val="62"/>
        </w:numPr>
        <w:rPr>
          <w:rFonts w:ascii="Arial" w:cs="Arial" w:eastAsia="Arial" w:hAnsi="Arial"/>
          <w:sz w:val="21"/>
          <w:szCs w:val="21"/>
          <w:color w:val="auto"/>
        </w:rPr>
      </w:pPr>
      <w:r>
        <w:rPr>
          <w:rFonts w:ascii="Arial" w:cs="Arial" w:eastAsia="Arial" w:hAnsi="Arial"/>
          <w:sz w:val="21"/>
          <w:szCs w:val="21"/>
          <w:color w:val="auto"/>
        </w:rPr>
        <w:t xml:space="preserve">On or about the six month anniversary of the Effective Date, Employer agrees to give Employee a performance review. Based on such review and Employer’s evaluation of Employee’s performance, Employer may elect to promote Employee to become the </w:t>
      </w:r>
      <w:r>
        <w:rPr>
          <w:rFonts w:ascii="Arial" w:cs="Arial" w:eastAsia="Arial" w:hAnsi="Arial"/>
          <w:sz w:val="21"/>
          <w:szCs w:val="21"/>
          <w:b w:val="1"/>
          <w:bCs w:val="1"/>
          <w:color w:val="auto"/>
        </w:rPr>
        <w:t>Chief Financial Officer</w:t>
      </w:r>
      <w:r>
        <w:rPr>
          <w:rFonts w:ascii="Arial" w:cs="Arial" w:eastAsia="Arial" w:hAnsi="Arial"/>
          <w:sz w:val="21"/>
          <w:szCs w:val="21"/>
          <w:color w:val="auto"/>
        </w:rPr>
        <w:t xml:space="preserve"> of Employer. If Employee is promoted to Chief Financial Officer of the Employer, the terms of this Agreement shall be modified as follows:</w:t>
      </w:r>
    </w:p>
    <w:p>
      <w:pPr>
        <w:spacing w:after="0" w:line="233" w:lineRule="exact"/>
        <w:rPr>
          <w:sz w:val="20"/>
          <w:szCs w:val="20"/>
          <w:color w:val="auto"/>
        </w:rPr>
      </w:pPr>
    </w:p>
    <w:p>
      <w:pPr>
        <w:ind w:left="1300" w:right="20" w:firstLine="653"/>
        <w:spacing w:after="0" w:line="249" w:lineRule="auto"/>
        <w:tabs>
          <w:tab w:leader="none" w:pos="2777"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Duties</w:t>
      </w:r>
      <w:r>
        <w:rPr>
          <w:rFonts w:ascii="Arial" w:cs="Arial" w:eastAsia="Arial" w:hAnsi="Arial"/>
          <w:sz w:val="22"/>
          <w:szCs w:val="22"/>
          <w:color w:val="auto"/>
        </w:rPr>
        <w:t>. Employee shall perform such duties assigned to Employee by Employer as are generally associated with the duties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877" w:right="239" w:bottom="1440" w:gutter="0" w:footer="0" w:header="0"/>
        </w:sectPr>
      </w:pPr>
    </w:p>
    <w:bookmarkStart w:id="86" w:name="page87"/>
    <w:bookmarkEnd w:id="86"/>
    <w:p>
      <w:pPr>
        <w:jc w:val="both"/>
        <w:ind w:left="1300"/>
        <w:spacing w:after="0" w:line="245" w:lineRule="auto"/>
        <w:rPr>
          <w:sz w:val="20"/>
          <w:szCs w:val="20"/>
          <w:color w:val="auto"/>
        </w:rPr>
      </w:pPr>
      <w:r>
        <w:rPr>
          <w:rFonts w:ascii="Arial" w:cs="Arial" w:eastAsia="Arial" w:hAnsi="Arial"/>
          <w:sz w:val="22"/>
          <w:szCs w:val="22"/>
          <w:color w:val="auto"/>
        </w:rPr>
        <w:t>of Chief Financial Officer for Employer or such similar duties as may be assigned to Employee by Employer as Employer may determine. The foregoing notwithstanding, Employee shall devote such time to Employer or its Affiliates as may be required by Employer, provided such duties are not inconsistent with Employee’s primary duties to Employer hereunder.</w:t>
      </w:r>
    </w:p>
    <w:p>
      <w:pPr>
        <w:spacing w:after="0" w:line="250" w:lineRule="exact"/>
        <w:rPr>
          <w:sz w:val="20"/>
          <w:szCs w:val="20"/>
          <w:color w:val="auto"/>
        </w:rPr>
      </w:pPr>
    </w:p>
    <w:p>
      <w:pPr>
        <w:jc w:val="both"/>
        <w:ind w:left="1300" w:firstLine="653"/>
        <w:spacing w:after="0" w:line="246" w:lineRule="auto"/>
        <w:tabs>
          <w:tab w:leader="none" w:pos="2777" w:val="left"/>
        </w:tabs>
        <w:numPr>
          <w:ilvl w:val="1"/>
          <w:numId w:val="64"/>
        </w:numPr>
        <w:rPr>
          <w:rFonts w:ascii="Arial" w:cs="Arial" w:eastAsia="Arial" w:hAnsi="Arial"/>
          <w:sz w:val="22"/>
          <w:szCs w:val="22"/>
          <w:color w:val="auto"/>
        </w:rPr>
      </w:pPr>
      <w:r>
        <w:rPr>
          <w:rFonts w:ascii="Arial" w:cs="Arial" w:eastAsia="Arial" w:hAnsi="Arial"/>
          <w:sz w:val="22"/>
          <w:szCs w:val="22"/>
          <w:u w:val="single" w:color="auto"/>
          <w:color w:val="auto"/>
        </w:rPr>
        <w:t>Base Salary</w:t>
      </w:r>
      <w:r>
        <w:rPr>
          <w:rFonts w:ascii="Arial" w:cs="Arial" w:eastAsia="Arial" w:hAnsi="Arial"/>
          <w:sz w:val="22"/>
          <w:szCs w:val="22"/>
          <w:color w:val="auto"/>
        </w:rPr>
        <w:t>. Employee’s Base Salary, as defined in Section 7(a), shall be increased to Six Hundred Twenty-Five Thousand Dollars ($625,000.00) subject to the withholdings described in Section 7(h).</w:t>
      </w:r>
    </w:p>
    <w:p>
      <w:pPr>
        <w:spacing w:after="0" w:line="248" w:lineRule="exact"/>
        <w:rPr>
          <w:rFonts w:ascii="Arial" w:cs="Arial" w:eastAsia="Arial" w:hAnsi="Arial"/>
          <w:sz w:val="22"/>
          <w:szCs w:val="22"/>
          <w:color w:val="auto"/>
        </w:rPr>
      </w:pPr>
    </w:p>
    <w:p>
      <w:pPr>
        <w:jc w:val="both"/>
        <w:ind w:left="1300" w:firstLine="653"/>
        <w:spacing w:after="0" w:line="246" w:lineRule="auto"/>
        <w:tabs>
          <w:tab w:leader="none" w:pos="2764" w:val="left"/>
        </w:tabs>
        <w:numPr>
          <w:ilvl w:val="1"/>
          <w:numId w:val="64"/>
        </w:numPr>
        <w:rPr>
          <w:rFonts w:ascii="Arial" w:cs="Arial" w:eastAsia="Arial" w:hAnsi="Arial"/>
          <w:sz w:val="22"/>
          <w:szCs w:val="22"/>
          <w:color w:val="auto"/>
        </w:rPr>
      </w:pPr>
      <w:r>
        <w:rPr>
          <w:rFonts w:ascii="Arial" w:cs="Arial" w:eastAsia="Arial" w:hAnsi="Arial"/>
          <w:sz w:val="22"/>
          <w:szCs w:val="22"/>
          <w:u w:val="single" w:color="auto"/>
          <w:color w:val="auto"/>
        </w:rPr>
        <w:t>Bonus Compensation</w:t>
      </w:r>
      <w:r>
        <w:rPr>
          <w:rFonts w:ascii="Arial" w:cs="Arial" w:eastAsia="Arial" w:hAnsi="Arial"/>
          <w:sz w:val="22"/>
          <w:szCs w:val="22"/>
          <w:color w:val="auto"/>
        </w:rPr>
        <w:t>. Employee will be eligible to receive a target annual bonus of 100% of the annual Base Salary received by Employee during the applicable year, all in accordance with the terms and conditions set by Employer subject to the withholdings described in Section 7(h).</w:t>
      </w:r>
    </w:p>
    <w:p>
      <w:pPr>
        <w:spacing w:after="0" w:line="248" w:lineRule="exact"/>
        <w:rPr>
          <w:rFonts w:ascii="Arial" w:cs="Arial" w:eastAsia="Arial" w:hAnsi="Arial"/>
          <w:sz w:val="22"/>
          <w:szCs w:val="22"/>
          <w:color w:val="auto"/>
        </w:rPr>
      </w:pPr>
    </w:p>
    <w:p>
      <w:pPr>
        <w:ind w:left="2780" w:hanging="827"/>
        <w:spacing w:after="0"/>
        <w:tabs>
          <w:tab w:leader="none" w:pos="2780" w:val="left"/>
        </w:tabs>
        <w:numPr>
          <w:ilvl w:val="1"/>
          <w:numId w:val="64"/>
        </w:numPr>
        <w:rPr>
          <w:rFonts w:ascii="Arial" w:cs="Arial" w:eastAsia="Arial" w:hAnsi="Arial"/>
          <w:sz w:val="22"/>
          <w:szCs w:val="22"/>
          <w:color w:val="auto"/>
        </w:rPr>
      </w:pPr>
      <w:r>
        <w:rPr>
          <w:rFonts w:ascii="Arial" w:cs="Arial" w:eastAsia="Arial" w:hAnsi="Arial"/>
          <w:sz w:val="22"/>
          <w:szCs w:val="22"/>
          <w:u w:val="single" w:color="auto"/>
          <w:color w:val="auto"/>
        </w:rPr>
        <w:t>Separation Payment</w:t>
      </w:r>
      <w:r>
        <w:rPr>
          <w:rFonts w:ascii="Arial" w:cs="Arial" w:eastAsia="Arial" w:hAnsi="Arial"/>
          <w:sz w:val="22"/>
          <w:szCs w:val="22"/>
          <w:color w:val="auto"/>
        </w:rPr>
        <w:t>. The definition of “Separation Payment” shall be amended to mean</w:t>
      </w:r>
    </w:p>
    <w:p>
      <w:pPr>
        <w:spacing w:after="0" w:line="3" w:lineRule="exact"/>
        <w:rPr>
          <w:rFonts w:ascii="Arial" w:cs="Arial" w:eastAsia="Arial" w:hAnsi="Arial"/>
          <w:sz w:val="22"/>
          <w:szCs w:val="22"/>
          <w:color w:val="auto"/>
        </w:rPr>
      </w:pPr>
    </w:p>
    <w:p>
      <w:pPr>
        <w:jc w:val="both"/>
        <w:ind w:left="1300"/>
        <w:spacing w:after="0" w:line="245" w:lineRule="auto"/>
        <w:rPr>
          <w:rFonts w:ascii="Arial" w:cs="Arial" w:eastAsia="Arial" w:hAnsi="Arial"/>
          <w:sz w:val="22"/>
          <w:szCs w:val="22"/>
          <w:color w:val="auto"/>
        </w:rPr>
      </w:pPr>
      <w:r>
        <w:rPr>
          <w:rFonts w:ascii="Arial" w:cs="Arial" w:eastAsia="Arial" w:hAnsi="Arial"/>
          <w:sz w:val="22"/>
          <w:szCs w:val="22"/>
          <w:color w:val="auto"/>
        </w:rPr>
        <w:t>the following: a lump sum equal to (A) 12 months of Employee’s Base Salary (as defined in Subparagraph 8(a) of this Agreement), plus (B) the bonus that was paid to Employee under Section 7(b) for the preceding bonus period, plus (C) any accrued but unpaid vacation pay, less deductions of all applicable taxes and withholdings</w:t>
      </w:r>
    </w:p>
    <w:p>
      <w:pPr>
        <w:spacing w:after="0" w:line="224" w:lineRule="exact"/>
        <w:rPr>
          <w:rFonts w:ascii="Arial" w:cs="Arial" w:eastAsia="Arial" w:hAnsi="Arial"/>
          <w:sz w:val="22"/>
          <w:szCs w:val="22"/>
          <w:color w:val="auto"/>
        </w:rPr>
      </w:pPr>
    </w:p>
    <w:p>
      <w:pPr>
        <w:jc w:val="both"/>
        <w:ind w:firstLine="656"/>
        <w:spacing w:after="0" w:line="249" w:lineRule="auto"/>
        <w:tabs>
          <w:tab w:leader="none" w:pos="1177" w:val="left"/>
        </w:tabs>
        <w:numPr>
          <w:ilvl w:val="0"/>
          <w:numId w:val="65"/>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ACCEPTANCE OF EMPLOYMENT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Employee hereby unconditionally accepts the employment set forth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hereunder, under the terms and pursuant to the conditions set forth in this Agreement. Employee hereby covenants and agrees that, during the Term, Employee will devote the whole of Employee’s normal and customary working time and best efforts solely to the performance of Employee’s duties under this Agreement and that, except upon Employer’s prior express written authorization to that effect, Employee shall not perform any services for any casino, hotel/casino or other similar gaming or gambling operation not owned by Employer or any of Employer’s Affiliates.</w:t>
      </w:r>
    </w:p>
    <w:p>
      <w:pPr>
        <w:spacing w:after="0" w:line="24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Employee represents and warrants to Employer that the execution and delivery of this Agreement and the performance of the Employee’s duties hereunder shall not violate the terms or conditions of any employment contract or any other agreement to which Employee is a party.</w:t>
      </w:r>
    </w:p>
    <w:p>
      <w:pPr>
        <w:spacing w:after="0" w:line="223" w:lineRule="exact"/>
        <w:rPr>
          <w:sz w:val="20"/>
          <w:szCs w:val="20"/>
          <w:color w:val="auto"/>
        </w:rPr>
      </w:pPr>
    </w:p>
    <w:p>
      <w:pPr>
        <w:ind w:left="1080" w:hanging="424"/>
        <w:spacing w:after="0"/>
        <w:tabs>
          <w:tab w:leader="none" w:pos="1080" w:val="left"/>
        </w:tabs>
        <w:numPr>
          <w:ilvl w:val="0"/>
          <w:numId w:val="66"/>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TERM</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This Agreement shall be effective as of the Execution Date.</w:t>
      </w:r>
    </w:p>
    <w:p>
      <w:pPr>
        <w:spacing w:after="0" w:line="26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color w:val="auto"/>
        </w:rPr>
        <w:t>Unless sooner terminated as provided in this Agreement, the term of this Agreement (the “</w:t>
      </w:r>
      <w:r>
        <w:rPr>
          <w:rFonts w:ascii="Arial" w:cs="Arial" w:eastAsia="Arial" w:hAnsi="Arial"/>
          <w:sz w:val="22"/>
          <w:szCs w:val="22"/>
          <w:b w:val="1"/>
          <w:bCs w:val="1"/>
          <w:color w:val="auto"/>
        </w:rPr>
        <w:t>Term</w:t>
      </w:r>
      <w:r>
        <w:rPr>
          <w:rFonts w:ascii="Arial" w:cs="Arial" w:eastAsia="Arial" w:hAnsi="Arial"/>
          <w:sz w:val="22"/>
          <w:szCs w:val="22"/>
          <w:color w:val="auto"/>
        </w:rPr>
        <w:t>”) shall commence on the Effective Date of this Agreement and shall terminate on the third Anniversary of the Effective Date at which time the terms of this Agreement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903" w:right="239" w:bottom="1440" w:gutter="0" w:footer="0" w:header="0"/>
        </w:sectPr>
      </w:pPr>
    </w:p>
    <w:bookmarkStart w:id="87" w:name="page88"/>
    <w:bookmarkEnd w:id="87"/>
    <w:p>
      <w:pPr>
        <w:jc w:val="both"/>
        <w:spacing w:after="0" w:line="245" w:lineRule="auto"/>
        <w:rPr>
          <w:sz w:val="20"/>
          <w:szCs w:val="20"/>
          <w:color w:val="auto"/>
        </w:rPr>
      </w:pPr>
      <w:r>
        <w:rPr>
          <w:rFonts w:ascii="Arial" w:cs="Arial" w:eastAsia="Arial" w:hAnsi="Arial"/>
          <w:sz w:val="22"/>
          <w:szCs w:val="22"/>
          <w:color w:val="auto"/>
        </w:rPr>
        <w:t>shall expire and shall not apply to any continued employment of Employee by Employer, except for those obligations under Paragraphs 9 and 10. Following the Term, unless the parties enter into a new written contract of employment, (a) any continued employment of Employee shall be at-will, (b) any or all of the other terms and conditions of Employee’s employment may be changed by Employer at its discretion, with or without notice, and (c) the employment relationship may be terminated at any time by either party, with or without cause or notice.</w:t>
      </w:r>
    </w:p>
    <w:p>
      <w:pPr>
        <w:spacing w:after="0" w:line="248"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Concurrent with Employee’s resignation from Employer or upon the termination of Employee’s employment with Employer, Employee agrees to resign, and shall be deemed to have resigned, all other positions (including but not limited to board of director memberships and position with affiliated companies) that Employee may have held immediately prior to Employee’s resignation or termination.</w:t>
      </w:r>
    </w:p>
    <w:p>
      <w:pPr>
        <w:spacing w:after="0" w:line="22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2"/>
          <w:szCs w:val="22"/>
          <w:b w:val="1"/>
          <w:bCs w:val="1"/>
          <w:color w:val="auto"/>
        </w:rPr>
        <w:t>6</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u w:val="single" w:color="auto"/>
          <w:color w:val="auto"/>
        </w:rPr>
        <w:t>SPECIAL TERMINATION PROVISIONS</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the provisions of Section 5, this Agreement shall</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 upon the occurrence of any of the following events:</w:t>
      </w:r>
    </w:p>
    <w:p>
      <w:pPr>
        <w:spacing w:after="0" w:line="218" w:lineRule="exact"/>
        <w:rPr>
          <w:sz w:val="20"/>
          <w:szCs w:val="20"/>
          <w:color w:val="auto"/>
        </w:rPr>
      </w:pPr>
    </w:p>
    <w:p>
      <w:pPr>
        <w:ind w:left="1800" w:hanging="495"/>
        <w:spacing w:after="0"/>
        <w:tabs>
          <w:tab w:leader="none" w:pos="1800"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death of Employee;</w:t>
      </w:r>
    </w:p>
    <w:p>
      <w:pPr>
        <w:spacing w:after="0" w:line="260" w:lineRule="exact"/>
        <w:rPr>
          <w:rFonts w:ascii="Arial" w:cs="Arial" w:eastAsia="Arial" w:hAnsi="Arial"/>
          <w:sz w:val="22"/>
          <w:szCs w:val="22"/>
          <w:color w:val="auto"/>
        </w:rPr>
      </w:pPr>
    </w:p>
    <w:p>
      <w:pPr>
        <w:ind w:left="660" w:firstLine="645"/>
        <w:spacing w:after="0" w:line="249" w:lineRule="auto"/>
        <w:tabs>
          <w:tab w:leader="none" w:pos="1813"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giving of written notice from Employer to Employee of the termination of this Agreement upon the Complete Disability of Employee;</w:t>
      </w:r>
    </w:p>
    <w:p>
      <w:pPr>
        <w:spacing w:after="0" w:line="244" w:lineRule="exact"/>
        <w:rPr>
          <w:rFonts w:ascii="Arial" w:cs="Arial" w:eastAsia="Arial" w:hAnsi="Arial"/>
          <w:sz w:val="22"/>
          <w:szCs w:val="22"/>
          <w:color w:val="auto"/>
        </w:rPr>
      </w:pPr>
    </w:p>
    <w:p>
      <w:pPr>
        <w:jc w:val="both"/>
        <w:ind w:left="660" w:firstLine="645"/>
        <w:spacing w:after="0" w:line="246" w:lineRule="auto"/>
        <w:tabs>
          <w:tab w:leader="none" w:pos="2209"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giving of written notice by Employer to Employee of the termination of this Agreement upon the discharge of Employee for Cause (Employer’s right to terminate for Cause (as defined in Section 1(c) shall survive the expiration of this Agreement);</w:t>
      </w:r>
    </w:p>
    <w:p>
      <w:pPr>
        <w:spacing w:after="0" w:line="248" w:lineRule="exact"/>
        <w:rPr>
          <w:rFonts w:ascii="Arial" w:cs="Arial" w:eastAsia="Arial" w:hAnsi="Arial"/>
          <w:sz w:val="22"/>
          <w:szCs w:val="22"/>
          <w:color w:val="auto"/>
        </w:rPr>
      </w:pPr>
    </w:p>
    <w:p>
      <w:pPr>
        <w:jc w:val="both"/>
        <w:ind w:left="660" w:firstLine="645"/>
        <w:spacing w:after="0" w:line="246" w:lineRule="auto"/>
        <w:tabs>
          <w:tab w:leader="none" w:pos="1815"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giving of written notice by Employer to Employee of the termination of this Agreement following a disapproval of this Agreement or the denial, suspension, limitation or revocation of Employee’s License (as defined in Subsection 8(b) of this Agreement);</w:t>
      </w:r>
    </w:p>
    <w:p>
      <w:pPr>
        <w:spacing w:after="0" w:line="248" w:lineRule="exact"/>
        <w:rPr>
          <w:rFonts w:ascii="Arial" w:cs="Arial" w:eastAsia="Arial" w:hAnsi="Arial"/>
          <w:sz w:val="22"/>
          <w:szCs w:val="22"/>
          <w:color w:val="auto"/>
        </w:rPr>
      </w:pPr>
    </w:p>
    <w:p>
      <w:pPr>
        <w:jc w:val="both"/>
        <w:ind w:left="660" w:firstLine="645"/>
        <w:spacing w:after="0" w:line="264" w:lineRule="auto"/>
        <w:tabs>
          <w:tab w:leader="none" w:pos="1880" w:val="left"/>
        </w:tabs>
        <w:numPr>
          <w:ilvl w:val="0"/>
          <w:numId w:val="67"/>
        </w:numPr>
        <w:rPr>
          <w:rFonts w:ascii="Arial" w:cs="Arial" w:eastAsia="Arial" w:hAnsi="Arial"/>
          <w:sz w:val="21"/>
          <w:szCs w:val="21"/>
          <w:color w:val="auto"/>
        </w:rPr>
      </w:pPr>
      <w:r>
        <w:rPr>
          <w:rFonts w:ascii="Arial" w:cs="Arial" w:eastAsia="Arial" w:hAnsi="Arial"/>
          <w:sz w:val="21"/>
          <w:szCs w:val="21"/>
          <w:color w:val="auto"/>
        </w:rPr>
        <w:t>at Employee’s sole election in writing as provided in Paragraph 17 of this Agreement, after both a Change of Control and as a result of Good Reason, provided, however, that, within ten (10) calendar days after Employer’s receipt of Employee’s written election, Employer must tender the Separation Payment to Employee.</w:t>
      </w:r>
    </w:p>
    <w:p>
      <w:pPr>
        <w:spacing w:after="0" w:line="229" w:lineRule="exact"/>
        <w:rPr>
          <w:rFonts w:ascii="Arial" w:cs="Arial" w:eastAsia="Arial" w:hAnsi="Arial"/>
          <w:sz w:val="21"/>
          <w:szCs w:val="21"/>
          <w:color w:val="auto"/>
        </w:rPr>
      </w:pPr>
    </w:p>
    <w:p>
      <w:pPr>
        <w:jc w:val="both"/>
        <w:ind w:left="660" w:firstLine="645"/>
        <w:spacing w:after="0" w:line="261" w:lineRule="auto"/>
        <w:tabs>
          <w:tab w:leader="none" w:pos="1820" w:val="left"/>
        </w:tabs>
        <w:numPr>
          <w:ilvl w:val="0"/>
          <w:numId w:val="67"/>
        </w:numPr>
        <w:rPr>
          <w:rFonts w:ascii="Arial" w:cs="Arial" w:eastAsia="Arial" w:hAnsi="Arial"/>
          <w:sz w:val="21"/>
          <w:szCs w:val="21"/>
          <w:color w:val="auto"/>
        </w:rPr>
      </w:pPr>
      <w:r>
        <w:rPr>
          <w:rFonts w:ascii="Arial" w:cs="Arial" w:eastAsia="Arial" w:hAnsi="Arial"/>
          <w:sz w:val="21"/>
          <w:szCs w:val="21"/>
          <w:color w:val="auto"/>
        </w:rPr>
        <w:t>the giving of written notice by Employee to Employer upon a material breach of this Agreement by Employer, which material breach remains uncured for a period of thirty (30) days after the giving of such notice provided, however, that, within ten (10) calendar days after the expiration of such cure period without the cure having been effected, Employer must tender the Separation Payment to Employee. “Material breach” under this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903" w:right="239" w:bottom="1440" w:gutter="0" w:footer="0" w:header="0"/>
        </w:sectPr>
      </w:pPr>
    </w:p>
    <w:bookmarkStart w:id="88" w:name="page89"/>
    <w:bookmarkEnd w:id="88"/>
    <w:p>
      <w:pPr>
        <w:jc w:val="both"/>
        <w:ind w:left="660"/>
        <w:spacing w:after="0" w:line="246" w:lineRule="auto"/>
        <w:rPr>
          <w:sz w:val="20"/>
          <w:szCs w:val="20"/>
          <w:color w:val="auto"/>
        </w:rPr>
      </w:pPr>
      <w:r>
        <w:rPr>
          <w:rFonts w:ascii="Arial" w:cs="Arial" w:eastAsia="Arial" w:hAnsi="Arial"/>
          <w:sz w:val="22"/>
          <w:szCs w:val="22"/>
          <w:color w:val="auto"/>
        </w:rPr>
        <w:t>Section 6(g) shall not be construed to include temporary suspension of the Employee from duty, pursuant to Employer’s policy, pending investigation by Employer of any incident or occurrence that could give rise to discipline or termination of employment; or</w:t>
      </w:r>
    </w:p>
    <w:p>
      <w:pPr>
        <w:spacing w:after="0" w:line="249" w:lineRule="exact"/>
        <w:rPr>
          <w:sz w:val="20"/>
          <w:szCs w:val="20"/>
          <w:color w:val="auto"/>
        </w:rPr>
      </w:pPr>
    </w:p>
    <w:p>
      <w:pPr>
        <w:jc w:val="both"/>
        <w:ind w:left="660" w:firstLine="645"/>
        <w:spacing w:after="0" w:line="255" w:lineRule="auto"/>
        <w:tabs>
          <w:tab w:leader="none" w:pos="1900" w:val="left"/>
        </w:tabs>
        <w:numPr>
          <w:ilvl w:val="0"/>
          <w:numId w:val="68"/>
        </w:numPr>
        <w:rPr>
          <w:rFonts w:ascii="Arial" w:cs="Arial" w:eastAsia="Arial" w:hAnsi="Arial"/>
          <w:sz w:val="21"/>
          <w:szCs w:val="21"/>
          <w:color w:val="auto"/>
        </w:rPr>
      </w:pPr>
      <w:r>
        <w:rPr>
          <w:rFonts w:ascii="Arial" w:cs="Arial" w:eastAsia="Arial" w:hAnsi="Arial"/>
          <w:sz w:val="21"/>
          <w:szCs w:val="21"/>
          <w:color w:val="auto"/>
        </w:rPr>
        <w:t>the giving of written two week notice by Employer to Employee of Employer’s intention to terminate this Agreement Without Cause for any reason deemed sufficient by Employer at the end of such two week period. During such two week notice period, Employer shall be permitted to reduce Employee’s responsibilities and time commitment to Employer; provided however, Employer may not reduce Employee’s salary or benefits during such two-week period. At the end of such two week period, Employee shall cease to be an employee of the Employer and this Agreement shall automatically terminate. Upon receipt of such notice, Employee shall have the option to resign Employee’s employment effective as of the date of the notice, rather than remain employed through such two week period. If Employee elects to resign in lieu of termination, Employee must exercise this option in writing within 72 hours of receipt of the Employer’s notice of intention to terminate the Agreement Without Cause. Employee’s written resignation in lieu of termination must be transmitted to Employer by email or hand delivery. In the event Employee elects to resign pursuant to this Section 6(g), Employer’s sole liability to Employee shall be the payment of the Severance Payment. Employee shall not be entitled to payment of the Severance Payment unless and until Employee first executes a written release-severance agreement, prepared and presented by Employer, that fully releases Employer, Affiliates, and their officers, directors, agents and employees, from any and all claims or causes of action, whether based upon statute, contract (including without limitation breach or construction of this Agreement), or common law, that have arisen as of the date of such execution, irrespective of whether Employee has knowledge of the existence of such claim; and provides for the confidentiality of both the terms of the release-severance agreement and the compensation paid. In the event Employee fails or refuses to execute such release-severance agreement, Employer shall have no further obligation to Employee other than payment of all accrued but unpaid Base Salary through the date Employee last performs services for Employer vacation pay accrued but unpaid and expenses incurred but not reimbursed through the termination date; specifically, in such event, Employee shall not be entitled to any benefits pursuant to any severance plan in effect by Employer or any of its Affiliates.</w:t>
      </w:r>
    </w:p>
    <w:p>
      <w:pPr>
        <w:spacing w:after="0" w:line="257"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In the event of a termination of this Agreement pursuant to the provisions of Subsection 6(a), (b), (c) or (d), Employer shall not be required to make any payments to Employee other than payment of Base Salary and vacation pay accrued but unpaid and expenses incurred but not reimbursed through the termination date; specifically, in such event, Employee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903" w:right="239" w:bottom="1440" w:gutter="0" w:footer="0" w:header="0"/>
        </w:sectPr>
      </w:pPr>
    </w:p>
    <w:bookmarkStart w:id="89" w:name="page90"/>
    <w:bookmarkEnd w:id="89"/>
    <w:p>
      <w:pPr>
        <w:spacing w:after="0"/>
        <w:rPr>
          <w:sz w:val="20"/>
          <w:szCs w:val="20"/>
          <w:color w:val="auto"/>
        </w:rPr>
      </w:pPr>
      <w:r>
        <w:rPr>
          <w:rFonts w:ascii="Arial" w:cs="Arial" w:eastAsia="Arial" w:hAnsi="Arial"/>
          <w:sz w:val="22"/>
          <w:szCs w:val="22"/>
          <w:color w:val="auto"/>
        </w:rPr>
        <w:t>shall not be entitled to any benefits pursuant to any severance plan in effect by Employer or any of its Affiliates.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656"/>
        <w:spacing w:after="0" w:line="276" w:lineRule="auto"/>
        <w:tabs>
          <w:tab w:leader="none" w:pos="1244" w:val="left"/>
        </w:tabs>
        <w:numPr>
          <w:ilvl w:val="0"/>
          <w:numId w:val="69"/>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u w:val="single" w:color="auto"/>
          <w:color w:val="auto"/>
        </w:rPr>
        <w:t>COMPENSATION TO EMPLOYEE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For and in complete consideration of Employee's full and faithful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performance of Employee’s duties under this Agreement, Employer hereby covenants and agrees to pay to Employee, and Employee hereby covenants and agrees to accept from Employer, the following items of compensation:</w:t>
      </w:r>
    </w:p>
    <w:p>
      <w:pPr>
        <w:spacing w:after="0" w:line="193" w:lineRule="exact"/>
        <w:rPr>
          <w:rFonts w:ascii="Arial" w:cs="Arial" w:eastAsia="Arial" w:hAnsi="Arial"/>
          <w:sz w:val="21"/>
          <w:szCs w:val="21"/>
          <w:b w:val="1"/>
          <w:bCs w:val="1"/>
          <w:i w:val="1"/>
          <w:iCs w:val="1"/>
          <w:color w:val="auto"/>
        </w:rPr>
      </w:pPr>
    </w:p>
    <w:p>
      <w:pPr>
        <w:jc w:val="both"/>
        <w:ind w:left="660" w:firstLine="645"/>
        <w:spacing w:after="0" w:line="261" w:lineRule="auto"/>
        <w:tabs>
          <w:tab w:leader="none" w:pos="1880" w:val="left"/>
        </w:tabs>
        <w:numPr>
          <w:ilvl w:val="1"/>
          <w:numId w:val="69"/>
        </w:numPr>
        <w:rPr>
          <w:rFonts w:ascii="Arial" w:cs="Arial" w:eastAsia="Arial" w:hAnsi="Arial"/>
          <w:sz w:val="21"/>
          <w:szCs w:val="21"/>
          <w:color w:val="auto"/>
        </w:rPr>
      </w:pPr>
      <w:r>
        <w:rPr>
          <w:rFonts w:ascii="Arial" w:cs="Arial" w:eastAsia="Arial" w:hAnsi="Arial"/>
          <w:sz w:val="21"/>
          <w:szCs w:val="21"/>
          <w:b w:val="1"/>
          <w:bCs w:val="1"/>
          <w:u w:val="single" w:color="auto"/>
          <w:color w:val="auto"/>
        </w:rPr>
        <w:t>Base Salary</w:t>
      </w:r>
      <w:r>
        <w:rPr>
          <w:rFonts w:ascii="Arial" w:cs="Arial" w:eastAsia="Arial" w:hAnsi="Arial"/>
          <w:sz w:val="21"/>
          <w:szCs w:val="21"/>
          <w:b w:val="1"/>
          <w:bCs w:val="1"/>
          <w:color w:val="auto"/>
        </w:rPr>
        <w:t xml:space="preserve">. </w:t>
      </w:r>
      <w:r>
        <w:rPr>
          <w:rFonts w:ascii="Arial" w:cs="Arial" w:eastAsia="Arial" w:hAnsi="Arial"/>
          <w:sz w:val="21"/>
          <w:szCs w:val="21"/>
          <w:color w:val="auto"/>
        </w:rPr>
        <w:t>Employer hereby covenants and agrees to pay to Employee, and Employee hereby</w:t>
      </w:r>
      <w:r>
        <w:rPr>
          <w:rFonts w:ascii="Arial" w:cs="Arial" w:eastAsia="Arial" w:hAnsi="Arial"/>
          <w:sz w:val="21"/>
          <w:szCs w:val="21"/>
          <w:b w:val="1"/>
          <w:bCs w:val="1"/>
          <w:color w:val="auto"/>
        </w:rPr>
        <w:t xml:space="preserve"> </w:t>
      </w:r>
      <w:r>
        <w:rPr>
          <w:rFonts w:ascii="Arial" w:cs="Arial" w:eastAsia="Arial" w:hAnsi="Arial"/>
          <w:sz w:val="21"/>
          <w:szCs w:val="21"/>
          <w:color w:val="auto"/>
        </w:rPr>
        <w:t>covenants and agrees to accept from Employer, a base salary at the rate of Five Hundred Seventy-Five Thousand Dollars ($575,000.00) per annum, payable in such installments as shall be convenient to Employer (the “</w:t>
      </w:r>
      <w:r>
        <w:rPr>
          <w:rFonts w:ascii="Arial" w:cs="Arial" w:eastAsia="Arial" w:hAnsi="Arial"/>
          <w:sz w:val="21"/>
          <w:szCs w:val="21"/>
          <w:b w:val="1"/>
          <w:bCs w:val="1"/>
          <w:color w:val="auto"/>
        </w:rPr>
        <w:t>Base Salary”</w:t>
      </w:r>
      <w:r>
        <w:rPr>
          <w:rFonts w:ascii="Arial" w:cs="Arial" w:eastAsia="Arial" w:hAnsi="Arial"/>
          <w:sz w:val="21"/>
          <w:szCs w:val="21"/>
          <w:color w:val="auto"/>
        </w:rPr>
        <w:t>). Employee shall be subject to performance reviews and the Base Salary may be increased but not decreased as a result of any such review. Such Base Salary shall be exclusive of and in addition to any other benefits which Employer, in its sole discretion, may make available to Employee, including, but not limited to, any discretionary bonus, profit sharing plan, pension plan, retirement plan, disability or life insurance plan, medical and/or hospitalization plan, or any and all other benefit plans which may be in effect during the Term.</w:t>
      </w:r>
    </w:p>
    <w:p>
      <w:pPr>
        <w:spacing w:after="0" w:line="208" w:lineRule="exact"/>
        <w:rPr>
          <w:rFonts w:ascii="Arial" w:cs="Arial" w:eastAsia="Arial" w:hAnsi="Arial"/>
          <w:sz w:val="21"/>
          <w:szCs w:val="21"/>
          <w:color w:val="auto"/>
        </w:rPr>
      </w:pPr>
    </w:p>
    <w:p>
      <w:pPr>
        <w:jc w:val="both"/>
        <w:ind w:left="660" w:firstLine="645"/>
        <w:spacing w:after="0" w:line="251" w:lineRule="auto"/>
        <w:tabs>
          <w:tab w:leader="none" w:pos="2869" w:val="left"/>
        </w:tabs>
        <w:numPr>
          <w:ilvl w:val="1"/>
          <w:numId w:val="69"/>
        </w:numPr>
        <w:rPr>
          <w:rFonts w:ascii="Arial" w:cs="Arial" w:eastAsia="Arial" w:hAnsi="Arial"/>
          <w:sz w:val="22"/>
          <w:szCs w:val="22"/>
          <w:color w:val="auto"/>
        </w:rPr>
      </w:pPr>
      <w:r>
        <w:rPr>
          <w:rFonts w:ascii="Arial" w:cs="Arial" w:eastAsia="Arial" w:hAnsi="Arial"/>
          <w:sz w:val="22"/>
          <w:szCs w:val="22"/>
          <w:b w:val="1"/>
          <w:bCs w:val="1"/>
          <w:u w:val="single" w:color="auto"/>
          <w:color w:val="auto"/>
        </w:rPr>
        <w:t>Bonus Compensation</w:t>
      </w:r>
      <w:r>
        <w:rPr>
          <w:rFonts w:ascii="Arial" w:cs="Arial" w:eastAsia="Arial" w:hAnsi="Arial"/>
          <w:sz w:val="22"/>
          <w:szCs w:val="22"/>
          <w:b w:val="1"/>
          <w:bCs w:val="1"/>
          <w:color w:val="auto"/>
        </w:rPr>
        <w:t xml:space="preserve">. </w:t>
      </w:r>
      <w:r>
        <w:rPr>
          <w:rFonts w:ascii="Arial" w:cs="Arial" w:eastAsia="Arial" w:hAnsi="Arial"/>
          <w:sz w:val="22"/>
          <w:szCs w:val="22"/>
          <w:color w:val="auto"/>
        </w:rPr>
        <w:t>Commencing in 2014, Employee will be eligible to receive a</w:t>
      </w:r>
      <w:r>
        <w:rPr>
          <w:rFonts w:ascii="Arial" w:cs="Arial" w:eastAsia="Arial" w:hAnsi="Arial"/>
          <w:sz w:val="22"/>
          <w:szCs w:val="22"/>
          <w:b w:val="1"/>
          <w:bCs w:val="1"/>
          <w:color w:val="auto"/>
        </w:rPr>
        <w:t xml:space="preserve"> </w:t>
      </w:r>
      <w:r>
        <w:rPr>
          <w:rFonts w:ascii="Arial" w:cs="Arial" w:eastAsia="Arial" w:hAnsi="Arial"/>
          <w:sz w:val="22"/>
          <w:szCs w:val="22"/>
          <w:color w:val="auto"/>
        </w:rPr>
        <w:t>bonus at such times and in such amounts as Employer may determine. Employee shall have a target annual bonus of 50% of the annual Base Salary received by Employee during the applicable year, all in accordance with the terms and conditions set by Employer. Employer retains the discretion to adopt or amend any bonus plan at any time prior to a Change of Control.</w:t>
      </w:r>
    </w:p>
    <w:p>
      <w:pPr>
        <w:spacing w:after="0" w:line="216" w:lineRule="exact"/>
        <w:rPr>
          <w:rFonts w:ascii="Arial" w:cs="Arial" w:eastAsia="Arial" w:hAnsi="Arial"/>
          <w:sz w:val="22"/>
          <w:szCs w:val="22"/>
          <w:color w:val="auto"/>
        </w:rPr>
      </w:pPr>
    </w:p>
    <w:p>
      <w:pPr>
        <w:jc w:val="both"/>
        <w:ind w:left="660" w:firstLine="645"/>
        <w:spacing w:after="0" w:line="247" w:lineRule="auto"/>
        <w:tabs>
          <w:tab w:leader="none" w:pos="2857" w:val="left"/>
        </w:tabs>
        <w:numPr>
          <w:ilvl w:val="1"/>
          <w:numId w:val="69"/>
        </w:numPr>
        <w:rPr>
          <w:rFonts w:ascii="Arial" w:cs="Arial" w:eastAsia="Arial" w:hAnsi="Arial"/>
          <w:sz w:val="22"/>
          <w:szCs w:val="22"/>
          <w:color w:val="auto"/>
        </w:rPr>
      </w:pPr>
      <w:r>
        <w:rPr>
          <w:rFonts w:ascii="Arial" w:cs="Arial" w:eastAsia="Arial" w:hAnsi="Arial"/>
          <w:sz w:val="22"/>
          <w:szCs w:val="22"/>
          <w:b w:val="1"/>
          <w:bCs w:val="1"/>
          <w:u w:val="single" w:color="auto"/>
          <w:color w:val="auto"/>
        </w:rPr>
        <w:t>Employee Benefit Plans</w:t>
      </w:r>
      <w:r>
        <w:rPr>
          <w:rFonts w:ascii="Arial" w:cs="Arial" w:eastAsia="Arial" w:hAnsi="Arial"/>
          <w:sz w:val="22"/>
          <w:szCs w:val="22"/>
          <w:b w:val="1"/>
          <w:bCs w:val="1"/>
          <w:color w:val="auto"/>
        </w:rPr>
        <w:t xml:space="preserve">. </w:t>
      </w:r>
      <w:r>
        <w:rPr>
          <w:rFonts w:ascii="Arial" w:cs="Arial" w:eastAsia="Arial" w:hAnsi="Arial"/>
          <w:sz w:val="22"/>
          <w:szCs w:val="22"/>
          <w:color w:val="auto"/>
        </w:rPr>
        <w:t>Employer hereby covenants and agrees that it shall include</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if otherwise eligible, in any profit sharing plan, executive stock option plan, pension plan, retirement plan, disability or life insurance plan, medical and/or hospitalization plan, and any other benefit plan which may be placed in effect by Employer or any of its Affiliates for the benefit of Employer’s executives during the Term. All issues as to eligibility for specific benefits and payment of benefits shall be as set forth in the applicable insurance policies or plan documents. Nothing in this Agreement shall limit Employer’s or any of its Affiliates’ ability to exercise the discretion provided to it under any such benefit plan, or to adopt, amend or terminate any benefit plan at any time prior to a Change of Control.</w:t>
      </w:r>
    </w:p>
    <w:p>
      <w:pPr>
        <w:spacing w:after="0" w:line="253" w:lineRule="exact"/>
        <w:rPr>
          <w:sz w:val="20"/>
          <w:szCs w:val="20"/>
          <w:color w:val="auto"/>
        </w:rPr>
      </w:pPr>
    </w:p>
    <w:p>
      <w:pPr>
        <w:ind w:left="660" w:firstLine="648"/>
        <w:spacing w:after="0" w:line="249" w:lineRule="auto"/>
        <w:rPr>
          <w:sz w:val="20"/>
          <w:szCs w:val="20"/>
          <w:color w:val="auto"/>
        </w:rPr>
      </w:pPr>
      <w:r>
        <w:rPr>
          <w:rFonts w:ascii="Arial" w:cs="Arial" w:eastAsia="Arial" w:hAnsi="Arial"/>
          <w:sz w:val="22"/>
          <w:szCs w:val="22"/>
          <w:color w:val="auto"/>
        </w:rPr>
        <w:t>Employer agrees, that until such time as Employee is eligible to participate in Employer’s health care plan, Employer shall reimburse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903" w:right="239" w:bottom="1440" w:gutter="0" w:footer="0" w:header="0"/>
        </w:sectPr>
      </w:pPr>
    </w:p>
    <w:bookmarkStart w:id="90" w:name="page91"/>
    <w:bookmarkEnd w:id="90"/>
    <w:p>
      <w:pPr>
        <w:jc w:val="both"/>
        <w:spacing w:after="0" w:line="245" w:lineRule="auto"/>
        <w:rPr>
          <w:sz w:val="20"/>
          <w:szCs w:val="20"/>
          <w:color w:val="auto"/>
        </w:rPr>
      </w:pPr>
      <w:r>
        <w:rPr>
          <w:rFonts w:ascii="Arial" w:cs="Arial" w:eastAsia="Arial" w:hAnsi="Arial"/>
          <w:sz w:val="22"/>
          <w:szCs w:val="22"/>
          <w:color w:val="auto"/>
        </w:rPr>
        <w:t>Employee for the premium payments that Employee is required to make to Employee’s prior employer in order to maintain the health insurance coverage that Employee is entitled to receive pursuant to under Sections 601 through 607 of the Employee Retirement Income Security Act of 1974, as amended (commonly known as COBRA); provided that Employee elects to maintain such coverage in accordance with the terms and conditions of COBRA and the prior employer’s health plan.</w:t>
      </w:r>
    </w:p>
    <w:p>
      <w:pPr>
        <w:spacing w:after="0" w:line="222" w:lineRule="exact"/>
        <w:rPr>
          <w:sz w:val="20"/>
          <w:szCs w:val="20"/>
          <w:color w:val="auto"/>
        </w:rPr>
      </w:pPr>
    </w:p>
    <w:p>
      <w:pPr>
        <w:jc w:val="both"/>
        <w:ind w:firstLine="645"/>
        <w:spacing w:after="0" w:line="248" w:lineRule="auto"/>
        <w:tabs>
          <w:tab w:leader="none" w:pos="2209" w:val="left"/>
        </w:tabs>
        <w:numPr>
          <w:ilvl w:val="0"/>
          <w:numId w:val="70"/>
        </w:numPr>
        <w:rPr>
          <w:rFonts w:ascii="Arial" w:cs="Arial" w:eastAsia="Arial" w:hAnsi="Arial"/>
          <w:sz w:val="22"/>
          <w:szCs w:val="22"/>
          <w:color w:val="auto"/>
        </w:rPr>
      </w:pPr>
      <w:r>
        <w:rPr>
          <w:rFonts w:ascii="Arial" w:cs="Arial" w:eastAsia="Arial" w:hAnsi="Arial"/>
          <w:sz w:val="22"/>
          <w:szCs w:val="22"/>
          <w:b w:val="1"/>
          <w:bCs w:val="1"/>
          <w:u w:val="single" w:color="auto"/>
          <w:color w:val="auto"/>
        </w:rPr>
        <w:t>Equity Grant</w:t>
      </w:r>
      <w:r>
        <w:rPr>
          <w:rFonts w:ascii="Arial" w:cs="Arial" w:eastAsia="Arial" w:hAnsi="Arial"/>
          <w:sz w:val="22"/>
          <w:szCs w:val="22"/>
          <w:color w:val="auto"/>
        </w:rPr>
        <w:t>. Employer has recommended to the Compensation Committee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Board of Directors of Wynn Resorts, Limited, and such Committee has approved the following: (i) Employee shall be granted 20,000 shares of restricted stock of Wynn Resorts, Limited common stock pursuant to the Wynn Resorts, Limited 2002 Stock Incentive Plan, and (ii) that such grant of restricted stock vest as follows: 6,667 shares on the third Anniversary of the Effective Date, 6,667 shares on the fourth Anniversary of the Effective Date, and 6,666 shares on the fifth Anniversary of the Effective Date. Employee and Employer will enter into a separate restricted stock agreement incorporating such terms and conditions.</w:t>
      </w:r>
    </w:p>
    <w:p>
      <w:pPr>
        <w:spacing w:after="0" w:line="223" w:lineRule="exact"/>
        <w:rPr>
          <w:rFonts w:ascii="Arial" w:cs="Arial" w:eastAsia="Arial" w:hAnsi="Arial"/>
          <w:sz w:val="22"/>
          <w:szCs w:val="22"/>
          <w:color w:val="auto"/>
        </w:rPr>
      </w:pPr>
    </w:p>
    <w:p>
      <w:pPr>
        <w:jc w:val="both"/>
        <w:ind w:firstLine="645"/>
        <w:spacing w:after="0" w:line="247" w:lineRule="auto"/>
        <w:tabs>
          <w:tab w:leader="none" w:pos="2209" w:val="left"/>
        </w:tabs>
        <w:numPr>
          <w:ilvl w:val="0"/>
          <w:numId w:val="70"/>
        </w:numPr>
        <w:rPr>
          <w:rFonts w:ascii="Arial" w:cs="Arial" w:eastAsia="Arial" w:hAnsi="Arial"/>
          <w:sz w:val="22"/>
          <w:szCs w:val="22"/>
          <w:color w:val="auto"/>
        </w:rPr>
      </w:pPr>
      <w:r>
        <w:rPr>
          <w:rFonts w:ascii="Arial" w:cs="Arial" w:eastAsia="Arial" w:hAnsi="Arial"/>
          <w:sz w:val="22"/>
          <w:szCs w:val="22"/>
          <w:b w:val="1"/>
          <w:bCs w:val="1"/>
          <w:u w:val="single" w:color="auto"/>
          <w:color w:val="auto"/>
        </w:rPr>
        <w:t>Expense Reimbursement</w:t>
      </w:r>
      <w:r>
        <w:rPr>
          <w:rFonts w:ascii="Arial" w:cs="Arial" w:eastAsia="Arial" w:hAnsi="Arial"/>
          <w:sz w:val="22"/>
          <w:szCs w:val="22"/>
          <w:b w:val="1"/>
          <w:bCs w:val="1"/>
          <w:color w:val="auto"/>
        </w:rPr>
        <w:t xml:space="preserve">. </w:t>
      </w:r>
      <w:r>
        <w:rPr>
          <w:rFonts w:ascii="Arial" w:cs="Arial" w:eastAsia="Arial" w:hAnsi="Arial"/>
          <w:sz w:val="22"/>
          <w:szCs w:val="22"/>
          <w:color w:val="auto"/>
        </w:rPr>
        <w:t>During the Term and provided the same are authorized by</w:t>
      </w:r>
      <w:r>
        <w:rPr>
          <w:rFonts w:ascii="Arial" w:cs="Arial" w:eastAsia="Arial" w:hAnsi="Arial"/>
          <w:sz w:val="22"/>
          <w:szCs w:val="22"/>
          <w:b w:val="1"/>
          <w:bCs w:val="1"/>
          <w:color w:val="auto"/>
        </w:rPr>
        <w:t xml:space="preserve"> </w:t>
      </w:r>
      <w:r>
        <w:rPr>
          <w:rFonts w:ascii="Arial" w:cs="Arial" w:eastAsia="Arial" w:hAnsi="Arial"/>
          <w:sz w:val="22"/>
          <w:szCs w:val="22"/>
          <w:color w:val="auto"/>
        </w:rPr>
        <w:t>Employer, Employer shall either pay directly or reimburse Employee for Employee’s reasonable expenses incurred for the benefit of Employer in accordance with Employer’s general policy regarding expense reimbursement, as the same may be amended, modified or changed from time to time. Such reimbursable expenses shall include, but are not limited to, (i) reasonable entertainment and promotional expenses, (ii) gift and travel expenses, (iii) dues and expenses of membership in clubs, professional societies and fraternal organizations, and (iv) the like. Prior modified from time to time. Prior to reimbursement, Employee shall provide Employer with sufficient detailed invoices of such expenses as may be required by Employer’s expense reimbursement policy.</w:t>
      </w:r>
    </w:p>
    <w:p>
      <w:pPr>
        <w:spacing w:after="0" w:line="222" w:lineRule="exact"/>
        <w:rPr>
          <w:rFonts w:ascii="Arial" w:cs="Arial" w:eastAsia="Arial" w:hAnsi="Arial"/>
          <w:sz w:val="22"/>
          <w:szCs w:val="22"/>
          <w:color w:val="auto"/>
        </w:rPr>
      </w:pPr>
    </w:p>
    <w:p>
      <w:pPr>
        <w:jc w:val="both"/>
        <w:ind w:firstLine="645"/>
        <w:spacing w:after="0" w:line="253" w:lineRule="auto"/>
        <w:tabs>
          <w:tab w:leader="none" w:pos="2149" w:val="left"/>
        </w:tabs>
        <w:numPr>
          <w:ilvl w:val="0"/>
          <w:numId w:val="70"/>
        </w:numPr>
        <w:rPr>
          <w:rFonts w:ascii="Arial" w:cs="Arial" w:eastAsia="Arial" w:hAnsi="Arial"/>
          <w:sz w:val="22"/>
          <w:szCs w:val="22"/>
          <w:color w:val="auto"/>
        </w:rPr>
      </w:pPr>
      <w:r>
        <w:rPr>
          <w:rFonts w:ascii="Arial" w:cs="Arial" w:eastAsia="Arial" w:hAnsi="Arial"/>
          <w:sz w:val="22"/>
          <w:szCs w:val="22"/>
          <w:b w:val="1"/>
          <w:bCs w:val="1"/>
          <w:u w:val="single" w:color="auto"/>
          <w:color w:val="auto"/>
        </w:rPr>
        <w:t>Vacations and Holidays</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shall be entitled to (i) annual paid vacation leave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Employer’s standard policy, but in no event less than four (4) weeks each year of the Term, to be taken at such times as selected by Employee and approved by Employer, and (ii) paid holidays (or, at Employer’s option, an equivalent number of paid days off) in accordance with Employer’s standard policy.</w:t>
      </w:r>
    </w:p>
    <w:p>
      <w:pPr>
        <w:spacing w:after="0" w:line="216" w:lineRule="exact"/>
        <w:rPr>
          <w:rFonts w:ascii="Arial" w:cs="Arial" w:eastAsia="Arial" w:hAnsi="Arial"/>
          <w:sz w:val="22"/>
          <w:szCs w:val="22"/>
          <w:color w:val="auto"/>
        </w:rPr>
      </w:pPr>
    </w:p>
    <w:p>
      <w:pPr>
        <w:jc w:val="both"/>
        <w:ind w:firstLine="645"/>
        <w:spacing w:after="0" w:line="251" w:lineRule="auto"/>
        <w:tabs>
          <w:tab w:leader="none" w:pos="2209" w:val="left"/>
        </w:tabs>
        <w:numPr>
          <w:ilvl w:val="0"/>
          <w:numId w:val="70"/>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409A Provision</w:t>
      </w:r>
      <w:r>
        <w:rPr>
          <w:rFonts w:ascii="Arial" w:cs="Arial" w:eastAsia="Arial" w:hAnsi="Arial"/>
          <w:sz w:val="22"/>
          <w:szCs w:val="22"/>
          <w:color w:val="auto"/>
        </w:rPr>
        <w:t>. Notwithstanding any provision of the Agreement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contrary, if, at the time of Employee’s termination of employment with the Employer, he or she is a “specified employee” as defined in Section 409A of the Internal Revenue Code (the “</w:t>
      </w:r>
      <w:r>
        <w:rPr>
          <w:rFonts w:ascii="Arial" w:cs="Arial" w:eastAsia="Arial" w:hAnsi="Arial"/>
          <w:sz w:val="22"/>
          <w:szCs w:val="22"/>
          <w:b w:val="1"/>
          <w:bCs w:val="1"/>
          <w:color w:val="auto"/>
        </w:rPr>
        <w:t>Code</w:t>
      </w:r>
      <w:r>
        <w:rPr>
          <w:rFonts w:ascii="Arial" w:cs="Arial" w:eastAsia="Arial" w:hAnsi="Arial"/>
          <w:sz w:val="22"/>
          <w:szCs w:val="22"/>
          <w:color w:val="auto"/>
        </w:rPr>
        <w:t>”), and one or more of the payments or benefits received or to be received by Employee pursuant to the Agreement would constitute deferred</w:t>
      </w:r>
    </w:p>
    <w:p>
      <w:pPr>
        <w:spacing w:after="0" w:line="229"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760"/>
          </w:cols>
          <w:pgMar w:left="900" w:top="903" w:right="239" w:bottom="1440" w:gutter="0" w:footer="0" w:header="0"/>
        </w:sectPr>
      </w:pPr>
    </w:p>
    <w:bookmarkStart w:id="91" w:name="page92"/>
    <w:bookmarkEnd w:id="91"/>
    <w:p>
      <w:pPr>
        <w:jc w:val="both"/>
        <w:ind w:left="4"/>
        <w:spacing w:after="0" w:line="244" w:lineRule="auto"/>
        <w:rPr>
          <w:sz w:val="20"/>
          <w:szCs w:val="20"/>
          <w:color w:val="auto"/>
        </w:rPr>
      </w:pPr>
      <w:r>
        <w:rPr>
          <w:rFonts w:ascii="Arial" w:cs="Arial" w:eastAsia="Arial" w:hAnsi="Arial"/>
          <w:sz w:val="22"/>
          <w:szCs w:val="22"/>
          <w:color w:val="auto"/>
        </w:rPr>
        <w:t>compensation subject to Section 409A, no such payment or benefit will be provided under the Agreement until the earlier of: (a) the date that is six (6) months following Employee’s termination of employment with the Employer or (b) the Employee’s death. The provisions of this Section shall only apply to the extent required to avoid Employee’s incurrence of any penalty tax or interest under Section 409A of the Code or any regulations or Treasury guidance promulgated thereunder. In addition, if any provision of the Agreement would cause Employee to incur any penalty tax or interest under Section 409A of the Code or any regulations or Treasury guidance promulgated thereunder, the Employer may reform such provision to maintain the maximum extent practicable the original intent of the applicable provision without violating the provisions of Section 409A of the Code.</w:t>
      </w:r>
    </w:p>
    <w:p>
      <w:pPr>
        <w:spacing w:after="0" w:line="225" w:lineRule="exact"/>
        <w:rPr>
          <w:sz w:val="20"/>
          <w:szCs w:val="20"/>
          <w:color w:val="auto"/>
        </w:rPr>
      </w:pPr>
    </w:p>
    <w:p>
      <w:pPr>
        <w:jc w:val="both"/>
        <w:ind w:left="4" w:firstLine="645"/>
        <w:spacing w:after="0" w:line="253" w:lineRule="auto"/>
        <w:tabs>
          <w:tab w:leader="none" w:pos="2213" w:val="left"/>
        </w:tabs>
        <w:numPr>
          <w:ilvl w:val="1"/>
          <w:numId w:val="71"/>
        </w:numPr>
        <w:rPr>
          <w:rFonts w:ascii="Arial" w:cs="Arial" w:eastAsia="Arial" w:hAnsi="Arial"/>
          <w:sz w:val="22"/>
          <w:szCs w:val="22"/>
          <w:color w:val="auto"/>
        </w:rPr>
      </w:pPr>
      <w:r>
        <w:rPr>
          <w:rFonts w:ascii="Arial" w:cs="Arial" w:eastAsia="Arial" w:hAnsi="Arial"/>
          <w:sz w:val="22"/>
          <w:szCs w:val="22"/>
          <w:b w:val="1"/>
          <w:bCs w:val="1"/>
          <w:u w:val="single" w:color="auto"/>
          <w:color w:val="auto"/>
        </w:rPr>
        <w:t>Withholdings</w:t>
      </w:r>
      <w:r>
        <w:rPr>
          <w:rFonts w:ascii="Arial" w:cs="Arial" w:eastAsia="Arial" w:hAnsi="Arial"/>
          <w:sz w:val="22"/>
          <w:szCs w:val="22"/>
          <w:b w:val="1"/>
          <w:bCs w:val="1"/>
          <w:color w:val="auto"/>
        </w:rPr>
        <w:t xml:space="preserve">. </w:t>
      </w:r>
      <w:r>
        <w:rPr>
          <w:rFonts w:ascii="Arial" w:cs="Arial" w:eastAsia="Arial" w:hAnsi="Arial"/>
          <w:sz w:val="22"/>
          <w:szCs w:val="22"/>
          <w:color w:val="auto"/>
        </w:rPr>
        <w:t>All compensation provided to Employee by Employer under this Section 7</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subject to applicable withholdings for federal, state or local income or other taxes, Social Security Tax, Medicare Tax, State Unemployment Insurance, State Disability Insurance, voluntary charitable contributions and the like.</w:t>
      </w:r>
    </w:p>
    <w:p>
      <w:pPr>
        <w:spacing w:after="0" w:line="216" w:lineRule="exact"/>
        <w:rPr>
          <w:rFonts w:ascii="Arial" w:cs="Arial" w:eastAsia="Arial" w:hAnsi="Arial"/>
          <w:sz w:val="22"/>
          <w:szCs w:val="22"/>
          <w:color w:val="auto"/>
        </w:rPr>
      </w:pPr>
    </w:p>
    <w:p>
      <w:pPr>
        <w:ind w:left="424" w:hanging="424"/>
        <w:spacing w:after="0"/>
        <w:tabs>
          <w:tab w:leader="none" w:pos="424" w:val="left"/>
        </w:tabs>
        <w:numPr>
          <w:ilvl w:val="0"/>
          <w:numId w:val="7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LICENSING REQUIREMENTS</w:t>
      </w:r>
      <w:r>
        <w:rPr>
          <w:rFonts w:ascii="Arial" w:cs="Arial" w:eastAsia="Arial" w:hAnsi="Arial"/>
          <w:sz w:val="22"/>
          <w:szCs w:val="22"/>
          <w:b w:val="1"/>
          <w:bCs w:val="1"/>
          <w:i w:val="1"/>
          <w:iCs w:val="1"/>
          <w:color w:val="auto"/>
        </w:rPr>
        <w:t>.</w:t>
      </w:r>
    </w:p>
    <w:p>
      <w:pPr>
        <w:spacing w:after="0" w:line="286" w:lineRule="exact"/>
        <w:rPr>
          <w:rFonts w:ascii="Arial" w:cs="Arial" w:eastAsia="Arial" w:hAnsi="Arial"/>
          <w:sz w:val="22"/>
          <w:szCs w:val="22"/>
          <w:b w:val="1"/>
          <w:bCs w:val="1"/>
          <w:i w:val="1"/>
          <w:iCs w:val="1"/>
          <w:color w:val="auto"/>
        </w:rPr>
      </w:pPr>
    </w:p>
    <w:p>
      <w:pPr>
        <w:jc w:val="both"/>
        <w:ind w:left="4" w:firstLine="645"/>
        <w:spacing w:after="0" w:line="244" w:lineRule="auto"/>
        <w:tabs>
          <w:tab w:leader="none" w:pos="1365" w:val="left"/>
        </w:tabs>
        <w:numPr>
          <w:ilvl w:val="1"/>
          <w:numId w:val="72"/>
        </w:numPr>
        <w:rPr>
          <w:rFonts w:ascii="Arial" w:cs="Arial" w:eastAsia="Arial" w:hAnsi="Arial"/>
          <w:sz w:val="22"/>
          <w:szCs w:val="22"/>
          <w:color w:val="auto"/>
        </w:rPr>
      </w:pPr>
      <w:r>
        <w:rPr>
          <w:rFonts w:ascii="Arial" w:cs="Arial" w:eastAsia="Arial" w:hAnsi="Arial"/>
          <w:sz w:val="22"/>
          <w:szCs w:val="22"/>
          <w:color w:val="auto"/>
        </w:rPr>
        <w:t>Employer and Employee hereby covenant and agree that this Agreement and/or Employee’s employment may be subject to the approval of one or more gaming regulatory authorities (the “</w:t>
      </w:r>
      <w:r>
        <w:rPr>
          <w:rFonts w:ascii="Arial" w:cs="Arial" w:eastAsia="Arial" w:hAnsi="Arial"/>
          <w:sz w:val="22"/>
          <w:szCs w:val="22"/>
          <w:b w:val="1"/>
          <w:bCs w:val="1"/>
          <w:color w:val="auto"/>
        </w:rPr>
        <w:t>Authorities</w:t>
      </w:r>
      <w:r>
        <w:rPr>
          <w:rFonts w:ascii="Arial" w:cs="Arial" w:eastAsia="Arial" w:hAnsi="Arial"/>
          <w:sz w:val="22"/>
          <w:szCs w:val="22"/>
          <w:color w:val="auto"/>
        </w:rPr>
        <w:t>”) pursuant to the provisions of the relevant gaming regulatory statutes (the “</w:t>
      </w:r>
      <w:r>
        <w:rPr>
          <w:rFonts w:ascii="Arial" w:cs="Arial" w:eastAsia="Arial" w:hAnsi="Arial"/>
          <w:sz w:val="22"/>
          <w:szCs w:val="22"/>
          <w:b w:val="1"/>
          <w:bCs w:val="1"/>
          <w:color w:val="auto"/>
        </w:rPr>
        <w:t>Gaming Acts</w:t>
      </w:r>
      <w:r>
        <w:rPr>
          <w:rFonts w:ascii="Arial" w:cs="Arial" w:eastAsia="Arial" w:hAnsi="Arial"/>
          <w:sz w:val="22"/>
          <w:szCs w:val="22"/>
          <w:color w:val="auto"/>
        </w:rPr>
        <w:t>”) and the regulations promulgated thereunder (the “</w:t>
      </w:r>
      <w:r>
        <w:rPr>
          <w:rFonts w:ascii="Arial" w:cs="Arial" w:eastAsia="Arial" w:hAnsi="Arial"/>
          <w:sz w:val="22"/>
          <w:szCs w:val="22"/>
          <w:b w:val="1"/>
          <w:bCs w:val="1"/>
          <w:color w:val="auto"/>
        </w:rPr>
        <w:t>Gaming Regulations</w:t>
      </w:r>
      <w:r>
        <w:rPr>
          <w:rFonts w:ascii="Arial" w:cs="Arial" w:eastAsia="Arial" w:hAnsi="Arial"/>
          <w:sz w:val="22"/>
          <w:szCs w:val="22"/>
          <w:color w:val="auto"/>
        </w:rPr>
        <w:t>”). Employer and Employee hereby covenant and agree to use their best efforts to obtain any and all approvals required by the Gaming Acts and/or Gaming Regulations. In the event that (i) an approval of this Agreement or Employee’s employment by the Authorities is required for Employee to carry out Employee’s duties and responsibilities set forth in Section 3 of this Agreement, (ii) Employer and Employee have used their best efforts to obtain such approval, and (iii) this Agreement or employee’s employment is not so approved by the Authorities, then this Agreement shall immediately terminate and shall be null and void, thus extinguishing any and all obligations of Employer.</w:t>
      </w:r>
    </w:p>
    <w:p>
      <w:pPr>
        <w:spacing w:after="0" w:line="250" w:lineRule="exact"/>
        <w:rPr>
          <w:rFonts w:ascii="Arial" w:cs="Arial" w:eastAsia="Arial" w:hAnsi="Arial"/>
          <w:sz w:val="22"/>
          <w:szCs w:val="22"/>
          <w:color w:val="auto"/>
        </w:rPr>
      </w:pPr>
    </w:p>
    <w:p>
      <w:pPr>
        <w:jc w:val="both"/>
        <w:ind w:left="4" w:firstLine="645"/>
        <w:spacing w:after="0" w:line="244" w:lineRule="auto"/>
        <w:tabs>
          <w:tab w:leader="none" w:pos="1255" w:val="left"/>
        </w:tabs>
        <w:numPr>
          <w:ilvl w:val="1"/>
          <w:numId w:val="72"/>
        </w:numPr>
        <w:rPr>
          <w:rFonts w:ascii="Arial" w:cs="Arial" w:eastAsia="Arial" w:hAnsi="Arial"/>
          <w:sz w:val="22"/>
          <w:szCs w:val="22"/>
          <w:color w:val="auto"/>
        </w:rPr>
      </w:pPr>
      <w:r>
        <w:rPr>
          <w:rFonts w:ascii="Arial" w:cs="Arial" w:eastAsia="Arial" w:hAnsi="Arial"/>
          <w:sz w:val="22"/>
          <w:szCs w:val="22"/>
          <w:color w:val="auto"/>
        </w:rPr>
        <w:t>If applicable, Employer and Employee hereby covenant and agree that, in order for Employee to discharge the duties required under this Agreement, Employee must apply for or hold a license, registration, permit or other approval (the “</w:t>
      </w:r>
      <w:r>
        <w:rPr>
          <w:rFonts w:ascii="Arial" w:cs="Arial" w:eastAsia="Arial" w:hAnsi="Arial"/>
          <w:sz w:val="22"/>
          <w:szCs w:val="22"/>
          <w:b w:val="1"/>
          <w:bCs w:val="1"/>
          <w:color w:val="auto"/>
        </w:rPr>
        <w:t>License</w:t>
      </w:r>
      <w:r>
        <w:rPr>
          <w:rFonts w:ascii="Arial" w:cs="Arial" w:eastAsia="Arial" w:hAnsi="Arial"/>
          <w:sz w:val="22"/>
          <w:szCs w:val="22"/>
          <w:color w:val="auto"/>
        </w:rPr>
        <w:t>”) as issued by the Authorities pursuant to the terms of the relevant Gaming Act and as otherwise required by this Agreement. In the event Employee fails to apply for and secure, or the Authorities refuse to issue or renew Employee’s License, Employee, at Employer’s sole cost and expense, shall promptly defend such action and</w:t>
      </w:r>
    </w:p>
    <w:p>
      <w:pPr>
        <w:spacing w:after="0" w:line="240"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764"/>
          </w:cols>
          <w:pgMar w:left="896" w:top="903" w:right="239" w:bottom="1440" w:gutter="0" w:footer="0" w:header="0"/>
        </w:sectPr>
      </w:pPr>
    </w:p>
    <w:bookmarkStart w:id="92" w:name="page93"/>
    <w:bookmarkEnd w:id="92"/>
    <w:p>
      <w:pPr>
        <w:jc w:val="both"/>
        <w:ind w:left="4"/>
        <w:spacing w:after="0" w:line="244" w:lineRule="auto"/>
        <w:rPr>
          <w:sz w:val="20"/>
          <w:szCs w:val="20"/>
          <w:color w:val="auto"/>
        </w:rPr>
      </w:pPr>
      <w:r>
        <w:rPr>
          <w:rFonts w:ascii="Arial" w:cs="Arial" w:eastAsia="Arial" w:hAnsi="Arial"/>
          <w:sz w:val="22"/>
          <w:szCs w:val="22"/>
          <w:color w:val="auto"/>
        </w:rPr>
        <w:t>shall take such reasonable steps as may be required to either remove the objections or secure or reinstate the Authorities’ approval, respectively. The foregoing notwithstanding, if the source of the objections or the Authorities’ refusal to renew or maintain Employee’s License arise as a result of any of the events described in Subsection 1(c) of this Agreement, then Employer’s obligations under this Section 8 also shall not be operative and Employee shall promptly reimburse Employer upon demand for any expenses incurred by Employer pursuant to this Section 8.</w:t>
      </w:r>
    </w:p>
    <w:p>
      <w:pPr>
        <w:spacing w:after="0" w:line="253" w:lineRule="exact"/>
        <w:rPr>
          <w:sz w:val="20"/>
          <w:szCs w:val="20"/>
          <w:color w:val="auto"/>
        </w:rPr>
      </w:pPr>
    </w:p>
    <w:p>
      <w:pPr>
        <w:jc w:val="both"/>
        <w:ind w:left="4" w:firstLine="645"/>
        <w:spacing w:after="0" w:line="246" w:lineRule="auto"/>
        <w:tabs>
          <w:tab w:leader="none" w:pos="1161" w:val="left"/>
        </w:tabs>
        <w:numPr>
          <w:ilvl w:val="1"/>
          <w:numId w:val="73"/>
        </w:numPr>
        <w:rPr>
          <w:rFonts w:ascii="Arial" w:cs="Arial" w:eastAsia="Arial" w:hAnsi="Arial"/>
          <w:sz w:val="22"/>
          <w:szCs w:val="22"/>
          <w:color w:val="auto"/>
        </w:rPr>
      </w:pPr>
      <w:r>
        <w:rPr>
          <w:rFonts w:ascii="Arial" w:cs="Arial" w:eastAsia="Arial" w:hAnsi="Arial"/>
          <w:sz w:val="22"/>
          <w:szCs w:val="22"/>
          <w:color w:val="auto"/>
        </w:rPr>
        <w:t>Employer and Employee hereby covenant and agree that the provisions of this Section 8 shall apply in the event Employee’s duties require that Employee also be licensed by governmental agencies other than the Authorities.</w:t>
      </w:r>
    </w:p>
    <w:p>
      <w:pPr>
        <w:spacing w:after="0" w:line="222" w:lineRule="exact"/>
        <w:rPr>
          <w:rFonts w:ascii="Arial" w:cs="Arial" w:eastAsia="Arial" w:hAnsi="Arial"/>
          <w:sz w:val="22"/>
          <w:szCs w:val="22"/>
          <w:color w:val="auto"/>
        </w:rPr>
      </w:pPr>
    </w:p>
    <w:p>
      <w:pPr>
        <w:ind w:left="644" w:hanging="644"/>
        <w:spacing w:after="0"/>
        <w:tabs>
          <w:tab w:leader="none" w:pos="644"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i w:val="1"/>
          <w:iCs w:val="1"/>
          <w:u w:val="single" w:color="auto"/>
          <w:color w:val="auto"/>
        </w:rPr>
        <w:t>CONFIDENTIALITY</w:t>
      </w:r>
      <w:r>
        <w:rPr>
          <w:rFonts w:ascii="Arial" w:cs="Arial" w:eastAsia="Arial" w:hAnsi="Arial"/>
          <w:sz w:val="22"/>
          <w:szCs w:val="22"/>
          <w:b w:val="1"/>
          <w:bCs w:val="1"/>
          <w:i w:val="1"/>
          <w:iCs w:val="1"/>
          <w:color w:val="auto"/>
        </w:rPr>
        <w:t>.</w:t>
      </w:r>
    </w:p>
    <w:p>
      <w:pPr>
        <w:spacing w:after="0" w:line="286" w:lineRule="exact"/>
        <w:rPr>
          <w:rFonts w:ascii="Arial" w:cs="Arial" w:eastAsia="Arial" w:hAnsi="Arial"/>
          <w:sz w:val="22"/>
          <w:szCs w:val="22"/>
          <w:b w:val="1"/>
          <w:bCs w:val="1"/>
          <w:color w:val="auto"/>
        </w:rPr>
      </w:pPr>
    </w:p>
    <w:p>
      <w:pPr>
        <w:jc w:val="both"/>
        <w:ind w:left="4" w:firstLine="645"/>
        <w:spacing w:after="0" w:line="244" w:lineRule="auto"/>
        <w:tabs>
          <w:tab w:leader="none" w:pos="1195" w:val="left"/>
        </w:tabs>
        <w:numPr>
          <w:ilvl w:val="1"/>
          <w:numId w:val="74"/>
        </w:numPr>
        <w:rPr>
          <w:rFonts w:ascii="Arial" w:cs="Arial" w:eastAsia="Arial" w:hAnsi="Arial"/>
          <w:sz w:val="22"/>
          <w:szCs w:val="22"/>
          <w:color w:val="auto"/>
        </w:rPr>
      </w:pPr>
      <w:r>
        <w:rPr>
          <w:rFonts w:ascii="Arial" w:cs="Arial" w:eastAsia="Arial" w:hAnsi="Arial"/>
          <w:sz w:val="22"/>
          <w:szCs w:val="22"/>
          <w:color w:val="auto"/>
        </w:rPr>
        <w:t>Employee hereby warrants, covenants and agrees that Employee shall not directly or indirectly use or disclose any Confidential Information, Trade Secrets, or Works of Authorship, whether in written, verbal, electronic, or model form, at any time or in any manner, except as required in the conduct of Employer’s business or as expressly authorized by Employer in writing. Employee shall take all necessary and available precautions to protect against the unauthorized disclosure of Confidential Information, Trade Secrets, or Works of Authorship. Employee acknowledges and agrees that such Confidential Information, Trade Secrets, or Works of Authorship are the sole and exclusive property of Employer or its Affiliate.</w:t>
      </w:r>
    </w:p>
    <w:p>
      <w:pPr>
        <w:spacing w:after="0" w:line="252" w:lineRule="exact"/>
        <w:rPr>
          <w:rFonts w:ascii="Arial" w:cs="Arial" w:eastAsia="Arial" w:hAnsi="Arial"/>
          <w:sz w:val="22"/>
          <w:szCs w:val="22"/>
          <w:color w:val="auto"/>
        </w:rPr>
      </w:pPr>
    </w:p>
    <w:p>
      <w:pPr>
        <w:jc w:val="both"/>
        <w:ind w:left="4" w:firstLine="645"/>
        <w:spacing w:after="0" w:line="259" w:lineRule="auto"/>
        <w:tabs>
          <w:tab w:leader="none" w:pos="1200" w:val="left"/>
        </w:tabs>
        <w:numPr>
          <w:ilvl w:val="1"/>
          <w:numId w:val="74"/>
        </w:numPr>
        <w:rPr>
          <w:rFonts w:ascii="Arial" w:cs="Arial" w:eastAsia="Arial" w:hAnsi="Arial"/>
          <w:sz w:val="21"/>
          <w:szCs w:val="21"/>
          <w:color w:val="auto"/>
        </w:rPr>
      </w:pPr>
      <w:r>
        <w:rPr>
          <w:rFonts w:ascii="Arial" w:cs="Arial" w:eastAsia="Arial" w:hAnsi="Arial"/>
          <w:sz w:val="21"/>
          <w:szCs w:val="21"/>
          <w:color w:val="auto"/>
        </w:rPr>
        <w:t>Employee shall not remove from Employer’s premises any Confidential Information, Trade Secrets, Works of Authorship, or any other documents pertaining to Employer’s or its Affiliate’s business, unless expressly authorized by Employer in writing. Furthermore, Employee specifically covenants and agrees not to make any duplicates, copies, or reconstructions of such materials and that, if any such duplicates, copies, or reconstructions are made, they shall become the property of Employer or its Affiliate upon their creation.</w:t>
      </w:r>
    </w:p>
    <w:p>
      <w:pPr>
        <w:spacing w:after="0" w:line="236" w:lineRule="exact"/>
        <w:rPr>
          <w:rFonts w:ascii="Arial" w:cs="Arial" w:eastAsia="Arial" w:hAnsi="Arial"/>
          <w:sz w:val="21"/>
          <w:szCs w:val="21"/>
          <w:color w:val="auto"/>
        </w:rPr>
      </w:pPr>
    </w:p>
    <w:p>
      <w:pPr>
        <w:jc w:val="both"/>
        <w:ind w:left="4" w:firstLine="645"/>
        <w:spacing w:after="0" w:line="244" w:lineRule="auto"/>
        <w:tabs>
          <w:tab w:leader="none" w:pos="1256" w:val="left"/>
        </w:tabs>
        <w:numPr>
          <w:ilvl w:val="1"/>
          <w:numId w:val="74"/>
        </w:numPr>
        <w:rPr>
          <w:rFonts w:ascii="Arial" w:cs="Arial" w:eastAsia="Arial" w:hAnsi="Arial"/>
          <w:sz w:val="22"/>
          <w:szCs w:val="22"/>
          <w:color w:val="auto"/>
        </w:rPr>
      </w:pPr>
      <w:r>
        <w:rPr>
          <w:rFonts w:ascii="Arial" w:cs="Arial" w:eastAsia="Arial" w:hAnsi="Arial"/>
          <w:sz w:val="22"/>
          <w:szCs w:val="22"/>
          <w:color w:val="auto"/>
        </w:rPr>
        <w:t>Upon termination of Employee’s employment with Employer for any reason, Employee shall turn over to Employer the originals and all copies of any and all papers, documents and things, including information stored for use in or with computers and software, all files, Rolodex cards, phone books, notes, price lists, customer contracts, bids, customer lists, notebooks, books, memoranda, drawings, computer disks or drives, or other documents: (i) made, compiled by, or delivered to Employee concerning any customer served by Employer or its Affiliate or any product, apparatus, or</w:t>
      </w:r>
    </w:p>
    <w:p>
      <w:pPr>
        <w:spacing w:after="0" w:line="240"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764"/>
          </w:cols>
          <w:pgMar w:left="896" w:top="903" w:right="239" w:bottom="1440" w:gutter="0" w:footer="0" w:header="0"/>
        </w:sectPr>
      </w:pPr>
    </w:p>
    <w:bookmarkStart w:id="93" w:name="page94"/>
    <w:bookmarkEnd w:id="93"/>
    <w:p>
      <w:pPr>
        <w:jc w:val="both"/>
        <w:ind w:left="4"/>
        <w:spacing w:after="0" w:line="245" w:lineRule="auto"/>
        <w:rPr>
          <w:sz w:val="20"/>
          <w:szCs w:val="20"/>
          <w:color w:val="auto"/>
        </w:rPr>
      </w:pPr>
      <w:r>
        <w:rPr>
          <w:rFonts w:ascii="Arial" w:cs="Arial" w:eastAsia="Arial" w:hAnsi="Arial"/>
          <w:sz w:val="22"/>
          <w:szCs w:val="22"/>
          <w:color w:val="auto"/>
        </w:rPr>
        <w:t>process manufactured, used, developed or investigated by Employer; (ii) containing any Confidential Information, Trade Secret or Work of Authorship; or (iii) otherwise relating to Employee’s performance of duties under this Agreement. Employee further acknowledges and agrees that all such documents are the sole and exclusive property of Employer or its Affiliate.</w:t>
      </w:r>
    </w:p>
    <w:p>
      <w:pPr>
        <w:spacing w:after="0" w:line="250" w:lineRule="exact"/>
        <w:rPr>
          <w:sz w:val="20"/>
          <w:szCs w:val="20"/>
          <w:color w:val="auto"/>
        </w:rPr>
      </w:pPr>
    </w:p>
    <w:p>
      <w:pPr>
        <w:jc w:val="both"/>
        <w:ind w:left="4" w:firstLine="645"/>
        <w:spacing w:after="0" w:line="244" w:lineRule="auto"/>
        <w:tabs>
          <w:tab w:leader="none" w:pos="1185" w:val="left"/>
        </w:tabs>
        <w:numPr>
          <w:ilvl w:val="1"/>
          <w:numId w:val="75"/>
        </w:numPr>
        <w:rPr>
          <w:rFonts w:ascii="Arial" w:cs="Arial" w:eastAsia="Arial" w:hAnsi="Arial"/>
          <w:sz w:val="22"/>
          <w:szCs w:val="22"/>
          <w:color w:val="auto"/>
        </w:rPr>
      </w:pPr>
      <w:r>
        <w:rPr>
          <w:rFonts w:ascii="Arial" w:cs="Arial" w:eastAsia="Arial" w:hAnsi="Arial"/>
          <w:sz w:val="22"/>
          <w:szCs w:val="22"/>
          <w:color w:val="auto"/>
        </w:rPr>
        <w:t>Employee hereby warrants, covenants and agrees that Employee shall not disclose to Employer, or any Affiliate, officer, director, employee or agent of Employer, any proprietary or confidential information or property, including but not limited to any trade secret, formula, pattern, compilation, program, device, method, technique or process, which Employee is prohibited by contract, or otherwise, to disclose to Employer (the “</w:t>
      </w:r>
      <w:r>
        <w:rPr>
          <w:rFonts w:ascii="Arial" w:cs="Arial" w:eastAsia="Arial" w:hAnsi="Arial"/>
          <w:sz w:val="22"/>
          <w:szCs w:val="22"/>
          <w:b w:val="1"/>
          <w:bCs w:val="1"/>
          <w:color w:val="auto"/>
        </w:rPr>
        <w:t>Restricted Information</w:t>
      </w:r>
      <w:r>
        <w:rPr>
          <w:rFonts w:ascii="Arial" w:cs="Arial" w:eastAsia="Arial" w:hAnsi="Arial"/>
          <w:sz w:val="22"/>
          <w:szCs w:val="22"/>
          <w:color w:val="auto"/>
        </w:rPr>
        <w:t>”). In the event Employer requests Restricted Information from Employee, Employee shall advise Employer that the information requested is Restricted Information and may not be disclosed by Employee.</w:t>
      </w:r>
    </w:p>
    <w:p>
      <w:pPr>
        <w:spacing w:after="0" w:line="252" w:lineRule="exact"/>
        <w:rPr>
          <w:rFonts w:ascii="Arial" w:cs="Arial" w:eastAsia="Arial" w:hAnsi="Arial"/>
          <w:sz w:val="22"/>
          <w:szCs w:val="22"/>
          <w:color w:val="auto"/>
        </w:rPr>
      </w:pPr>
    </w:p>
    <w:p>
      <w:pPr>
        <w:ind w:left="4" w:firstLine="645"/>
        <w:spacing w:after="0" w:line="249" w:lineRule="auto"/>
        <w:tabs>
          <w:tab w:leader="none" w:pos="1276" w:val="left"/>
        </w:tabs>
        <w:numPr>
          <w:ilvl w:val="1"/>
          <w:numId w:val="75"/>
        </w:numPr>
        <w:rPr>
          <w:rFonts w:ascii="Arial" w:cs="Arial" w:eastAsia="Arial" w:hAnsi="Arial"/>
          <w:sz w:val="22"/>
          <w:szCs w:val="22"/>
          <w:color w:val="auto"/>
        </w:rPr>
      </w:pPr>
      <w:r>
        <w:rPr>
          <w:rFonts w:ascii="Arial" w:cs="Arial" w:eastAsia="Arial" w:hAnsi="Arial"/>
          <w:sz w:val="22"/>
          <w:szCs w:val="22"/>
          <w:color w:val="auto"/>
        </w:rPr>
        <w:t>The obligations of this Section 9 are continuing and shall survive the termination of Employee’s employment with Employer for any reason.</w:t>
      </w:r>
    </w:p>
    <w:p>
      <w:pPr>
        <w:spacing w:after="0" w:line="218" w:lineRule="exact"/>
        <w:rPr>
          <w:rFonts w:ascii="Arial" w:cs="Arial" w:eastAsia="Arial" w:hAnsi="Arial"/>
          <w:sz w:val="22"/>
          <w:szCs w:val="22"/>
          <w:color w:val="auto"/>
        </w:rPr>
      </w:pPr>
    </w:p>
    <w:p>
      <w:pPr>
        <w:ind w:left="544" w:hanging="544"/>
        <w:spacing w:after="0"/>
        <w:tabs>
          <w:tab w:leader="none" w:pos="544" w:val="left"/>
        </w:tabs>
        <w:numPr>
          <w:ilvl w:val="0"/>
          <w:numId w:val="76"/>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RESTRICTIVE COVENANT/NO SOLICITATION</w:t>
      </w:r>
      <w:r>
        <w:rPr>
          <w:rFonts w:ascii="Arial" w:cs="Arial" w:eastAsia="Arial" w:hAnsi="Arial"/>
          <w:sz w:val="22"/>
          <w:szCs w:val="22"/>
          <w:b w:val="1"/>
          <w:bCs w:val="1"/>
          <w:i w:val="1"/>
          <w:iCs w:val="1"/>
          <w:color w:val="auto"/>
        </w:rPr>
        <w:t>.</w:t>
      </w:r>
    </w:p>
    <w:p>
      <w:pPr>
        <w:spacing w:after="0" w:line="286" w:lineRule="exact"/>
        <w:rPr>
          <w:rFonts w:ascii="Arial" w:cs="Arial" w:eastAsia="Arial" w:hAnsi="Arial"/>
          <w:sz w:val="22"/>
          <w:szCs w:val="22"/>
          <w:b w:val="1"/>
          <w:bCs w:val="1"/>
          <w:i w:val="1"/>
          <w:iCs w:val="1"/>
          <w:color w:val="auto"/>
        </w:rPr>
      </w:pPr>
    </w:p>
    <w:p>
      <w:pPr>
        <w:jc w:val="both"/>
        <w:ind w:left="4" w:firstLine="645"/>
        <w:spacing w:after="0" w:line="244" w:lineRule="auto"/>
        <w:tabs>
          <w:tab w:leader="none" w:pos="1300" w:val="left"/>
        </w:tabs>
        <w:numPr>
          <w:ilvl w:val="1"/>
          <w:numId w:val="76"/>
        </w:numPr>
        <w:rPr>
          <w:rFonts w:ascii="Arial" w:cs="Arial" w:eastAsia="Arial" w:hAnsi="Arial"/>
          <w:sz w:val="22"/>
          <w:szCs w:val="22"/>
          <w:color w:val="auto"/>
        </w:rPr>
      </w:pPr>
      <w:r>
        <w:rPr>
          <w:rFonts w:ascii="Arial" w:cs="Arial" w:eastAsia="Arial" w:hAnsi="Arial"/>
          <w:sz w:val="22"/>
          <w:szCs w:val="22"/>
          <w:color w:val="auto"/>
        </w:rPr>
        <w:t>Employee hereby covenants and agrees that during the Term, or for such period as Employee receives cash compensation under this Agreement, whichever is shorter, Employee shall not, directly or indirectly, either as a principal, agent, employee, employer, consultant, partner, member or manager of a limited liability company, shareholder of a closely held corporation, or shareholder in excess of two percent (2%) of a publicly traded corporation, corporate officer or director, manager, or in any other individual or representative capacity, engage or otherwise participate in any manner or fashion in any gaming business that is in competition in any manner whatsoever with the principal business activity of Employer or Employer’s Affiliates, in or about any market in which Employer or its Affiliates currently operate or have announced, publicly or otherwise, a plan to have hotel or gaming operations.</w:t>
      </w:r>
    </w:p>
    <w:p>
      <w:pPr>
        <w:spacing w:after="0" w:line="251" w:lineRule="exact"/>
        <w:rPr>
          <w:rFonts w:ascii="Arial" w:cs="Arial" w:eastAsia="Arial" w:hAnsi="Arial"/>
          <w:sz w:val="22"/>
          <w:szCs w:val="22"/>
          <w:color w:val="auto"/>
        </w:rPr>
      </w:pPr>
    </w:p>
    <w:p>
      <w:pPr>
        <w:jc w:val="both"/>
        <w:ind w:left="4" w:firstLine="645"/>
        <w:spacing w:after="0" w:line="245" w:lineRule="auto"/>
        <w:tabs>
          <w:tab w:leader="none" w:pos="1246" w:val="left"/>
        </w:tabs>
        <w:numPr>
          <w:ilvl w:val="1"/>
          <w:numId w:val="76"/>
        </w:numPr>
        <w:rPr>
          <w:rFonts w:ascii="Arial" w:cs="Arial" w:eastAsia="Arial" w:hAnsi="Arial"/>
          <w:sz w:val="22"/>
          <w:szCs w:val="22"/>
          <w:color w:val="auto"/>
        </w:rPr>
      </w:pPr>
      <w:r>
        <w:rPr>
          <w:rFonts w:ascii="Arial" w:cs="Arial" w:eastAsia="Arial" w:hAnsi="Arial"/>
          <w:sz w:val="22"/>
          <w:szCs w:val="22"/>
          <w:color w:val="auto"/>
        </w:rPr>
        <w:t>Employee hereby further covenants and agrees that, during the Term and for a period of one (1) year following the expiration of the Term, Employee shall not, directly or indirectly, solicit or attempt to solicit for employment any management level employee of Employer or its Affiliates with or on behalf of any business that is in competition in any manner whatsoever with the principal business activity of Employer or its Affiliates,</w:t>
      </w:r>
    </w:p>
    <w:p>
      <w:pPr>
        <w:spacing w:after="0" w:line="237"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764"/>
          </w:cols>
          <w:pgMar w:left="896" w:top="903" w:right="239" w:bottom="1440" w:gutter="0" w:footer="0" w:header="0"/>
        </w:sectPr>
      </w:pPr>
    </w:p>
    <w:bookmarkStart w:id="94" w:name="page95"/>
    <w:bookmarkEnd w:id="94"/>
    <w:p>
      <w:pPr>
        <w:ind w:left="660"/>
        <w:spacing w:after="0" w:line="249" w:lineRule="auto"/>
        <w:rPr>
          <w:sz w:val="20"/>
          <w:szCs w:val="20"/>
          <w:color w:val="auto"/>
        </w:rPr>
      </w:pPr>
      <w:r>
        <w:rPr>
          <w:rFonts w:ascii="Arial" w:cs="Arial" w:eastAsia="Arial" w:hAnsi="Arial"/>
          <w:sz w:val="22"/>
          <w:szCs w:val="22"/>
          <w:color w:val="auto"/>
        </w:rPr>
        <w:t>in or about any market in which Employer or its Affiliates operate have publicly announced, publicly or otherwise, a plan to have hotel or gaming operations.</w:t>
      </w:r>
    </w:p>
    <w:p>
      <w:pPr>
        <w:spacing w:after="0" w:line="245" w:lineRule="exact"/>
        <w:rPr>
          <w:sz w:val="20"/>
          <w:szCs w:val="20"/>
          <w:color w:val="auto"/>
        </w:rPr>
      </w:pPr>
    </w:p>
    <w:p>
      <w:pPr>
        <w:jc w:val="both"/>
        <w:ind w:left="660" w:firstLine="645"/>
        <w:spacing w:after="0" w:line="244" w:lineRule="auto"/>
        <w:tabs>
          <w:tab w:leader="none" w:pos="1959" w:val="left"/>
        </w:tabs>
        <w:numPr>
          <w:ilvl w:val="1"/>
          <w:numId w:val="77"/>
        </w:numPr>
        <w:rPr>
          <w:rFonts w:ascii="Arial" w:cs="Arial" w:eastAsia="Arial" w:hAnsi="Arial"/>
          <w:sz w:val="22"/>
          <w:szCs w:val="22"/>
          <w:color w:val="auto"/>
        </w:rPr>
      </w:pPr>
      <w:r>
        <w:rPr>
          <w:rFonts w:ascii="Arial" w:cs="Arial" w:eastAsia="Arial" w:hAnsi="Arial"/>
          <w:sz w:val="22"/>
          <w:szCs w:val="22"/>
          <w:color w:val="auto"/>
        </w:rPr>
        <w:t>Employee hereby further covenants and agrees that the restrictive covenants contained in this Section 10 are reasonable as to duration, terms and geographical area and that they protect the legitimate interests of Employer, impose no undue hardship on Employee, and are not injurious to the public. In the event that any of the restrictions and limitations contained in this Section 10 are deemed to exceed the time, geographic or other limitations permitted by Nevada law, the parties agree that a court of competent jurisdiction shall revise any offending provisions so as to bring this Section 10 within the maximum time, geographical or other limitations permitted by Nevada law.</w:t>
      </w:r>
    </w:p>
    <w:p>
      <w:pPr>
        <w:spacing w:after="0" w:line="226" w:lineRule="exact"/>
        <w:rPr>
          <w:rFonts w:ascii="Arial" w:cs="Arial" w:eastAsia="Arial" w:hAnsi="Arial"/>
          <w:sz w:val="22"/>
          <w:szCs w:val="22"/>
          <w:color w:val="auto"/>
        </w:rPr>
      </w:pPr>
    </w:p>
    <w:p>
      <w:pPr>
        <w:jc w:val="both"/>
        <w:ind w:firstLine="656"/>
        <w:spacing w:after="0" w:line="258" w:lineRule="auto"/>
        <w:tabs>
          <w:tab w:leader="none" w:pos="1229" w:val="left"/>
        </w:tabs>
        <w:numPr>
          <w:ilvl w:val="0"/>
          <w:numId w:val="78"/>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u w:val="single" w:color="auto"/>
          <w:color w:val="auto"/>
        </w:rPr>
        <w:t>REMEDIES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Employee acknowledges that Employer has and will continue to deliver, provide and expose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Employee to certain knowledge, information, practices, and procedures possessed or developed by or for Employer at a considerable investment of time and expense, which are protected as confidential and which are essential for carrying out Employer’s business in a highly competitive market. Employee also acknowledges that Employee will be exposed to Confidential Information, Trade Secrets, Works of Authorship, inventions and business relationships possessed or developed by or for Employer or its Affiliates, and that Employer or its Affiliates would be irreparably harmed if Employee were to improperly use or disclose such items to competitors, potential competitors or other parties. Employee further acknowledges that the protection of Employer’s and its Affiliates’ customers and businesses is essential, and understands and agrees that Employer’s and its Affiliates’ relationships with its customers and its employees are special and unique and have required a considerable investment of time and funds to develop, and that any loss of or damage to any such relationship will result in irreparable harm. Consequently, Employee covenants and agrees that any violation by Employee of Section 9 or 10 shall entitle Employer to immediate injunctive relief in a court of competent jurisdiction. Employee further agrees that no cause of action for recovery for breach of any of Employee’s representations, warranties or covenants shall accrue until Employer or its Affiliate has actual notice of such breach.</w:t>
      </w:r>
    </w:p>
    <w:p>
      <w:pPr>
        <w:spacing w:after="0" w:line="214" w:lineRule="exact"/>
        <w:rPr>
          <w:rFonts w:ascii="Arial" w:cs="Arial" w:eastAsia="Arial" w:hAnsi="Arial"/>
          <w:sz w:val="21"/>
          <w:szCs w:val="21"/>
          <w:b w:val="1"/>
          <w:bCs w:val="1"/>
          <w:i w:val="1"/>
          <w:iCs w:val="1"/>
          <w:color w:val="auto"/>
        </w:rPr>
      </w:pPr>
    </w:p>
    <w:p>
      <w:pPr>
        <w:ind w:right="20" w:firstLine="656"/>
        <w:spacing w:after="0" w:line="274" w:lineRule="auto"/>
        <w:tabs>
          <w:tab w:leader="none" w:pos="1283" w:val="left"/>
        </w:tabs>
        <w:numPr>
          <w:ilvl w:val="0"/>
          <w:numId w:val="78"/>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BEST EVIDENCE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This Agreement shall be executed in original and “Xerox” or photostatic copies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each copy bearing original signatures in ink shall be deemed an original.</w:t>
      </w:r>
    </w:p>
    <w:p>
      <w:pPr>
        <w:spacing w:after="0" w:line="192" w:lineRule="exact"/>
        <w:rPr>
          <w:rFonts w:ascii="Arial" w:cs="Arial" w:eastAsia="Arial" w:hAnsi="Arial"/>
          <w:sz w:val="22"/>
          <w:szCs w:val="22"/>
          <w:b w:val="1"/>
          <w:bCs w:val="1"/>
          <w:i w:val="1"/>
          <w:iCs w:val="1"/>
          <w:color w:val="auto"/>
        </w:rPr>
      </w:pPr>
    </w:p>
    <w:p>
      <w:pPr>
        <w:ind w:firstLine="656"/>
        <w:spacing w:after="0" w:line="274" w:lineRule="auto"/>
        <w:tabs>
          <w:tab w:leader="none" w:pos="1202" w:val="left"/>
        </w:tabs>
        <w:numPr>
          <w:ilvl w:val="0"/>
          <w:numId w:val="78"/>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SUCCESSION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This Agreement shall be binding upon and inure to the benefit of Employer and Employee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their respective successors and assigns.</w:t>
      </w:r>
    </w:p>
    <w:p>
      <w:pPr>
        <w:spacing w:after="0" w:line="192" w:lineRule="exact"/>
        <w:rPr>
          <w:rFonts w:ascii="Arial" w:cs="Arial" w:eastAsia="Arial" w:hAnsi="Arial"/>
          <w:sz w:val="22"/>
          <w:szCs w:val="22"/>
          <w:b w:val="1"/>
          <w:bCs w:val="1"/>
          <w:i w:val="1"/>
          <w:iCs w:val="1"/>
          <w:color w:val="auto"/>
        </w:rPr>
      </w:pPr>
    </w:p>
    <w:p>
      <w:pPr>
        <w:jc w:val="both"/>
        <w:ind w:firstLine="656"/>
        <w:spacing w:after="0" w:line="253" w:lineRule="auto"/>
        <w:tabs>
          <w:tab w:leader="none" w:pos="1351" w:val="left"/>
        </w:tabs>
        <w:numPr>
          <w:ilvl w:val="0"/>
          <w:numId w:val="78"/>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ASSIGNMENT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Employee shall not assign this Agreement or delegate Employee’s duties hereunder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without the express written prior consent of Employer thereto. Any purported assignment by Employee in violation of this Section 14 shall be null and void and of no force or effect. Employer shall have the right to assign this Agreement freely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903" w:right="239" w:bottom="1440" w:gutter="0" w:footer="0" w:header="0"/>
        </w:sectPr>
      </w:pPr>
    </w:p>
    <w:bookmarkStart w:id="95" w:name="page96"/>
    <w:bookmarkEnd w:id="95"/>
    <w:p>
      <w:pPr>
        <w:jc w:val="both"/>
        <w:spacing w:after="0" w:line="245" w:lineRule="auto"/>
        <w:rPr>
          <w:sz w:val="20"/>
          <w:szCs w:val="20"/>
          <w:color w:val="auto"/>
        </w:rPr>
      </w:pPr>
      <w:r>
        <w:rPr>
          <w:rFonts w:ascii="Arial" w:cs="Arial" w:eastAsia="Arial" w:hAnsi="Arial"/>
          <w:sz w:val="22"/>
          <w:szCs w:val="22"/>
          <w:color w:val="auto"/>
        </w:rPr>
        <w:t>to i) Wynn Resorts, Limited or any affiliate or subsidiary of Wynn Resorts, Limited, or ii) any successor in interest to Employer’s business, including without limitation Employee’s obligations under Section 10, and Employee hereby acknowledges receipt of the Award and such other valuable consideration in exchange for Employee’s consent to the assignability of Employee’s obligations under Section 10 that is additional to and separate from the consideration provided to Employee exchange for the other covenants in this Agreement.</w:t>
      </w:r>
    </w:p>
    <w:p>
      <w:pPr>
        <w:spacing w:after="0" w:line="222" w:lineRule="exact"/>
        <w:rPr>
          <w:sz w:val="20"/>
          <w:szCs w:val="20"/>
          <w:color w:val="auto"/>
        </w:rPr>
      </w:pPr>
    </w:p>
    <w:p>
      <w:pPr>
        <w:ind w:firstLine="656"/>
        <w:spacing w:after="0" w:line="274" w:lineRule="auto"/>
        <w:tabs>
          <w:tab w:leader="none" w:pos="1229" w:val="left"/>
        </w:tabs>
        <w:numPr>
          <w:ilvl w:val="0"/>
          <w:numId w:val="79"/>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AMENDMENT OR MODIFICATION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This Agreement may not be amended, modified, changed or altered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except by a writing signed by both Employer and Employee.</w:t>
      </w:r>
    </w:p>
    <w:p>
      <w:pPr>
        <w:spacing w:after="0" w:line="192" w:lineRule="exact"/>
        <w:rPr>
          <w:rFonts w:ascii="Arial" w:cs="Arial" w:eastAsia="Arial" w:hAnsi="Arial"/>
          <w:sz w:val="22"/>
          <w:szCs w:val="22"/>
          <w:b w:val="1"/>
          <w:bCs w:val="1"/>
          <w:i w:val="1"/>
          <w:iCs w:val="1"/>
          <w:color w:val="auto"/>
        </w:rPr>
      </w:pPr>
    </w:p>
    <w:p>
      <w:pPr>
        <w:ind w:firstLine="656"/>
        <w:spacing w:after="0" w:line="274" w:lineRule="auto"/>
        <w:tabs>
          <w:tab w:leader="none" w:pos="1243" w:val="left"/>
        </w:tabs>
        <w:numPr>
          <w:ilvl w:val="0"/>
          <w:numId w:val="79"/>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GOVERNING LAW.</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This Agreement shall be governed by and construed in accordance with the laws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State of Nevada, without regard to conflict of laws principles.</w:t>
      </w:r>
    </w:p>
    <w:p>
      <w:pPr>
        <w:spacing w:after="0" w:line="192" w:lineRule="exact"/>
        <w:rPr>
          <w:rFonts w:ascii="Arial" w:cs="Arial" w:eastAsia="Arial" w:hAnsi="Arial"/>
          <w:sz w:val="22"/>
          <w:szCs w:val="22"/>
          <w:b w:val="1"/>
          <w:bCs w:val="1"/>
          <w:i w:val="1"/>
          <w:iCs w:val="1"/>
          <w:color w:val="auto"/>
        </w:rPr>
      </w:pPr>
    </w:p>
    <w:p>
      <w:pPr>
        <w:ind w:firstLine="656"/>
        <w:spacing w:after="0" w:line="274" w:lineRule="auto"/>
        <w:tabs>
          <w:tab w:leader="none" w:pos="1216" w:val="left"/>
        </w:tabs>
        <w:numPr>
          <w:ilvl w:val="0"/>
          <w:numId w:val="79"/>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NOTICES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Any and all notices required under this Agreement shall be in writing and shall be either hand-delivered or mailed, certified mail, return receipt requested, addressed to:</w:t>
      </w:r>
    </w:p>
    <w:p>
      <w:pPr>
        <w:spacing w:after="0" w:line="174" w:lineRule="exact"/>
        <w:rPr>
          <w:sz w:val="20"/>
          <w:szCs w:val="20"/>
          <w:color w:val="auto"/>
        </w:rPr>
      </w:pPr>
    </w:p>
    <w:tbl>
      <w:tblPr>
        <w:tblLayout w:type="fixed"/>
        <w:tblInd w:w="1300" w:type="dxa"/>
        <w:tblCellMar>
          <w:top w:w="0" w:type="dxa"/>
          <w:left w:w="0" w:type="dxa"/>
          <w:bottom w:w="0" w:type="dxa"/>
          <w:right w:w="0" w:type="dxa"/>
        </w:tblCellMar>
      </w:tblPr>
      <w:tr>
        <w:trPr>
          <w:trHeight w:val="253"/>
        </w:trPr>
        <w:tc>
          <w:tcPr>
            <w:tcW w:w="1860" w:type="dxa"/>
            <w:vAlign w:val="bottom"/>
            <w:gridSpan w:val="3"/>
          </w:tcPr>
          <w:p>
            <w:pPr>
              <w:spacing w:after="0"/>
              <w:rPr>
                <w:sz w:val="20"/>
                <w:szCs w:val="20"/>
                <w:color w:val="auto"/>
              </w:rPr>
            </w:pPr>
            <w:r>
              <w:rPr>
                <w:rFonts w:ascii="Arial" w:cs="Arial" w:eastAsia="Arial" w:hAnsi="Arial"/>
                <w:sz w:val="22"/>
                <w:szCs w:val="22"/>
                <w:color w:val="auto"/>
              </w:rPr>
              <w:t>TO EMPLOYER:</w:t>
            </w:r>
          </w:p>
        </w:tc>
        <w:tc>
          <w:tcPr>
            <w:tcW w:w="3940" w:type="dxa"/>
            <w:vAlign w:val="bottom"/>
          </w:tcPr>
          <w:p>
            <w:pPr>
              <w:ind w:left="240"/>
              <w:spacing w:after="0"/>
              <w:rPr>
                <w:sz w:val="20"/>
                <w:szCs w:val="20"/>
                <w:color w:val="auto"/>
              </w:rPr>
            </w:pPr>
            <w:r>
              <w:rPr>
                <w:rFonts w:ascii="Arial" w:cs="Arial" w:eastAsia="Arial" w:hAnsi="Arial"/>
                <w:sz w:val="22"/>
                <w:szCs w:val="22"/>
                <w:color w:val="auto"/>
              </w:rPr>
              <w:t>Wynn Resort, Limited</w:t>
            </w:r>
          </w:p>
        </w:tc>
      </w:tr>
      <w:tr>
        <w:trPr>
          <w:trHeight w:val="284"/>
        </w:trPr>
        <w:tc>
          <w:tcPr>
            <w:tcW w:w="15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940" w:type="dxa"/>
            <w:vAlign w:val="bottom"/>
          </w:tcPr>
          <w:p>
            <w:pPr>
              <w:ind w:left="740"/>
              <w:spacing w:after="0"/>
              <w:rPr>
                <w:sz w:val="20"/>
                <w:szCs w:val="20"/>
                <w:color w:val="auto"/>
              </w:rPr>
            </w:pPr>
            <w:r>
              <w:rPr>
                <w:rFonts w:ascii="Arial" w:cs="Arial" w:eastAsia="Arial" w:hAnsi="Arial"/>
                <w:sz w:val="22"/>
                <w:szCs w:val="22"/>
                <w:color w:val="auto"/>
                <w:w w:val="97"/>
              </w:rPr>
              <w:t>3131 Las Vegas Boulevard South</w:t>
            </w:r>
          </w:p>
        </w:tc>
      </w:tr>
      <w:tr>
        <w:trPr>
          <w:trHeight w:val="257"/>
        </w:trPr>
        <w:tc>
          <w:tcPr>
            <w:tcW w:w="1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940" w:type="dxa"/>
            <w:vAlign w:val="bottom"/>
          </w:tcPr>
          <w:p>
            <w:pPr>
              <w:ind w:left="740"/>
              <w:spacing w:after="0"/>
              <w:rPr>
                <w:sz w:val="20"/>
                <w:szCs w:val="20"/>
                <w:color w:val="auto"/>
              </w:rPr>
            </w:pPr>
            <w:r>
              <w:rPr>
                <w:rFonts w:ascii="Arial" w:cs="Arial" w:eastAsia="Arial" w:hAnsi="Arial"/>
                <w:sz w:val="22"/>
                <w:szCs w:val="22"/>
                <w:color w:val="auto"/>
              </w:rPr>
              <w:t>Las Vegas, Nevada 89109</w:t>
            </w:r>
          </w:p>
        </w:tc>
      </w:tr>
      <w:tr>
        <w:trPr>
          <w:trHeight w:val="260"/>
        </w:trPr>
        <w:tc>
          <w:tcPr>
            <w:tcW w:w="1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940" w:type="dxa"/>
            <w:vAlign w:val="bottom"/>
          </w:tcPr>
          <w:p>
            <w:pPr>
              <w:ind w:left="740"/>
              <w:spacing w:after="0"/>
              <w:rPr>
                <w:sz w:val="20"/>
                <w:szCs w:val="20"/>
                <w:color w:val="auto"/>
              </w:rPr>
            </w:pPr>
            <w:r>
              <w:rPr>
                <w:rFonts w:ascii="Arial" w:cs="Arial" w:eastAsia="Arial" w:hAnsi="Arial"/>
                <w:sz w:val="22"/>
                <w:szCs w:val="22"/>
                <w:color w:val="auto"/>
              </w:rPr>
              <w:t>Attn: Legal Department</w:t>
            </w:r>
          </w:p>
        </w:tc>
      </w:tr>
      <w:tr>
        <w:trPr>
          <w:trHeight w:val="463"/>
        </w:trPr>
        <w:tc>
          <w:tcPr>
            <w:tcW w:w="1860" w:type="dxa"/>
            <w:vAlign w:val="bottom"/>
            <w:gridSpan w:val="3"/>
          </w:tcPr>
          <w:p>
            <w:pPr>
              <w:spacing w:after="0"/>
              <w:rPr>
                <w:sz w:val="20"/>
                <w:szCs w:val="20"/>
                <w:color w:val="auto"/>
              </w:rPr>
            </w:pPr>
            <w:r>
              <w:rPr>
                <w:rFonts w:ascii="Arial" w:cs="Arial" w:eastAsia="Arial" w:hAnsi="Arial"/>
                <w:sz w:val="22"/>
                <w:szCs w:val="22"/>
                <w:color w:val="auto"/>
              </w:rPr>
              <w:t>TO EMPLOYEE:</w:t>
            </w:r>
          </w:p>
        </w:tc>
        <w:tc>
          <w:tcPr>
            <w:tcW w:w="3940" w:type="dxa"/>
            <w:vAlign w:val="bottom"/>
          </w:tcPr>
          <w:p>
            <w:pPr>
              <w:ind w:left="240"/>
              <w:spacing w:after="0"/>
              <w:rPr>
                <w:sz w:val="20"/>
                <w:szCs w:val="20"/>
                <w:color w:val="auto"/>
              </w:rPr>
            </w:pPr>
            <w:r>
              <w:rPr>
                <w:rFonts w:ascii="Arial" w:cs="Arial" w:eastAsia="Arial" w:hAnsi="Arial"/>
                <w:sz w:val="22"/>
                <w:szCs w:val="22"/>
                <w:color w:val="auto"/>
              </w:rPr>
              <w:t>Stephen Cootey</w:t>
            </w:r>
          </w:p>
        </w:tc>
      </w:tr>
      <w:tr>
        <w:trPr>
          <w:trHeight w:val="284"/>
        </w:trPr>
        <w:tc>
          <w:tcPr>
            <w:tcW w:w="1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40" w:type="dxa"/>
            <w:vAlign w:val="bottom"/>
          </w:tcPr>
          <w:p>
            <w:pPr>
              <w:ind w:left="740"/>
              <w:spacing w:after="0"/>
              <w:rPr>
                <w:sz w:val="20"/>
                <w:szCs w:val="20"/>
                <w:color w:val="auto"/>
              </w:rPr>
            </w:pPr>
            <w:r>
              <w:rPr>
                <w:rFonts w:ascii="Arial" w:cs="Arial" w:eastAsia="Arial" w:hAnsi="Arial"/>
                <w:sz w:val="22"/>
                <w:szCs w:val="22"/>
                <w:color w:val="auto"/>
              </w:rPr>
              <w:t>[intentionally omitted]</w:t>
            </w:r>
          </w:p>
        </w:tc>
      </w:tr>
      <w:tr>
        <w:trPr>
          <w:trHeight w:val="260"/>
        </w:trPr>
        <w:tc>
          <w:tcPr>
            <w:tcW w:w="1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940" w:type="dxa"/>
            <w:vAlign w:val="bottom"/>
          </w:tcPr>
          <w:p>
            <w:pPr>
              <w:ind w:left="740"/>
              <w:spacing w:after="0"/>
              <w:rPr>
                <w:sz w:val="20"/>
                <w:szCs w:val="20"/>
                <w:color w:val="auto"/>
              </w:rPr>
            </w:pPr>
            <w:r>
              <w:rPr>
                <w:rFonts w:ascii="Arial" w:cs="Arial" w:eastAsia="Arial" w:hAnsi="Arial"/>
                <w:sz w:val="22"/>
                <w:szCs w:val="22"/>
                <w:color w:val="auto"/>
              </w:rPr>
              <w:t>[intentionally omitted]</w:t>
            </w:r>
          </w:p>
        </w:tc>
      </w:tr>
    </w:tbl>
    <w:p>
      <w:pPr>
        <w:spacing w:after="0" w:line="254"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Section 17.</w:t>
      </w:r>
    </w:p>
    <w:p>
      <w:pPr>
        <w:spacing w:after="0" w:line="223" w:lineRule="exact"/>
        <w:rPr>
          <w:sz w:val="20"/>
          <w:szCs w:val="20"/>
          <w:color w:val="auto"/>
        </w:rPr>
      </w:pPr>
    </w:p>
    <w:p>
      <w:pPr>
        <w:ind w:firstLine="656"/>
        <w:spacing w:after="0" w:line="274" w:lineRule="auto"/>
        <w:tabs>
          <w:tab w:leader="none" w:pos="1202" w:val="left"/>
        </w:tabs>
        <w:numPr>
          <w:ilvl w:val="0"/>
          <w:numId w:val="80"/>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INTERPRETATION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preamble recitals to this Agreement are incorporated into and made a part of this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Agreement; titles of paragraphs are for convenience only and are not to be considered a part of this Agreement.</w:t>
      </w:r>
    </w:p>
    <w:p>
      <w:pPr>
        <w:spacing w:after="0" w:line="192" w:lineRule="exact"/>
        <w:rPr>
          <w:rFonts w:ascii="Arial" w:cs="Arial" w:eastAsia="Arial" w:hAnsi="Arial"/>
          <w:sz w:val="22"/>
          <w:szCs w:val="22"/>
          <w:b w:val="1"/>
          <w:bCs w:val="1"/>
          <w:i w:val="1"/>
          <w:iCs w:val="1"/>
          <w:color w:val="auto"/>
        </w:rPr>
      </w:pPr>
    </w:p>
    <w:p>
      <w:pPr>
        <w:jc w:val="both"/>
        <w:ind w:firstLine="656"/>
        <w:spacing w:after="0" w:line="258" w:lineRule="auto"/>
        <w:tabs>
          <w:tab w:leader="none" w:pos="1243" w:val="left"/>
        </w:tabs>
        <w:numPr>
          <w:ilvl w:val="0"/>
          <w:numId w:val="80"/>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SEVERABILITY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 the event any one or more provisions of this Agreement is declared judicially void 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otherwise unenforceable, the remainder of this Agreement shall survive and such provision(s) shall be deemed modified or amended so as to fulfill the intent of the parties hereto.</w:t>
      </w:r>
    </w:p>
    <w:p>
      <w:pPr>
        <w:spacing w:after="0" w:line="210" w:lineRule="exact"/>
        <w:rPr>
          <w:rFonts w:ascii="Arial" w:cs="Arial" w:eastAsia="Arial" w:hAnsi="Arial"/>
          <w:sz w:val="22"/>
          <w:szCs w:val="22"/>
          <w:b w:val="1"/>
          <w:bCs w:val="1"/>
          <w:i w:val="1"/>
          <w:iCs w:val="1"/>
          <w:color w:val="auto"/>
        </w:rPr>
      </w:pPr>
    </w:p>
    <w:p>
      <w:pPr>
        <w:jc w:val="both"/>
        <w:ind w:firstLine="656"/>
        <w:spacing w:after="0" w:line="258" w:lineRule="auto"/>
        <w:tabs>
          <w:tab w:leader="none" w:pos="1229" w:val="left"/>
        </w:tabs>
        <w:numPr>
          <w:ilvl w:val="0"/>
          <w:numId w:val="80"/>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WAIVER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None of the terms of this Agreement, or any term, right or remedy hereunder, shall be deemed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waived unless such waiver is in writing and signed by the party to be charged therewith and in no event by reason of any failure to assert or delay in asserting any such term, right or remedy or similar term, right or remedy hereunder.</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903" w:right="239" w:bottom="1440" w:gutter="0" w:footer="0" w:header="0"/>
        </w:sectPr>
      </w:pPr>
    </w:p>
    <w:bookmarkStart w:id="96" w:name="page97"/>
    <w:bookmarkEnd w:id="96"/>
    <w:p>
      <w:pPr>
        <w:jc w:val="both"/>
        <w:ind w:firstLine="656"/>
        <w:spacing w:after="0" w:line="246" w:lineRule="auto"/>
        <w:tabs>
          <w:tab w:leader="none" w:pos="1264" w:val="left"/>
        </w:tabs>
        <w:numPr>
          <w:ilvl w:val="0"/>
          <w:numId w:val="81"/>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DISPUTE RESOLUTION</w:t>
      </w:r>
      <w:r>
        <w:rPr>
          <w:rFonts w:ascii="Arial" w:cs="Arial" w:eastAsia="Arial" w:hAnsi="Arial"/>
          <w:sz w:val="22"/>
          <w:szCs w:val="22"/>
          <w:color w:val="auto"/>
        </w:rPr>
        <w:t>. Except for a claim by either Employee or Employer for injunctive relief where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such would be otherwise authorized by law to enforce Sections 9, 10 and/or 11 of this Agreement, any controversy or claim arising out of or relating to this Agreement, the breach hereof, or Employee's employment by Employer, including without limitation any claim involving the interpretation or application of this Agreement, or claims for wrongful termination, discrimination, or other claims based upon statutory or common law, shall be submitted to binding arbitration in accordance with the employment arbitration rules then in effect of the American Arbitration Association (“</w:t>
      </w:r>
      <w:r>
        <w:rPr>
          <w:rFonts w:ascii="Arial" w:cs="Arial" w:eastAsia="Arial" w:hAnsi="Arial"/>
          <w:sz w:val="22"/>
          <w:szCs w:val="22"/>
          <w:b w:val="1"/>
          <w:bCs w:val="1"/>
          <w:color w:val="auto"/>
        </w:rPr>
        <w:t>AAA</w:t>
      </w:r>
      <w:r>
        <w:rPr>
          <w:rFonts w:ascii="Arial" w:cs="Arial" w:eastAsia="Arial" w:hAnsi="Arial"/>
          <w:sz w:val="22"/>
          <w:szCs w:val="22"/>
          <w:color w:val="auto"/>
        </w:rPr>
        <w:t>”), to the extent not inconsistent with this Section as set forth below. This Section 21 applies to any claim Employee might have against any officer, director, employee, or agent of Employer or its Affiliate, and all successors and assigns of any of them. These arbitration provisions shall survive the termination of Employee’s employment with Employer and the expiration of the Agreement.</w:t>
      </w:r>
    </w:p>
    <w:p>
      <w:pPr>
        <w:spacing w:after="0" w:line="255" w:lineRule="exact"/>
        <w:rPr>
          <w:rFonts w:ascii="Arial" w:cs="Arial" w:eastAsia="Arial" w:hAnsi="Arial"/>
          <w:sz w:val="22"/>
          <w:szCs w:val="22"/>
          <w:b w:val="1"/>
          <w:bCs w:val="1"/>
          <w:i w:val="1"/>
          <w:iCs w:val="1"/>
          <w:color w:val="auto"/>
        </w:rPr>
      </w:pPr>
    </w:p>
    <w:p>
      <w:pPr>
        <w:jc w:val="both"/>
        <w:ind w:left="660" w:firstLine="645"/>
        <w:spacing w:after="0" w:line="243" w:lineRule="auto"/>
        <w:tabs>
          <w:tab w:leader="none" w:pos="2089" w:val="left"/>
        </w:tabs>
        <w:numPr>
          <w:ilvl w:val="1"/>
          <w:numId w:val="81"/>
        </w:numPr>
        <w:rPr>
          <w:rFonts w:ascii="Arial" w:cs="Arial" w:eastAsia="Arial" w:hAnsi="Arial"/>
          <w:sz w:val="22"/>
          <w:szCs w:val="22"/>
          <w:color w:val="auto"/>
        </w:rPr>
      </w:pPr>
      <w:r>
        <w:rPr>
          <w:rFonts w:ascii="Arial" w:cs="Arial" w:eastAsia="Arial" w:hAnsi="Arial"/>
          <w:sz w:val="22"/>
          <w:szCs w:val="22"/>
          <w:color w:val="auto"/>
        </w:rPr>
        <w:t>Coverage of Arbitration Agreement: The promises by Employer and Employee to arbitrate differences, rather than litigate them before courts or other bodies, provide consideration for each other, in addition to other consideration provided under the Agreement. The parties contemplate by this Section 21 arbitration of all claims against each of them to the fullest extent permitted by law except as specifically excluded by this Agreement. Only claims that are justiciable or arguably justiciable under applicable federal, state or local law are covered by this Section, and include, without limitation, any and all alleged violations of any federal, state or local law whether common law, statutory, arising under regulation or ordinance, or any other law, brought by any current or former employee. Such claims may include, but are not limited to, claims for: wages or other compensation; breach of contract; torts; work-related injury claims not covered under workers’ compensation laws; wrongful discharge; and any and all unlawful employment discrimination and/or harassment claims. This Section 21 excludes claims under state workers’ compensation or unemployment compensation statutes; claims pertaining to any of Employer’s employee welfare, insurance, benefit, and pension plans, with respect to which are applicable the filing and appeal procedures of such plans shall apply to any denial of benefits; and claims for injunctive or equitable relief for violations of non-competition and/or confidentiality agreements in Sections 9, 10 and 11.</w:t>
      </w:r>
    </w:p>
    <w:p>
      <w:pPr>
        <w:spacing w:after="0" w:line="263" w:lineRule="exact"/>
        <w:rPr>
          <w:rFonts w:ascii="Arial" w:cs="Arial" w:eastAsia="Arial" w:hAnsi="Arial"/>
          <w:sz w:val="22"/>
          <w:szCs w:val="22"/>
          <w:color w:val="auto"/>
        </w:rPr>
      </w:pPr>
    </w:p>
    <w:p>
      <w:pPr>
        <w:jc w:val="both"/>
        <w:ind w:left="660" w:firstLine="645"/>
        <w:spacing w:after="0" w:line="245" w:lineRule="auto"/>
        <w:tabs>
          <w:tab w:leader="none" w:pos="1953" w:val="left"/>
        </w:tabs>
        <w:numPr>
          <w:ilvl w:val="1"/>
          <w:numId w:val="81"/>
        </w:numPr>
        <w:rPr>
          <w:rFonts w:ascii="Arial" w:cs="Arial" w:eastAsia="Arial" w:hAnsi="Arial"/>
          <w:sz w:val="22"/>
          <w:szCs w:val="22"/>
          <w:color w:val="auto"/>
        </w:rPr>
      </w:pPr>
      <w:r>
        <w:rPr>
          <w:rFonts w:ascii="Arial" w:cs="Arial" w:eastAsia="Arial" w:hAnsi="Arial"/>
          <w:sz w:val="22"/>
          <w:szCs w:val="22"/>
          <w:color w:val="auto"/>
        </w:rPr>
        <w:t>Waiver of Rights to Pursue Claims in Court and to Jury Trial: This Section 21 does not in any manner waive any rights or remedies available under applicable statutes or common law, but does waive Employer’s and Employee's rights to pursue those rights and remedies in a judicial forum and waive any right to trial by jury of any claims covered by this Section 21(a). By signing this Agreement, the parties voluntarily agree to arbitrate any covered claims against each other. In the event of any</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1133" w:right="239" w:bottom="1440" w:gutter="0" w:footer="0" w:header="0"/>
        </w:sectPr>
      </w:pPr>
    </w:p>
    <w:bookmarkStart w:id="97" w:name="page98"/>
    <w:bookmarkEnd w:id="97"/>
    <w:p>
      <w:pPr>
        <w:jc w:val="both"/>
        <w:spacing w:after="0" w:line="245" w:lineRule="auto"/>
        <w:rPr>
          <w:sz w:val="20"/>
          <w:szCs w:val="20"/>
          <w:color w:val="auto"/>
        </w:rPr>
      </w:pPr>
      <w:r>
        <w:rPr>
          <w:rFonts w:ascii="Arial" w:cs="Arial" w:eastAsia="Arial" w:hAnsi="Arial"/>
          <w:sz w:val="22"/>
          <w:szCs w:val="22"/>
          <w:color w:val="auto"/>
        </w:rPr>
        <w:t>administrative or judicial action by any agency or third party to adjudicate, on behalf of Employee, a claim subject to arbitration, Employee hereby waives the right to participate in any monetary or other recovery obtained by such agency or third party in any such action, and Employee's sole remedy with respect to any such claim will be any award decreed by an arbitrator pursuant to the provisions of this Agreement.</w:t>
      </w:r>
    </w:p>
    <w:p>
      <w:pPr>
        <w:spacing w:after="0" w:line="250" w:lineRule="exact"/>
        <w:rPr>
          <w:sz w:val="20"/>
          <w:szCs w:val="20"/>
          <w:color w:val="auto"/>
        </w:rPr>
      </w:pPr>
    </w:p>
    <w:p>
      <w:pPr>
        <w:jc w:val="both"/>
        <w:ind w:firstLine="645"/>
        <w:spacing w:after="0" w:line="244" w:lineRule="auto"/>
        <w:tabs>
          <w:tab w:leader="none" w:pos="1171" w:val="left"/>
        </w:tabs>
        <w:numPr>
          <w:ilvl w:val="0"/>
          <w:numId w:val="82"/>
        </w:numPr>
        <w:rPr>
          <w:rFonts w:ascii="Arial" w:cs="Arial" w:eastAsia="Arial" w:hAnsi="Arial"/>
          <w:sz w:val="22"/>
          <w:szCs w:val="22"/>
          <w:color w:val="auto"/>
        </w:rPr>
      </w:pPr>
      <w:r>
        <w:rPr>
          <w:rFonts w:ascii="Arial" w:cs="Arial" w:eastAsia="Arial" w:hAnsi="Arial"/>
          <w:sz w:val="22"/>
          <w:szCs w:val="22"/>
          <w:color w:val="auto"/>
        </w:rPr>
        <w:t>Initiation of Arbitration: To commence arbitration of a claim subject to this Section 21, the aggrieved party must, within the time frame provided in Section 21(d) below, make written demand for arbitration and provide written notice of that demand to the other party. If a claim is brought by Employee against Employer, such notice shall be given to Employer’s Legal Department. Such written notice must identify and describe the nature of the claim, the supporting facts, and the relief or remedy sought. In the event that either party files an action in any court to pursue any of the claims covered by this Section 21, the complaint, petition or other initial pleading commencing such court action shall be considered the demand for arbitration. In such event, the other party may move that court to compel arbitration.</w:t>
      </w:r>
    </w:p>
    <w:p>
      <w:pPr>
        <w:spacing w:after="0" w:line="251" w:lineRule="exact"/>
        <w:rPr>
          <w:rFonts w:ascii="Arial" w:cs="Arial" w:eastAsia="Arial" w:hAnsi="Arial"/>
          <w:sz w:val="22"/>
          <w:szCs w:val="22"/>
          <w:color w:val="auto"/>
        </w:rPr>
      </w:pPr>
    </w:p>
    <w:p>
      <w:pPr>
        <w:jc w:val="both"/>
        <w:ind w:firstLine="645"/>
        <w:spacing w:after="0" w:line="244" w:lineRule="auto"/>
        <w:tabs>
          <w:tab w:leader="none" w:pos="1234" w:val="left"/>
        </w:tabs>
        <w:numPr>
          <w:ilvl w:val="0"/>
          <w:numId w:val="82"/>
        </w:numPr>
        <w:rPr>
          <w:rFonts w:ascii="Arial" w:cs="Arial" w:eastAsia="Arial" w:hAnsi="Arial"/>
          <w:sz w:val="22"/>
          <w:szCs w:val="22"/>
          <w:color w:val="auto"/>
        </w:rPr>
      </w:pPr>
      <w:r>
        <w:rPr>
          <w:rFonts w:ascii="Arial" w:cs="Arial" w:eastAsia="Arial" w:hAnsi="Arial"/>
          <w:sz w:val="22"/>
          <w:szCs w:val="22"/>
          <w:color w:val="auto"/>
        </w:rPr>
        <w:t>Time Limit to Initiate Arbitration: To ensure timely resolution of disputes, Employee and Employer must initiate arbitration within the statute of limitations (deadline for filing) provided by applicable law pertaining to the claim, or one year, whichever is shorter, except that the statute of limitations imposed by relevant law will solely apply in circumstances where such statute of limitations cannot legally be shortened by private agreement. The failure to initiate arbitration within this time limit will bar any such claim. The parties understand that Employer and Employee are waiving any longer statutes of limitations that would otherwise apply, and any aggrieved party is encouraged to give written notice of any claim as soon as possible after the event(s) in dispute so that arbitration of any differences may take place promptly.</w:t>
      </w:r>
    </w:p>
    <w:p>
      <w:pPr>
        <w:spacing w:after="0" w:line="251" w:lineRule="exact"/>
        <w:rPr>
          <w:rFonts w:ascii="Arial" w:cs="Arial" w:eastAsia="Arial" w:hAnsi="Arial"/>
          <w:sz w:val="22"/>
          <w:szCs w:val="22"/>
          <w:color w:val="auto"/>
        </w:rPr>
      </w:pPr>
    </w:p>
    <w:p>
      <w:pPr>
        <w:jc w:val="both"/>
        <w:ind w:firstLine="645"/>
        <w:spacing w:after="0" w:line="244" w:lineRule="auto"/>
        <w:tabs>
          <w:tab w:leader="none" w:pos="1177" w:val="left"/>
        </w:tabs>
        <w:numPr>
          <w:ilvl w:val="0"/>
          <w:numId w:val="82"/>
        </w:numPr>
        <w:rPr>
          <w:rFonts w:ascii="Arial" w:cs="Arial" w:eastAsia="Arial" w:hAnsi="Arial"/>
          <w:sz w:val="22"/>
          <w:szCs w:val="22"/>
          <w:color w:val="auto"/>
        </w:rPr>
      </w:pPr>
      <w:r>
        <w:rPr>
          <w:rFonts w:ascii="Arial" w:cs="Arial" w:eastAsia="Arial" w:hAnsi="Arial"/>
          <w:sz w:val="22"/>
          <w:szCs w:val="22"/>
          <w:color w:val="auto"/>
        </w:rPr>
        <w:t>Arbitrator Selection: The parties contemplate that, except as specifically set forth in this Section 21, selection of one (1) arbitrator shall take place pursuant to the then-current rules of the AAA applicable to employment disputes. The arbitrator must be either a retired judge or an attorney experienced in employment law. The parties will select one arbitrator from among a list of qualified neutral arbitrators provided by AAA. If the parties are unable to agree on the arbitrator, the parties will select an arbitrator by alternatively striking names from a list of qualified arbitrators provided by AAA. AAA will flip a coin to determine which party has the final strike (that is, when the list has been narrowed by striking to two arbitrators). The remaining named arbitrator will be selected.</w:t>
      </w:r>
    </w:p>
    <w:p>
      <w:pPr>
        <w:spacing w:after="0" w:line="200" w:lineRule="exact"/>
        <w:rPr>
          <w:sz w:val="20"/>
          <w:szCs w:val="20"/>
          <w:color w:val="auto"/>
        </w:rPr>
      </w:pPr>
    </w:p>
    <w:p>
      <w:pPr>
        <w:spacing w:after="0" w:line="295"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760"/>
          </w:cols>
          <w:pgMar w:left="900" w:top="903" w:right="239" w:bottom="1440" w:gutter="0" w:footer="0" w:header="0"/>
        </w:sectPr>
      </w:pPr>
    </w:p>
    <w:bookmarkStart w:id="98" w:name="page99"/>
    <w:bookmarkEnd w:id="98"/>
    <w:p>
      <w:pPr>
        <w:jc w:val="both"/>
        <w:ind w:left="-540" w:firstLine="645"/>
        <w:spacing w:after="0" w:line="256" w:lineRule="auto"/>
        <w:tabs>
          <w:tab w:leader="none" w:pos="601" w:val="left"/>
        </w:tabs>
        <w:numPr>
          <w:ilvl w:val="0"/>
          <w:numId w:val="83"/>
        </w:numPr>
        <w:rPr>
          <w:rFonts w:ascii="Arial" w:cs="Arial" w:eastAsia="Arial" w:hAnsi="Arial"/>
          <w:sz w:val="21"/>
          <w:szCs w:val="21"/>
          <w:color w:val="auto"/>
        </w:rPr>
      </w:pPr>
      <w:r>
        <w:rPr>
          <w:rFonts w:ascii="Arial" w:cs="Arial" w:eastAsia="Arial" w:hAnsi="Arial"/>
          <w:sz w:val="21"/>
          <w:szCs w:val="21"/>
          <w:color w:val="auto"/>
        </w:rPr>
        <w:t>Arbitration Rights and Procedures: Employee may be represented by an attorney of his/her choice at his/her own expense. Any arbitration hearing or proceeding will take place in private, not open to the public, in Clark County, Nevada. The arbitrator shall apply the substantive law (and the law of remedies, if applicable) of Nevada (without regard to its choice of law provisions) and/or federal law when applicable. The arbitrator is without power or jurisdiction to apply any different substantive law or law of remedies or to modify any term or condition of this Agreement. The arbitrator will have no power or authority to award non-economic damages or punitive damages except where such relief is specifically authorized by an applicable federal, state or local statute or ordinance, or common law. In such a situation, the arbitrator shall specify in the award the specific statute or other basis under which such relief is granted. The applicable law with respect to privilege, including attorney-client privilege, work product, and offers to compromise must be followed. The parties will have the right to conduct reasonable discovery, including written and oral (deposition) discovery and to subpoena and/or request copies of records, documents and other relevant discoverable information consistent with the procedural rules of AAA. The arbitrator will decide disputes regarding the scope of discovery and will have authority to regulate the conduct of any hearing. The arbitrator will have the right to entertain a motion or request to dismiss, for summary judgment, or for other summary disposition. The parties will exchange witness lists at least 30 days prior to the hearing. The arbitrator will have subpoena power so that either Employee or Employer may summon witnesses. The arbitrator will use the Federal Rules of Evidence in connection with the admission of all evidence at the hearing. Both parties shall have the right to file post-hearing briefs. Any party, at its own expense, may arrange for and pay the cost of a court reporter to provide a stenographic record of the proceedings.</w:t>
      </w:r>
    </w:p>
    <w:p>
      <w:pPr>
        <w:spacing w:after="0" w:line="237" w:lineRule="exact"/>
        <w:rPr>
          <w:rFonts w:ascii="Arial" w:cs="Arial" w:eastAsia="Arial" w:hAnsi="Arial"/>
          <w:sz w:val="21"/>
          <w:szCs w:val="21"/>
          <w:color w:val="auto"/>
        </w:rPr>
      </w:pPr>
    </w:p>
    <w:p>
      <w:pPr>
        <w:jc w:val="both"/>
        <w:ind w:left="-540" w:firstLine="645"/>
        <w:spacing w:after="0" w:line="258" w:lineRule="auto"/>
        <w:tabs>
          <w:tab w:leader="none" w:pos="607" w:val="left"/>
        </w:tabs>
        <w:numPr>
          <w:ilvl w:val="0"/>
          <w:numId w:val="83"/>
        </w:numPr>
        <w:rPr>
          <w:rFonts w:ascii="Arial" w:cs="Arial" w:eastAsia="Arial" w:hAnsi="Arial"/>
          <w:sz w:val="21"/>
          <w:szCs w:val="21"/>
          <w:color w:val="auto"/>
        </w:rPr>
      </w:pPr>
      <w:r>
        <w:rPr>
          <w:rFonts w:ascii="Arial" w:cs="Arial" w:eastAsia="Arial" w:hAnsi="Arial"/>
          <w:sz w:val="21"/>
          <w:szCs w:val="21"/>
          <w:color w:val="auto"/>
        </w:rPr>
        <w:t>Arbitrator’s Award: The arbitrator will issue a written decision containing the specific issues raised by the parties, the specific findings of fact, and the specific conclusions of law. The award will be rendered promptly, typically within 30 days after conclusion of the arbitration hearing, or after the submission of post-hearing briefs if requested. The arbitrator shall have no power or authority to award any relief or remedy in excess of what a court could grant under applicable law. The arbitrator’s decision shall be final and binding on both parties. Judgment upon an award rendered by the arbitrator may be entered in any court having competent jurisdiction.</w:t>
      </w:r>
    </w:p>
    <w:p>
      <w:pPr>
        <w:spacing w:after="0" w:line="238" w:lineRule="exact"/>
        <w:rPr>
          <w:rFonts w:ascii="Arial" w:cs="Arial" w:eastAsia="Arial" w:hAnsi="Arial"/>
          <w:sz w:val="21"/>
          <w:szCs w:val="21"/>
          <w:color w:val="auto"/>
        </w:rPr>
      </w:pPr>
    </w:p>
    <w:p>
      <w:pPr>
        <w:jc w:val="both"/>
        <w:ind w:left="-540" w:firstLine="645"/>
        <w:spacing w:after="0" w:line="245" w:lineRule="auto"/>
        <w:tabs>
          <w:tab w:leader="none" w:pos="705" w:val="left"/>
        </w:tabs>
        <w:numPr>
          <w:ilvl w:val="0"/>
          <w:numId w:val="83"/>
        </w:numPr>
        <w:rPr>
          <w:rFonts w:ascii="Arial" w:cs="Arial" w:eastAsia="Arial" w:hAnsi="Arial"/>
          <w:sz w:val="22"/>
          <w:szCs w:val="22"/>
          <w:color w:val="auto"/>
        </w:rPr>
      </w:pPr>
      <w:r>
        <w:rPr>
          <w:rFonts w:ascii="Arial" w:cs="Arial" w:eastAsia="Arial" w:hAnsi="Arial"/>
          <w:sz w:val="22"/>
          <w:szCs w:val="22"/>
          <w:color w:val="auto"/>
        </w:rPr>
        <w:t>Fees and Expenses: Unless the law requires otherwise for a particular claim or claims, the party demanding arbitration bears the responsibility for payment of the fee to file with AAA and the fees and expenses of the arbitrator shall be allocated by the AAA under its rules and procedures. Employee and Employer shall each pay his/her/its own</w:t>
      </w:r>
    </w:p>
    <w:p>
      <w:pPr>
        <w:spacing w:after="0" w:line="23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0220"/>
          </w:cols>
          <w:pgMar w:left="1440" w:top="903" w:right="239" w:bottom="1440" w:gutter="0" w:footer="0" w:header="0"/>
        </w:sectPr>
      </w:pPr>
    </w:p>
    <w:bookmarkStart w:id="99" w:name="page100"/>
    <w:bookmarkEnd w:id="99"/>
    <w:p>
      <w:pPr>
        <w:jc w:val="both"/>
        <w:ind w:left="660"/>
        <w:spacing w:after="0" w:line="261" w:lineRule="auto"/>
        <w:rPr>
          <w:sz w:val="20"/>
          <w:szCs w:val="20"/>
          <w:color w:val="auto"/>
        </w:rPr>
      </w:pPr>
      <w:r>
        <w:rPr>
          <w:rFonts w:ascii="Arial" w:cs="Arial" w:eastAsia="Arial" w:hAnsi="Arial"/>
          <w:sz w:val="21"/>
          <w:szCs w:val="21"/>
          <w:color w:val="auto"/>
        </w:rPr>
        <w:t>expenses for presentation of their cases, including but not limited to attorney’s fees, costs, and fees for witnesses, photocopying and other preparation expenses. If any party prevails on a statutory claim that affords the prevailing party attorney’s fees and costs, the arbitrator may award reasonable attorney’s fees and/or costs to the prevailing party, applying the same standards a court would apply under the law applicable to the claim.</w:t>
      </w:r>
    </w:p>
    <w:p>
      <w:pPr>
        <w:spacing w:after="0" w:line="207" w:lineRule="exact"/>
        <w:rPr>
          <w:sz w:val="20"/>
          <w:szCs w:val="20"/>
          <w:color w:val="auto"/>
        </w:rPr>
      </w:pPr>
    </w:p>
    <w:p>
      <w:pPr>
        <w:jc w:val="both"/>
        <w:ind w:firstLine="656"/>
        <w:spacing w:after="0" w:line="247" w:lineRule="auto"/>
        <w:tabs>
          <w:tab w:leader="none" w:pos="1432" w:val="left"/>
        </w:tabs>
        <w:numPr>
          <w:ilvl w:val="0"/>
          <w:numId w:val="8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u w:val="single" w:color="auto"/>
          <w:color w:val="auto"/>
        </w:rPr>
        <w:t>PAROL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This Agreement constitutes the entire agreement between Employer and Employee,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supersedes any prior understandings, agreements, undertakings or severance policies or plans by and between Employer or its Affiliates, on the one side, and Employee, on the other side, with respect to its subject matter or Employee’s employment with Employer or its Affiliates. As of the Effective Date, this Agreement supersedes and replaces any and all prior employment agreements, change in control agreements and severance plans or agreements, whether written or oral, by and between Employee, on the one side, and Employer or any of Employer’s Affiliates, on the other side, or under which Employee is a participant. From and after the Effective Date, Employee shall be employed by Employer under the terms and pursuant to the conditions set forth in this Agreement.</w:t>
      </w:r>
    </w:p>
    <w:p>
      <w:pPr>
        <w:spacing w:after="0" w:line="226" w:lineRule="exact"/>
        <w:rPr>
          <w:rFonts w:ascii="Arial" w:cs="Arial" w:eastAsia="Arial" w:hAnsi="Arial"/>
          <w:sz w:val="22"/>
          <w:szCs w:val="22"/>
          <w:b w:val="1"/>
          <w:bCs w:val="1"/>
          <w:i w:val="1"/>
          <w:iCs w:val="1"/>
          <w:color w:val="auto"/>
        </w:rPr>
      </w:pPr>
    </w:p>
    <w:p>
      <w:pPr>
        <w:jc w:val="both"/>
        <w:ind w:firstLine="656"/>
        <w:spacing w:after="0" w:line="257" w:lineRule="auto"/>
        <w:tabs>
          <w:tab w:leader="none" w:pos="1243" w:val="left"/>
        </w:tabs>
        <w:numPr>
          <w:ilvl w:val="0"/>
          <w:numId w:val="84"/>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u w:val="single" w:color="auto"/>
          <w:color w:val="auto"/>
        </w:rPr>
        <w:t>FCPA COMPLIANCE</w:t>
      </w:r>
      <w:r>
        <w:rPr>
          <w:rFonts w:ascii="Arial" w:cs="Arial" w:eastAsia="Arial" w:hAnsi="Arial"/>
          <w:sz w:val="21"/>
          <w:szCs w:val="21"/>
          <w:color w:val="auto"/>
        </w:rPr>
        <w:t>. Employer advises Employee that the United States Foreign Corrupt Practices Act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(“FCPA”) prohibits offering, providing, or promising anything of value (including money, preferential treatment, and any other sort of advantage), either directly or indirectly, by a United States company, or any of its employees, subsidiaries, affiliates, or agents, to an official of a foreign government, a foreign political party, party official, or candidate for foreign political office (or any family members of any of these real persons), for the purposes of influencing an act or decision in that individual’s official capacity, or inducing the official to use his or her influence with the foreign government to assist the United States company, its subsidiaries or affiliates, or anyone else, in obtaining or retaining business. Employee understands that Employee may not directly or indirectly offer, promise, grant, or authorize the giving of money or anything else of value to a government official to influence official action or obtain an improper advantage. Employee understands that these legal restrictions apply fully to Employee with regard to Employee’s activities in the course of or in relation to Employee’s employment with Employer, regardless of Employee’s physical location. Employee represents and warrants that Employee will act in accordance with all applicable laws regarding anti-corruption, including the FCPA, the U.K. Bribery Act, and all other state, federal, and international laws related to anti-corruption. Employee agrees that he or she will not take any action which would cause Employer to be in violation of the FCPA or any other applicable anti-corruption law, regulation, or Company policy or procedure. Employee further represents and warrants that Employee will know and understand, and act in accordance with, all Company policies and procedures related to anti-corruption and business conduct. Employee agrees to attend mandatory compliance training. Employee undertakes to duly notify Employer if Employee becomes aware of any such violation of Company policies or procedures, or any other violation of law, committed by Employee or any other person or entity, and to</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903" w:right="239" w:bottom="1440" w:gutter="0" w:footer="0" w:header="0"/>
        </w:sectPr>
      </w:pPr>
    </w:p>
    <w:bookmarkStart w:id="100" w:name="page101"/>
    <w:bookmarkEnd w:id="100"/>
    <w:p>
      <w:pPr>
        <w:jc w:val="both"/>
        <w:spacing w:after="0" w:line="249" w:lineRule="auto"/>
        <w:rPr>
          <w:sz w:val="20"/>
          <w:szCs w:val="20"/>
          <w:color w:val="auto"/>
        </w:rPr>
      </w:pPr>
      <w:r>
        <w:rPr>
          <w:rFonts w:ascii="Arial" w:cs="Arial" w:eastAsia="Arial" w:hAnsi="Arial"/>
          <w:sz w:val="22"/>
          <w:szCs w:val="22"/>
          <w:color w:val="auto"/>
        </w:rPr>
        <w:t>indemnify Employer for any losses, damages, fines, and/or penalties which Employer may suffer or incur arising out of or incidental to any such violation committed by Employee.</w:t>
      </w:r>
    </w:p>
    <w:p>
      <w:pPr>
        <w:spacing w:after="0" w:line="245"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Employee also represents and warrants that Employee will disclose to the Employer if Employee or any member of Employee’s family is an official of a foreign government or foreign political party, or is a candidate for foreign political office.</w:t>
      </w:r>
    </w:p>
    <w:p>
      <w:pPr>
        <w:spacing w:after="0" w:line="249"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In case of breach of this provision, the Employer may suspend or terminate this Agreement at any time without notice or indemnity.</w:t>
      </w:r>
    </w:p>
    <w:p>
      <w:pPr>
        <w:spacing w:after="0" w:line="219" w:lineRule="exact"/>
        <w:rPr>
          <w:sz w:val="20"/>
          <w:szCs w:val="20"/>
          <w:color w:val="auto"/>
        </w:rPr>
      </w:pPr>
    </w:p>
    <w:p>
      <w:pPr>
        <w:jc w:val="both"/>
        <w:ind w:firstLine="656"/>
        <w:spacing w:after="0" w:line="258" w:lineRule="auto"/>
        <w:tabs>
          <w:tab w:leader="none" w:pos="1275" w:val="left"/>
        </w:tabs>
        <w:numPr>
          <w:ilvl w:val="0"/>
          <w:numId w:val="85"/>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 xml:space="preserve">REVIEW BY PARTIES AND THEIR LEGAL COUNSEL. </w:t>
      </w:r>
      <w:r>
        <w:rPr>
          <w:rFonts w:ascii="Arial" w:cs="Arial" w:eastAsia="Arial" w:hAnsi="Arial"/>
          <w:sz w:val="22"/>
          <w:szCs w:val="22"/>
          <w:color w:val="auto"/>
        </w:rPr>
        <w:t>The parties represent that they have read this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Agreement and acknowledge that they have discussed its contents with their respective legal counsel or have been afforded the opportunity to avail themselves of the opportunity to the extent they each wished to do so.</w:t>
      </w:r>
    </w:p>
    <w:p>
      <w:pPr>
        <w:spacing w:after="0" w:line="211" w:lineRule="exact"/>
        <w:rPr>
          <w:sz w:val="20"/>
          <w:szCs w:val="20"/>
          <w:color w:val="auto"/>
        </w:rPr>
      </w:pPr>
    </w:p>
    <w:p>
      <w:pPr>
        <w:ind w:right="20" w:firstLine="648"/>
        <w:spacing w:after="0" w:line="274" w:lineRule="auto"/>
        <w:rPr>
          <w:sz w:val="20"/>
          <w:szCs w:val="20"/>
          <w:color w:val="auto"/>
        </w:rPr>
      </w:pPr>
      <w:r>
        <w:rPr>
          <w:rFonts w:ascii="Arial" w:cs="Arial" w:eastAsia="Arial" w:hAnsi="Arial"/>
          <w:sz w:val="22"/>
          <w:szCs w:val="22"/>
          <w:b w:val="1"/>
          <w:bCs w:val="1"/>
          <w:i w:val="1"/>
          <w:iCs w:val="1"/>
          <w:color w:val="auto"/>
        </w:rPr>
        <w:t xml:space="preserve">IN WITNESS WHEREOF AND INTENDING TO BE LEGALLY BOUND THEREBY, </w:t>
      </w:r>
      <w:r>
        <w:rPr>
          <w:rFonts w:ascii="Arial" w:cs="Arial" w:eastAsia="Arial" w:hAnsi="Arial"/>
          <w:sz w:val="22"/>
          <w:szCs w:val="22"/>
          <w:color w:val="auto"/>
        </w:rPr>
        <w:t>the parties hereto have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executed and delivered this Agreement as of the year and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500" w:type="dxa"/>
            <w:vAlign w:val="bottom"/>
          </w:tcPr>
          <w:p>
            <w:pPr>
              <w:ind w:left="40"/>
              <w:spacing w:after="0"/>
              <w:rPr>
                <w:sz w:val="20"/>
                <w:szCs w:val="20"/>
                <w:color w:val="auto"/>
              </w:rPr>
            </w:pPr>
            <w:r>
              <w:rPr>
                <w:rFonts w:ascii="Arial" w:cs="Arial" w:eastAsia="Arial" w:hAnsi="Arial"/>
                <w:sz w:val="22"/>
                <w:szCs w:val="22"/>
                <w:b w:val="1"/>
                <w:bCs w:val="1"/>
                <w:color w:val="auto"/>
              </w:rPr>
              <w:t>WYNN RESORTS, LIMITED</w:t>
            </w:r>
          </w:p>
        </w:tc>
        <w:tc>
          <w:tcPr>
            <w:tcW w:w="46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22"/>
                <w:szCs w:val="22"/>
                <w:b w:val="1"/>
                <w:bCs w:val="1"/>
                <w:color w:val="auto"/>
              </w:rPr>
              <w:t>EMPLOYEE</w:t>
            </w:r>
          </w:p>
        </w:tc>
      </w:tr>
      <w:tr>
        <w:trPr>
          <w:trHeight w:val="632"/>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Matt Maddox</w:t>
            </w:r>
          </w:p>
        </w:tc>
        <w:tc>
          <w:tcPr>
            <w:tcW w:w="460" w:type="dxa"/>
            <w:vAlign w:val="bottom"/>
          </w:tcPr>
          <w:p>
            <w:pPr>
              <w:spacing w:after="0"/>
              <w:rPr>
                <w:sz w:val="24"/>
                <w:szCs w:val="24"/>
                <w:color w:val="auto"/>
              </w:rPr>
            </w:pP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Stephen Cootey</w:t>
            </w:r>
          </w:p>
        </w:tc>
      </w:tr>
      <w:tr>
        <w:trPr>
          <w:trHeight w:val="280"/>
        </w:trPr>
        <w:tc>
          <w:tcPr>
            <w:tcW w:w="5500" w:type="dxa"/>
            <w:vAlign w:val="bottom"/>
          </w:tcPr>
          <w:p>
            <w:pPr>
              <w:ind w:left="40"/>
              <w:spacing w:after="0"/>
              <w:rPr>
                <w:sz w:val="20"/>
                <w:szCs w:val="20"/>
                <w:color w:val="auto"/>
              </w:rPr>
            </w:pPr>
            <w:r>
              <w:rPr>
                <w:rFonts w:ascii="Arial" w:cs="Arial" w:eastAsia="Arial" w:hAnsi="Arial"/>
                <w:sz w:val="22"/>
                <w:szCs w:val="22"/>
                <w:color w:val="auto"/>
              </w:rPr>
              <w:t>Matt Maddox</w:t>
            </w:r>
          </w:p>
        </w:tc>
        <w:tc>
          <w:tcPr>
            <w:tcW w:w="46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22"/>
                <w:szCs w:val="22"/>
                <w:color w:val="auto"/>
              </w:rPr>
              <w:t>Stephen Cootey</w:t>
            </w:r>
          </w:p>
        </w:tc>
      </w:tr>
      <w:tr>
        <w:trPr>
          <w:trHeight w:val="297"/>
        </w:trPr>
        <w:tc>
          <w:tcPr>
            <w:tcW w:w="5500" w:type="dxa"/>
            <w:vAlign w:val="bottom"/>
          </w:tcPr>
          <w:p>
            <w:pPr>
              <w:ind w:left="40"/>
              <w:spacing w:after="0"/>
              <w:rPr>
                <w:sz w:val="20"/>
                <w:szCs w:val="20"/>
                <w:color w:val="auto"/>
              </w:rPr>
            </w:pPr>
            <w:r>
              <w:rPr>
                <w:rFonts w:ascii="Arial" w:cs="Arial" w:eastAsia="Arial" w:hAnsi="Arial"/>
                <w:sz w:val="22"/>
                <w:szCs w:val="22"/>
                <w:color w:val="auto"/>
              </w:rPr>
              <w:t>Chief Financial Officer</w:t>
            </w:r>
          </w:p>
        </w:tc>
        <w:tc>
          <w:tcPr>
            <w:tcW w:w="46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783"/>
        </w:trPr>
        <w:tc>
          <w:tcPr>
            <w:tcW w:w="550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Arial" w:cs="Arial" w:eastAsia="Arial" w:hAnsi="Arial"/>
                <w:sz w:val="22"/>
                <w:szCs w:val="22"/>
                <w:color w:val="auto"/>
              </w:rPr>
              <w:t>22</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903" w:right="239" w:bottom="1440" w:gutter="0" w:footer="0" w:header="0"/>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80"/>
        <w:spacing w:after="0"/>
        <w:rPr>
          <w:sz w:val="20"/>
          <w:szCs w:val="20"/>
          <w:color w:val="auto"/>
        </w:rPr>
      </w:pPr>
      <w:r>
        <w:rPr>
          <w:rFonts w:ascii="Arial" w:cs="Arial" w:eastAsia="Arial" w:hAnsi="Arial"/>
          <w:sz w:val="21"/>
          <w:szCs w:val="21"/>
          <w:b w:val="1"/>
          <w:bCs w:val="1"/>
          <w:u w:val="single" w:color="auto"/>
          <w:color w:val="auto"/>
        </w:rPr>
        <w:t>____________________________________________</w:t>
      </w: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EMPLOYMENT AGREEMENT</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(“Agreement”)</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 by and between -</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WYNN RESORTS, LIMITED</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(“Employer”)</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 and -</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STEPHEN COOTEY</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(“Employee”)</w:t>
      </w:r>
    </w:p>
    <w:p>
      <w:pPr>
        <w:spacing w:after="0" w:line="4" w:lineRule="exact"/>
        <w:rPr>
          <w:sz w:val="20"/>
          <w:szCs w:val="20"/>
          <w:color w:val="auto"/>
        </w:rPr>
      </w:pPr>
    </w:p>
    <w:p>
      <w:pPr>
        <w:ind w:left="1880"/>
        <w:spacing w:after="0"/>
        <w:rPr>
          <w:sz w:val="20"/>
          <w:szCs w:val="20"/>
          <w:color w:val="auto"/>
        </w:rPr>
      </w:pPr>
      <w:r>
        <w:rPr>
          <w:rFonts w:ascii="Arial" w:cs="Arial" w:eastAsia="Arial" w:hAnsi="Arial"/>
          <w:sz w:val="21"/>
          <w:szCs w:val="21"/>
          <w:b w:val="1"/>
          <w:bCs w:val="1"/>
          <w:u w:val="single" w:color="auto"/>
          <w:color w:val="auto"/>
        </w:rPr>
        <w:t>____________________________________________</w:t>
      </w:r>
    </w:p>
    <w:p>
      <w:pPr>
        <w:spacing w:after="0" w:line="246" w:lineRule="exact"/>
        <w:rPr>
          <w:sz w:val="20"/>
          <w:szCs w:val="20"/>
          <w:color w:val="auto"/>
        </w:rPr>
      </w:pPr>
    </w:p>
    <w:p>
      <w:pPr>
        <w:jc w:val="center"/>
        <w:ind w:right="-20"/>
        <w:spacing w:after="0"/>
        <w:tabs>
          <w:tab w:leader="none" w:pos="220" w:val="left"/>
        </w:tabs>
        <w:rPr>
          <w:sz w:val="20"/>
          <w:szCs w:val="20"/>
          <w:color w:val="auto"/>
        </w:rPr>
      </w:pPr>
      <w:r>
        <w:rPr>
          <w:rFonts w:ascii="Arial" w:cs="Arial" w:eastAsia="Arial" w:hAnsi="Arial"/>
          <w:sz w:val="22"/>
          <w:szCs w:val="22"/>
          <w:b w:val="1"/>
          <w:bCs w:val="1"/>
          <w:color w:val="auto"/>
        </w:rPr>
        <w:t>DATED:</w:t>
      </w:r>
      <w:r>
        <w:rPr>
          <w:sz w:val="20"/>
          <w:szCs w:val="20"/>
          <w:color w:val="auto"/>
        </w:rPr>
        <w:tab/>
      </w:r>
      <w:r>
        <w:rPr>
          <w:rFonts w:ascii="Arial" w:cs="Arial" w:eastAsia="Arial" w:hAnsi="Arial"/>
          <w:sz w:val="21"/>
          <w:szCs w:val="21"/>
          <w:b w:val="1"/>
          <w:bCs w:val="1"/>
          <w:color w:val="auto"/>
        </w:rPr>
        <w:t>November 7, 2013</w:t>
      </w:r>
    </w:p>
    <w:p>
      <w:pPr>
        <w:spacing w:after="0" w:line="30" w:lineRule="exact"/>
        <w:rPr>
          <w:sz w:val="20"/>
          <w:szCs w:val="20"/>
          <w:color w:val="auto"/>
        </w:rPr>
      </w:pPr>
    </w:p>
    <w:p>
      <w:pPr>
        <w:ind w:left="1880"/>
        <w:spacing w:after="0"/>
        <w:rPr>
          <w:sz w:val="20"/>
          <w:szCs w:val="20"/>
          <w:color w:val="auto"/>
        </w:rPr>
      </w:pPr>
      <w:r>
        <w:rPr>
          <w:rFonts w:ascii="Arial" w:cs="Arial" w:eastAsia="Arial" w:hAnsi="Arial"/>
          <w:sz w:val="21"/>
          <w:szCs w:val="21"/>
          <w:b w:val="1"/>
          <w:bCs w:val="1"/>
          <w:u w:val="single" w:color="auto"/>
          <w:color w:val="auto"/>
        </w:rPr>
        <w:t>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9019"/>
          </w:cols>
          <w:pgMar w:left="1440" w:top="1440" w:right="1440" w:bottom="1440" w:gutter="0" w:footer="0" w:header="0"/>
        </w:sectPr>
      </w:pPr>
    </w:p>
    <w:bookmarkStart w:id="102" w:name="page103"/>
    <w:bookmarkEnd w:id="102"/>
    <w:p>
      <w:pPr>
        <w:jc w:val="right"/>
        <w:spacing w:after="0"/>
        <w:rPr>
          <w:sz w:val="20"/>
          <w:szCs w:val="20"/>
          <w:color w:val="auto"/>
        </w:rPr>
      </w:pPr>
      <w:r>
        <w:rPr>
          <w:rFonts w:ascii="Arial" w:cs="Arial" w:eastAsia="Arial" w:hAnsi="Arial"/>
          <w:sz w:val="20"/>
          <w:szCs w:val="20"/>
          <w:b w:val="1"/>
          <w:bCs w:val="1"/>
          <w:color w:val="auto"/>
        </w:rPr>
        <w:t>Exhibit 10.3</w:t>
      </w:r>
    </w:p>
    <w:p>
      <w:pPr>
        <w:spacing w:after="0" w:line="200" w:lineRule="exact"/>
        <w:rPr>
          <w:sz w:val="20"/>
          <w:szCs w:val="20"/>
          <w:color w:val="auto"/>
        </w:rPr>
      </w:pPr>
    </w:p>
    <w:p>
      <w:pPr>
        <w:spacing w:after="0" w:line="264" w:lineRule="exact"/>
        <w:rPr>
          <w:sz w:val="20"/>
          <w:szCs w:val="20"/>
          <w:color w:val="auto"/>
        </w:rPr>
      </w:pPr>
    </w:p>
    <w:p>
      <w:pPr>
        <w:ind w:left="4288"/>
        <w:spacing w:after="0"/>
        <w:rPr>
          <w:sz w:val="20"/>
          <w:szCs w:val="20"/>
          <w:color w:val="auto"/>
        </w:rPr>
      </w:pPr>
      <w:r>
        <w:rPr>
          <w:rFonts w:ascii="Arial" w:cs="Arial" w:eastAsia="Arial" w:hAnsi="Arial"/>
          <w:sz w:val="22"/>
          <w:szCs w:val="22"/>
          <w:b w:val="1"/>
          <w:bCs w:val="1"/>
          <w:color w:val="auto"/>
        </w:rPr>
        <w:t>FIRST AMENDMENT TO</w:t>
      </w:r>
    </w:p>
    <w:p>
      <w:pPr>
        <w:spacing w:after="0" w:line="30" w:lineRule="exact"/>
        <w:rPr>
          <w:sz w:val="20"/>
          <w:szCs w:val="20"/>
          <w:color w:val="auto"/>
        </w:rPr>
      </w:pPr>
    </w:p>
    <w:p>
      <w:pPr>
        <w:ind w:left="4068"/>
        <w:spacing w:after="0"/>
        <w:rPr>
          <w:sz w:val="20"/>
          <w:szCs w:val="20"/>
          <w:color w:val="auto"/>
        </w:rPr>
      </w:pPr>
      <w:r>
        <w:rPr>
          <w:rFonts w:ascii="Arial" w:cs="Arial" w:eastAsia="Arial" w:hAnsi="Arial"/>
          <w:sz w:val="22"/>
          <w:szCs w:val="22"/>
          <w:b w:val="1"/>
          <w:bCs w:val="1"/>
          <w:color w:val="auto"/>
        </w:rPr>
        <w:t>EMPLOYMENT AGREEMENT</w:t>
      </w:r>
    </w:p>
    <w:p>
      <w:pPr>
        <w:spacing w:after="0" w:line="200" w:lineRule="exact"/>
        <w:rPr>
          <w:sz w:val="20"/>
          <w:szCs w:val="20"/>
          <w:color w:val="auto"/>
        </w:rPr>
      </w:pPr>
    </w:p>
    <w:p>
      <w:pPr>
        <w:spacing w:after="0" w:line="291" w:lineRule="exact"/>
        <w:rPr>
          <w:sz w:val="20"/>
          <w:szCs w:val="20"/>
          <w:color w:val="auto"/>
        </w:rPr>
      </w:pPr>
    </w:p>
    <w:p>
      <w:pPr>
        <w:jc w:val="both"/>
        <w:ind w:left="8" w:firstLine="648"/>
        <w:spacing w:after="0" w:line="253" w:lineRule="auto"/>
        <w:rPr>
          <w:sz w:val="20"/>
          <w:szCs w:val="20"/>
          <w:color w:val="auto"/>
        </w:rPr>
      </w:pPr>
      <w:r>
        <w:rPr>
          <w:rFonts w:ascii="Arial" w:cs="Arial" w:eastAsia="Arial" w:hAnsi="Arial"/>
          <w:sz w:val="22"/>
          <w:szCs w:val="22"/>
          <w:color w:val="auto"/>
        </w:rPr>
        <w:t>This FIRST AMENDMENT TO EMPLOYMENT AGREEMENT (this "</w:t>
      </w:r>
      <w:r>
        <w:rPr>
          <w:rFonts w:ascii="Arial" w:cs="Arial" w:eastAsia="Arial" w:hAnsi="Arial"/>
          <w:sz w:val="22"/>
          <w:szCs w:val="22"/>
          <w:b w:val="1"/>
          <w:bCs w:val="1"/>
          <w:color w:val="auto"/>
        </w:rPr>
        <w:t>Amendment</w:t>
      </w:r>
      <w:r>
        <w:rPr>
          <w:rFonts w:ascii="Arial" w:cs="Arial" w:eastAsia="Arial" w:hAnsi="Arial"/>
          <w:sz w:val="22"/>
          <w:szCs w:val="22"/>
          <w:color w:val="auto"/>
        </w:rPr>
        <w:t>") is entered into as of the 6th day of January, 2014, by and between Wynn Resorts, Limited (“</w:t>
      </w:r>
      <w:r>
        <w:rPr>
          <w:rFonts w:ascii="Arial" w:cs="Arial" w:eastAsia="Arial" w:hAnsi="Arial"/>
          <w:sz w:val="22"/>
          <w:szCs w:val="22"/>
          <w:b w:val="1"/>
          <w:bCs w:val="1"/>
          <w:color w:val="auto"/>
        </w:rPr>
        <w:t>Employer</w:t>
      </w:r>
      <w:r>
        <w:rPr>
          <w:rFonts w:ascii="Arial" w:cs="Arial" w:eastAsia="Arial" w:hAnsi="Arial"/>
          <w:sz w:val="22"/>
          <w:szCs w:val="22"/>
          <w:color w:val="auto"/>
        </w:rPr>
        <w:t>”) and Stephen Cootey (“</w:t>
      </w:r>
      <w:r>
        <w:rPr>
          <w:rFonts w:ascii="Arial" w:cs="Arial" w:eastAsia="Arial" w:hAnsi="Arial"/>
          <w:sz w:val="22"/>
          <w:szCs w:val="22"/>
          <w:b w:val="1"/>
          <w:bCs w:val="1"/>
          <w:color w:val="auto"/>
        </w:rPr>
        <w:t>Employee</w:t>
      </w:r>
      <w:r>
        <w:rPr>
          <w:rFonts w:ascii="Arial" w:cs="Arial" w:eastAsia="Arial" w:hAnsi="Arial"/>
          <w:sz w:val="22"/>
          <w:szCs w:val="22"/>
          <w:color w:val="auto"/>
        </w:rPr>
        <w:t>”). Capitalized terms that are not defined herein shall have the meanings ascribed to them in the Agreement (as defined below).</w:t>
      </w:r>
    </w:p>
    <w:p>
      <w:pPr>
        <w:spacing w:after="0" w:line="216" w:lineRule="exact"/>
        <w:rPr>
          <w:sz w:val="20"/>
          <w:szCs w:val="20"/>
          <w:color w:val="auto"/>
        </w:rPr>
      </w:pPr>
    </w:p>
    <w:p>
      <w:pPr>
        <w:jc w:val="center"/>
        <w:ind w:right="-7"/>
        <w:spacing w:after="0"/>
        <w:rPr>
          <w:sz w:val="20"/>
          <w:szCs w:val="20"/>
          <w:color w:val="auto"/>
        </w:rPr>
      </w:pPr>
      <w:r>
        <w:rPr>
          <w:rFonts w:ascii="Arial" w:cs="Arial" w:eastAsia="Arial" w:hAnsi="Arial"/>
          <w:sz w:val="22"/>
          <w:szCs w:val="22"/>
          <w:b w:val="1"/>
          <w:bCs w:val="1"/>
          <w:color w:val="auto"/>
        </w:rPr>
        <w:t>RECITALS</w:t>
      </w:r>
    </w:p>
    <w:p>
      <w:pPr>
        <w:spacing w:after="0" w:line="286" w:lineRule="exact"/>
        <w:rPr>
          <w:sz w:val="20"/>
          <w:szCs w:val="20"/>
          <w:color w:val="auto"/>
        </w:rPr>
      </w:pPr>
    </w:p>
    <w:p>
      <w:pPr>
        <w:jc w:val="both"/>
        <w:ind w:left="8" w:firstLine="648"/>
        <w:spacing w:after="0" w:line="249" w:lineRule="auto"/>
        <w:rPr>
          <w:sz w:val="20"/>
          <w:szCs w:val="20"/>
          <w:color w:val="auto"/>
        </w:rPr>
      </w:pPr>
      <w:r>
        <w:rPr>
          <w:rFonts w:ascii="Arial" w:cs="Arial" w:eastAsia="Arial" w:hAnsi="Arial"/>
          <w:sz w:val="22"/>
          <w:szCs w:val="22"/>
          <w:color w:val="auto"/>
        </w:rPr>
        <w:t>WHEREAS, Employer and Employee have entered into that certain Employment Agreement, dated as of November 7, 2013 (the "</w:t>
      </w:r>
      <w:r>
        <w:rPr>
          <w:rFonts w:ascii="Arial" w:cs="Arial" w:eastAsia="Arial" w:hAnsi="Arial"/>
          <w:sz w:val="22"/>
          <w:szCs w:val="22"/>
          <w:b w:val="1"/>
          <w:bCs w:val="1"/>
          <w:color w:val="auto"/>
        </w:rPr>
        <w:t>Agreement</w:t>
      </w:r>
      <w:r>
        <w:rPr>
          <w:rFonts w:ascii="Arial" w:cs="Arial" w:eastAsia="Arial" w:hAnsi="Arial"/>
          <w:sz w:val="22"/>
          <w:szCs w:val="22"/>
          <w:color w:val="auto"/>
        </w:rPr>
        <w:t>"); and</w:t>
      </w:r>
    </w:p>
    <w:p>
      <w:pPr>
        <w:spacing w:after="0" w:line="204" w:lineRule="exact"/>
        <w:rPr>
          <w:sz w:val="20"/>
          <w:szCs w:val="20"/>
          <w:color w:val="auto"/>
        </w:rPr>
      </w:pPr>
    </w:p>
    <w:p>
      <w:pPr>
        <w:jc w:val="both"/>
        <w:ind w:left="8" w:firstLine="648"/>
        <w:spacing w:after="0" w:line="249" w:lineRule="auto"/>
        <w:rPr>
          <w:sz w:val="20"/>
          <w:szCs w:val="20"/>
          <w:color w:val="auto"/>
        </w:rPr>
      </w:pPr>
      <w:r>
        <w:rPr>
          <w:rFonts w:ascii="Arial" w:cs="Arial" w:eastAsia="Arial" w:hAnsi="Arial"/>
          <w:sz w:val="22"/>
          <w:szCs w:val="22"/>
          <w:color w:val="auto"/>
        </w:rPr>
        <w:t>WHEREAS, Employer is willing and Employee desires to modify certain terms and conditions to the Agreement as more fully set forth herein;</w:t>
      </w:r>
    </w:p>
    <w:p>
      <w:pPr>
        <w:spacing w:after="0" w:line="204" w:lineRule="exact"/>
        <w:rPr>
          <w:sz w:val="20"/>
          <w:szCs w:val="20"/>
          <w:color w:val="auto"/>
        </w:rPr>
      </w:pPr>
    </w:p>
    <w:p>
      <w:pPr>
        <w:jc w:val="both"/>
        <w:ind w:left="8" w:firstLine="648"/>
        <w:spacing w:after="0" w:line="249" w:lineRule="auto"/>
        <w:rPr>
          <w:sz w:val="20"/>
          <w:szCs w:val="20"/>
          <w:color w:val="auto"/>
        </w:rPr>
      </w:pPr>
      <w:r>
        <w:rPr>
          <w:rFonts w:ascii="Arial" w:cs="Arial" w:eastAsia="Arial" w:hAnsi="Arial"/>
          <w:sz w:val="22"/>
          <w:szCs w:val="22"/>
          <w:color w:val="auto"/>
        </w:rPr>
        <w:t>NOW, THEREFORE, in consideration of the foregoing and the respective representations, warranties, covenants and agreements set forth in this Amendment, the parties hereto agree as follows:</w:t>
      </w:r>
    </w:p>
    <w:p>
      <w:pPr>
        <w:spacing w:after="0" w:line="204" w:lineRule="exact"/>
        <w:rPr>
          <w:sz w:val="20"/>
          <w:szCs w:val="20"/>
          <w:color w:val="auto"/>
        </w:rPr>
      </w:pPr>
    </w:p>
    <w:p>
      <w:pPr>
        <w:ind w:left="908" w:hanging="908"/>
        <w:spacing w:after="0"/>
        <w:tabs>
          <w:tab w:leader="none" w:pos="908"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 xml:space="preserve"> The Employer and Employee hereby agree to amend Section 1(f) in its entirety to read as</w:t>
      </w:r>
    </w:p>
    <w:p>
      <w:pPr>
        <w:spacing w:after="0" w:line="3" w:lineRule="exact"/>
        <w:rPr>
          <w:rFonts w:ascii="Arial" w:cs="Arial" w:eastAsia="Arial" w:hAnsi="Arial"/>
          <w:sz w:val="22"/>
          <w:szCs w:val="22"/>
          <w:color w:val="auto"/>
        </w:rPr>
      </w:pPr>
    </w:p>
    <w:p>
      <w:pPr>
        <w:ind w:left="8"/>
        <w:spacing w:after="0"/>
        <w:rPr>
          <w:rFonts w:ascii="Arial" w:cs="Arial" w:eastAsia="Arial" w:hAnsi="Arial"/>
          <w:sz w:val="22"/>
          <w:szCs w:val="22"/>
          <w:color w:val="auto"/>
        </w:rPr>
      </w:pPr>
      <w:r>
        <w:rPr>
          <w:rFonts w:ascii="Arial" w:cs="Arial" w:eastAsia="Arial" w:hAnsi="Arial"/>
          <w:sz w:val="22"/>
          <w:szCs w:val="22"/>
          <w:color w:val="auto"/>
        </w:rPr>
        <w:t>follows:</w:t>
      </w:r>
    </w:p>
    <w:p>
      <w:pPr>
        <w:spacing w:after="0" w:line="194" w:lineRule="exact"/>
        <w:rPr>
          <w:sz w:val="20"/>
          <w:szCs w:val="20"/>
          <w:color w:val="auto"/>
        </w:rPr>
      </w:pPr>
    </w:p>
    <w:p>
      <w:pPr>
        <w:ind w:left="968"/>
        <w:spacing w:after="0"/>
        <w:tabs>
          <w:tab w:leader="none" w:pos="1467" w:val="left"/>
        </w:tabs>
        <w:rPr>
          <w:sz w:val="20"/>
          <w:szCs w:val="20"/>
          <w:color w:val="auto"/>
        </w:rPr>
      </w:pPr>
      <w:r>
        <w:rPr>
          <w:rFonts w:ascii="Arial" w:cs="Arial" w:eastAsia="Arial" w:hAnsi="Arial"/>
          <w:sz w:val="22"/>
          <w:szCs w:val="22"/>
          <w:color w:val="auto"/>
        </w:rPr>
        <w:t>“(f)</w:t>
        <w:tab/>
        <w:t>“</w:t>
      </w:r>
      <w:r>
        <w:rPr>
          <w:rFonts w:ascii="Arial" w:cs="Arial" w:eastAsia="Arial" w:hAnsi="Arial"/>
          <w:sz w:val="22"/>
          <w:szCs w:val="22"/>
          <w:b w:val="1"/>
          <w:bCs w:val="1"/>
          <w:u w:val="single" w:color="auto"/>
          <w:color w:val="auto"/>
        </w:rPr>
        <w:t>Effective Date</w:t>
      </w:r>
      <w:r>
        <w:rPr>
          <w:rFonts w:ascii="Arial" w:cs="Arial" w:eastAsia="Arial" w:hAnsi="Arial"/>
          <w:sz w:val="22"/>
          <w:szCs w:val="22"/>
          <w:color w:val="auto"/>
        </w:rPr>
        <w:t>” – means January 2, 2014.”</w:t>
      </w:r>
    </w:p>
    <w:p>
      <w:pPr>
        <w:spacing w:after="0" w:line="286" w:lineRule="exact"/>
        <w:rPr>
          <w:sz w:val="20"/>
          <w:szCs w:val="20"/>
          <w:color w:val="auto"/>
        </w:rPr>
      </w:pPr>
    </w:p>
    <w:p>
      <w:pPr>
        <w:ind w:left="328" w:hanging="328"/>
        <w:spacing w:after="0" w:line="249" w:lineRule="auto"/>
        <w:tabs>
          <w:tab w:leader="none" w:pos="328"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Other Provisions of Agreement</w:t>
      </w:r>
      <w:r>
        <w:rPr>
          <w:rFonts w:ascii="Arial" w:cs="Arial" w:eastAsia="Arial" w:hAnsi="Arial"/>
          <w:sz w:val="22"/>
          <w:szCs w:val="22"/>
          <w:color w:val="auto"/>
        </w:rPr>
        <w:t>. The parties acknowledge that the Agreement is being modified only as stated herein, and agree that nothing else in the Agreement shall be affected by this Amendment.</w:t>
      </w:r>
    </w:p>
    <w:p>
      <w:pPr>
        <w:spacing w:after="0" w:line="200" w:lineRule="exact"/>
        <w:rPr>
          <w:sz w:val="20"/>
          <w:szCs w:val="20"/>
          <w:color w:val="auto"/>
        </w:rPr>
      </w:pPr>
    </w:p>
    <w:p>
      <w:pPr>
        <w:spacing w:after="0" w:line="301" w:lineRule="exact"/>
        <w:rPr>
          <w:sz w:val="20"/>
          <w:szCs w:val="20"/>
          <w:color w:val="auto"/>
        </w:rPr>
      </w:pPr>
    </w:p>
    <w:p>
      <w:pPr>
        <w:ind w:left="8" w:firstLine="648"/>
        <w:spacing w:after="0" w:line="249" w:lineRule="auto"/>
        <w:rPr>
          <w:sz w:val="20"/>
          <w:szCs w:val="20"/>
          <w:color w:val="auto"/>
        </w:rPr>
      </w:pPr>
      <w:r>
        <w:rPr>
          <w:rFonts w:ascii="Arial" w:cs="Arial" w:eastAsia="Arial" w:hAnsi="Arial"/>
          <w:sz w:val="22"/>
          <w:szCs w:val="22"/>
          <w:color w:val="auto"/>
        </w:rPr>
        <w:t>IN WITNESS WHEREOF, the parties hereto have caused this Amendment to be executed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128" w:type="dxa"/>
        <w:tblCellMar>
          <w:top w:w="0" w:type="dxa"/>
          <w:left w:w="0" w:type="dxa"/>
          <w:bottom w:w="0" w:type="dxa"/>
          <w:right w:w="0" w:type="dxa"/>
        </w:tblCellMar>
      </w:tblPr>
      <w:tr>
        <w:trPr>
          <w:trHeight w:val="286"/>
        </w:trPr>
        <w:tc>
          <w:tcPr>
            <w:tcW w:w="5580" w:type="dxa"/>
            <w:vAlign w:val="bottom"/>
            <w:gridSpan w:val="2"/>
          </w:tcPr>
          <w:p>
            <w:pPr>
              <w:ind w:left="340"/>
              <w:spacing w:after="0"/>
              <w:rPr>
                <w:sz w:val="20"/>
                <w:szCs w:val="20"/>
                <w:color w:val="auto"/>
              </w:rPr>
            </w:pPr>
            <w:r>
              <w:rPr>
                <w:rFonts w:ascii="Arial" w:cs="Arial" w:eastAsia="Arial" w:hAnsi="Arial"/>
                <w:sz w:val="22"/>
                <w:szCs w:val="22"/>
                <w:b w:val="1"/>
                <w:bCs w:val="1"/>
                <w:color w:val="auto"/>
              </w:rPr>
              <w:t>WYNN RESORTS, LIMITED</w:t>
            </w:r>
          </w:p>
        </w:tc>
        <w:tc>
          <w:tcPr>
            <w:tcW w:w="4940" w:type="dxa"/>
            <w:vAlign w:val="bottom"/>
          </w:tcPr>
          <w:p>
            <w:pPr>
              <w:ind w:left="340"/>
              <w:spacing w:after="0"/>
              <w:rPr>
                <w:sz w:val="20"/>
                <w:szCs w:val="20"/>
                <w:color w:val="auto"/>
              </w:rPr>
            </w:pPr>
            <w:r>
              <w:rPr>
                <w:rFonts w:ascii="Arial" w:cs="Arial" w:eastAsia="Arial" w:hAnsi="Arial"/>
                <w:sz w:val="22"/>
                <w:szCs w:val="22"/>
                <w:b w:val="1"/>
                <w:bCs w:val="1"/>
                <w:color w:val="auto"/>
              </w:rPr>
              <w:t>EMPLOYEE</w:t>
            </w:r>
          </w:p>
        </w:tc>
      </w:tr>
      <w:tr>
        <w:trPr>
          <w:trHeight w:val="632"/>
        </w:trPr>
        <w:tc>
          <w:tcPr>
            <w:tcW w:w="4960" w:type="dxa"/>
            <w:vAlign w:val="bottom"/>
            <w:tcBorders>
              <w:bottom w:val="single" w:sz="8" w:color="auto"/>
            </w:tcBorders>
          </w:tcPr>
          <w:p>
            <w:pPr>
              <w:ind w:left="340"/>
              <w:spacing w:after="0"/>
              <w:rPr>
                <w:sz w:val="20"/>
                <w:szCs w:val="20"/>
                <w:color w:val="auto"/>
              </w:rPr>
            </w:pPr>
            <w:r>
              <w:rPr>
                <w:rFonts w:ascii="Arial" w:cs="Arial" w:eastAsia="Arial" w:hAnsi="Arial"/>
                <w:sz w:val="22"/>
                <w:szCs w:val="22"/>
                <w:color w:val="auto"/>
              </w:rPr>
              <w:t>/s/ Matt Maddox</w:t>
            </w:r>
          </w:p>
        </w:tc>
        <w:tc>
          <w:tcPr>
            <w:tcW w:w="620" w:type="dxa"/>
            <w:vAlign w:val="bottom"/>
          </w:tcPr>
          <w:p>
            <w:pPr>
              <w:spacing w:after="0"/>
              <w:rPr>
                <w:sz w:val="24"/>
                <w:szCs w:val="24"/>
                <w:color w:val="auto"/>
              </w:rPr>
            </w:pPr>
          </w:p>
        </w:tc>
        <w:tc>
          <w:tcPr>
            <w:tcW w:w="4940" w:type="dxa"/>
            <w:vAlign w:val="bottom"/>
            <w:tcBorders>
              <w:bottom w:val="single" w:sz="8" w:color="auto"/>
            </w:tcBorders>
          </w:tcPr>
          <w:p>
            <w:pPr>
              <w:ind w:left="340"/>
              <w:spacing w:after="0"/>
              <w:rPr>
                <w:sz w:val="20"/>
                <w:szCs w:val="20"/>
                <w:color w:val="auto"/>
              </w:rPr>
            </w:pPr>
            <w:r>
              <w:rPr>
                <w:rFonts w:ascii="Arial" w:cs="Arial" w:eastAsia="Arial" w:hAnsi="Arial"/>
                <w:sz w:val="22"/>
                <w:szCs w:val="22"/>
                <w:color w:val="auto"/>
              </w:rPr>
              <w:t>/s/ Stephen Cootey</w:t>
            </w:r>
          </w:p>
        </w:tc>
      </w:tr>
      <w:tr>
        <w:trPr>
          <w:trHeight w:val="280"/>
        </w:trPr>
        <w:tc>
          <w:tcPr>
            <w:tcW w:w="5580" w:type="dxa"/>
            <w:vAlign w:val="bottom"/>
            <w:gridSpan w:val="2"/>
          </w:tcPr>
          <w:p>
            <w:pPr>
              <w:ind w:left="340"/>
              <w:spacing w:after="0"/>
              <w:rPr>
                <w:sz w:val="20"/>
                <w:szCs w:val="20"/>
                <w:color w:val="auto"/>
              </w:rPr>
            </w:pPr>
            <w:r>
              <w:rPr>
                <w:rFonts w:ascii="Arial" w:cs="Arial" w:eastAsia="Arial" w:hAnsi="Arial"/>
                <w:sz w:val="22"/>
                <w:szCs w:val="22"/>
                <w:color w:val="auto"/>
              </w:rPr>
              <w:t>Matt Maddox, President &amp; CFO</w:t>
            </w:r>
          </w:p>
        </w:tc>
        <w:tc>
          <w:tcPr>
            <w:tcW w:w="4940" w:type="dxa"/>
            <w:vAlign w:val="bottom"/>
          </w:tcPr>
          <w:p>
            <w:pPr>
              <w:ind w:left="340"/>
              <w:spacing w:after="0"/>
              <w:rPr>
                <w:sz w:val="20"/>
                <w:szCs w:val="20"/>
                <w:color w:val="auto"/>
              </w:rPr>
            </w:pPr>
            <w:r>
              <w:rPr>
                <w:rFonts w:ascii="Arial" w:cs="Arial" w:eastAsia="Arial" w:hAnsi="Arial"/>
                <w:sz w:val="22"/>
                <w:szCs w:val="22"/>
                <w:color w:val="auto"/>
              </w:rPr>
              <w:t>Stephen Cootey</w:t>
            </w:r>
          </w:p>
        </w:tc>
      </w:tr>
    </w:tbl>
    <w:p>
      <w:pPr>
        <w:sectPr>
          <w:pgSz w:w="11900" w:h="16838" w:orient="portrait"/>
          <w:cols w:equalWidth="0" w:num="1">
            <w:col w:w="11088"/>
          </w:cols>
          <w:pgMar w:left="572" w:top="115"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171" w:lineRule="exact"/>
        <w:rPr>
          <w:sz w:val="20"/>
          <w:szCs w:val="20"/>
          <w:color w:val="auto"/>
        </w:rPr>
      </w:pPr>
    </w:p>
    <w:p>
      <w:pPr>
        <w:ind w:left="820" w:hanging="812"/>
        <w:spacing w:after="0"/>
        <w:tabs>
          <w:tab w:leader="none" w:pos="8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171" w:lineRule="exact"/>
        <w:rPr>
          <w:rFonts w:ascii="Arial" w:cs="Arial" w:eastAsia="Arial" w:hAnsi="Arial"/>
          <w:sz w:val="18"/>
          <w:szCs w:val="18"/>
          <w:color w:val="auto"/>
        </w:rPr>
      </w:pPr>
    </w:p>
    <w:p>
      <w:pPr>
        <w:jc w:val="both"/>
        <w:ind w:left="820" w:right="140" w:hanging="812"/>
        <w:spacing w:after="0" w:line="264" w:lineRule="auto"/>
        <w:tabs>
          <w:tab w:leader="none" w:pos="8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820" w:right="100" w:hanging="812"/>
        <w:spacing w:after="0" w:line="308" w:lineRule="auto"/>
        <w:tabs>
          <w:tab w:leader="none" w:pos="8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820" w:right="120" w:hanging="812"/>
        <w:spacing w:after="0" w:line="264" w:lineRule="auto"/>
        <w:tabs>
          <w:tab w:leader="none" w:pos="8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802"/>
        <w:spacing w:after="0" w:line="286" w:lineRule="auto"/>
        <w:tabs>
          <w:tab w:leader="none" w:pos="1620" w:val="left"/>
        </w:tabs>
        <w:numPr>
          <w:ilvl w:val="1"/>
          <w:numId w:val="8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802"/>
        <w:spacing w:after="0" w:line="264" w:lineRule="auto"/>
        <w:tabs>
          <w:tab w:leader="none" w:pos="16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802"/>
        <w:spacing w:after="0" w:line="342" w:lineRule="auto"/>
        <w:tabs>
          <w:tab w:leader="none" w:pos="1620" w:val="left"/>
        </w:tabs>
        <w:numPr>
          <w:ilvl w:val="1"/>
          <w:numId w:val="8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802"/>
        <w:spacing w:after="0" w:line="264" w:lineRule="auto"/>
        <w:tabs>
          <w:tab w:leader="none" w:pos="16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820" w:right="20" w:hanging="812"/>
        <w:spacing w:after="0" w:line="308" w:lineRule="auto"/>
        <w:tabs>
          <w:tab w:leader="none" w:pos="8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620" w:right="300" w:hanging="802"/>
        <w:spacing w:after="0" w:line="342" w:lineRule="auto"/>
        <w:tabs>
          <w:tab w:leader="none" w:pos="1620" w:val="left"/>
        </w:tabs>
        <w:numPr>
          <w:ilvl w:val="1"/>
          <w:numId w:val="8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802"/>
        <w:spacing w:after="0" w:line="277" w:lineRule="auto"/>
        <w:tabs>
          <w:tab w:leader="none" w:pos="16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2014</w:t>
      </w:r>
    </w:p>
    <w:p>
      <w:pPr>
        <w:spacing w:after="0" w:line="252"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Stephen A. Wynn</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Chairman of the Board and</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661"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Stephen Cootey, certify that:</w:t>
      </w:r>
    </w:p>
    <w:p>
      <w:pPr>
        <w:spacing w:after="0" w:line="171" w:lineRule="exact"/>
        <w:rPr>
          <w:sz w:val="20"/>
          <w:szCs w:val="20"/>
          <w:color w:val="auto"/>
        </w:rPr>
      </w:pPr>
    </w:p>
    <w:p>
      <w:pPr>
        <w:ind w:left="820" w:hanging="812"/>
        <w:spacing w:after="0"/>
        <w:tabs>
          <w:tab w:leader="none" w:pos="8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171" w:lineRule="exact"/>
        <w:rPr>
          <w:rFonts w:ascii="Arial" w:cs="Arial" w:eastAsia="Arial" w:hAnsi="Arial"/>
          <w:sz w:val="18"/>
          <w:szCs w:val="18"/>
          <w:color w:val="auto"/>
        </w:rPr>
      </w:pPr>
    </w:p>
    <w:p>
      <w:pPr>
        <w:jc w:val="both"/>
        <w:ind w:left="820" w:right="140" w:hanging="812"/>
        <w:spacing w:after="0" w:line="264" w:lineRule="auto"/>
        <w:tabs>
          <w:tab w:leader="none" w:pos="8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820" w:right="100" w:hanging="812"/>
        <w:spacing w:after="0" w:line="308" w:lineRule="auto"/>
        <w:tabs>
          <w:tab w:leader="none" w:pos="8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820" w:right="120" w:hanging="812"/>
        <w:spacing w:after="0" w:line="264" w:lineRule="auto"/>
        <w:tabs>
          <w:tab w:leader="none" w:pos="8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802"/>
        <w:spacing w:after="0" w:line="286" w:lineRule="auto"/>
        <w:tabs>
          <w:tab w:leader="none" w:pos="1620" w:val="left"/>
        </w:tabs>
        <w:numPr>
          <w:ilvl w:val="1"/>
          <w:numId w:val="8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802"/>
        <w:spacing w:after="0" w:line="264" w:lineRule="auto"/>
        <w:tabs>
          <w:tab w:leader="none" w:pos="16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802"/>
        <w:spacing w:after="0" w:line="342" w:lineRule="auto"/>
        <w:tabs>
          <w:tab w:leader="none" w:pos="1620" w:val="left"/>
        </w:tabs>
        <w:numPr>
          <w:ilvl w:val="1"/>
          <w:numId w:val="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802"/>
        <w:spacing w:after="0" w:line="264" w:lineRule="auto"/>
        <w:tabs>
          <w:tab w:leader="none" w:pos="16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820" w:right="20" w:hanging="812"/>
        <w:spacing w:after="0" w:line="308" w:lineRule="auto"/>
        <w:tabs>
          <w:tab w:leader="none" w:pos="8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620" w:right="300" w:hanging="802"/>
        <w:spacing w:after="0" w:line="342" w:lineRule="auto"/>
        <w:tabs>
          <w:tab w:leader="none" w:pos="1620" w:val="left"/>
        </w:tabs>
        <w:numPr>
          <w:ilvl w:val="1"/>
          <w:numId w:val="8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802"/>
        <w:spacing w:after="0" w:line="277" w:lineRule="auto"/>
        <w:tabs>
          <w:tab w:leader="none" w:pos="16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2014</w:t>
      </w:r>
    </w:p>
    <w:p>
      <w:pPr>
        <w:spacing w:after="0" w:line="252"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Stephen Cootey</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661"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17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June 30, 2014 as filed with the Securities and Exchange Commission on the date hereof (the “Report”), Stephen A. Wynn, as Chief Executive Officer of the Company and Stephen Cootey, as Chief Financial Officer of the Company, each hereby certifies, pursuant to 18 U.S.C. Section 1350, as adopted pursuant to Section 906 of the Sarbanes-Oxley Act of 2002, that, to the best of his knowledge:</w:t>
      </w:r>
    </w:p>
    <w:p>
      <w:pPr>
        <w:spacing w:after="0" w:line="133" w:lineRule="exact"/>
        <w:rPr>
          <w:sz w:val="20"/>
          <w:szCs w:val="20"/>
          <w:color w:val="auto"/>
        </w:rPr>
      </w:pPr>
    </w:p>
    <w:p>
      <w:pPr>
        <w:ind w:left="660" w:hanging="652"/>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9878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ind w:left="40"/>
              <w:spacing w:after="0"/>
              <w:rPr>
                <w:sz w:val="20"/>
                <w:szCs w:val="20"/>
                <w:color w:val="auto"/>
              </w:rPr>
            </w:pPr>
            <w:r>
              <w:rPr>
                <w:rFonts w:ascii="Arial" w:cs="Arial" w:eastAsia="Arial" w:hAnsi="Arial"/>
                <w:sz w:val="18"/>
                <w:szCs w:val="18"/>
                <w:color w:val="auto"/>
              </w:rPr>
              <w:t>Name:</w:t>
            </w:r>
          </w:p>
        </w:tc>
        <w:tc>
          <w:tcPr>
            <w:tcW w:w="5440" w:type="dxa"/>
            <w:vAlign w:val="bottom"/>
          </w:tcPr>
          <w:p>
            <w:pPr>
              <w:ind w:left="340"/>
              <w:spacing w:after="0"/>
              <w:rPr>
                <w:sz w:val="20"/>
                <w:szCs w:val="20"/>
                <w:color w:val="auto"/>
              </w:rPr>
            </w:pPr>
            <w:r>
              <w:rPr>
                <w:rFonts w:ascii="Arial" w:cs="Arial" w:eastAsia="Arial" w:hAnsi="Arial"/>
                <w:sz w:val="18"/>
                <w:szCs w:val="18"/>
                <w:color w:val="auto"/>
              </w:rPr>
              <w:t>Stephen A. Wynn</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Title:</w:t>
            </w:r>
          </w:p>
        </w:tc>
        <w:tc>
          <w:tcPr>
            <w:tcW w:w="5440" w:type="dxa"/>
            <w:vAlign w:val="bottom"/>
          </w:tcPr>
          <w:p>
            <w:pPr>
              <w:ind w:left="340"/>
              <w:spacing w:after="0"/>
              <w:rPr>
                <w:sz w:val="20"/>
                <w:szCs w:val="20"/>
                <w:color w:val="auto"/>
              </w:rPr>
            </w:pPr>
            <w:r>
              <w:rPr>
                <w:rFonts w:ascii="Arial" w:cs="Arial" w:eastAsia="Arial" w:hAnsi="Arial"/>
                <w:sz w:val="18"/>
                <w:szCs w:val="18"/>
                <w:color w:val="auto"/>
              </w:rPr>
              <w:t>Chairman of the Board and Chief Executive Officer</w:t>
            </w:r>
          </w:p>
        </w:tc>
      </w:tr>
      <w:tr>
        <w:trPr>
          <w:trHeight w:val="270"/>
        </w:trPr>
        <w:tc>
          <w:tcPr>
            <w:tcW w:w="840" w:type="dxa"/>
            <w:vAlign w:val="bottom"/>
          </w:tcPr>
          <w:p>
            <w:pPr>
              <w:spacing w:after="0"/>
              <w:rPr>
                <w:sz w:val="23"/>
                <w:szCs w:val="23"/>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(Principal Executive Officer)</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Date:</w:t>
            </w:r>
          </w:p>
        </w:tc>
        <w:tc>
          <w:tcPr>
            <w:tcW w:w="5440" w:type="dxa"/>
            <w:vAlign w:val="bottom"/>
          </w:tcPr>
          <w:p>
            <w:pPr>
              <w:ind w:left="340"/>
              <w:spacing w:after="0"/>
              <w:rPr>
                <w:sz w:val="20"/>
                <w:szCs w:val="20"/>
                <w:color w:val="auto"/>
              </w:rPr>
            </w:pPr>
            <w:r>
              <w:rPr>
                <w:rFonts w:ascii="Arial" w:cs="Arial" w:eastAsia="Arial" w:hAnsi="Arial"/>
                <w:sz w:val="18"/>
                <w:szCs w:val="18"/>
                <w:color w:val="auto"/>
              </w:rPr>
              <w:t>August 8, 2014</w:t>
            </w:r>
          </w:p>
        </w:tc>
      </w:tr>
      <w:tr>
        <w:trPr>
          <w:trHeight w:val="405"/>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/s/ Stephen Cootey</w:t>
            </w:r>
          </w:p>
        </w:tc>
      </w:tr>
      <w:tr>
        <w:trPr>
          <w:trHeight w:val="27"/>
        </w:trPr>
        <w:tc>
          <w:tcPr>
            <w:tcW w:w="84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ind w:left="40"/>
              <w:spacing w:after="0"/>
              <w:rPr>
                <w:sz w:val="20"/>
                <w:szCs w:val="20"/>
                <w:color w:val="auto"/>
              </w:rPr>
            </w:pPr>
            <w:r>
              <w:rPr>
                <w:rFonts w:ascii="Arial" w:cs="Arial" w:eastAsia="Arial" w:hAnsi="Arial"/>
                <w:sz w:val="18"/>
                <w:szCs w:val="18"/>
                <w:color w:val="auto"/>
              </w:rPr>
              <w:t>Name:</w:t>
            </w:r>
          </w:p>
        </w:tc>
        <w:tc>
          <w:tcPr>
            <w:tcW w:w="5440" w:type="dxa"/>
            <w:vAlign w:val="bottom"/>
          </w:tcPr>
          <w:p>
            <w:pPr>
              <w:ind w:left="340"/>
              <w:spacing w:after="0"/>
              <w:rPr>
                <w:sz w:val="20"/>
                <w:szCs w:val="20"/>
                <w:color w:val="auto"/>
              </w:rPr>
            </w:pPr>
            <w:r>
              <w:rPr>
                <w:rFonts w:ascii="Arial" w:cs="Arial" w:eastAsia="Arial" w:hAnsi="Arial"/>
                <w:sz w:val="18"/>
                <w:szCs w:val="18"/>
                <w:color w:val="auto"/>
              </w:rPr>
              <w:t>Stephen Cootey</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Title:</w:t>
            </w:r>
          </w:p>
        </w:tc>
        <w:tc>
          <w:tcPr>
            <w:tcW w:w="5440" w:type="dxa"/>
            <w:vAlign w:val="bottom"/>
          </w:tcPr>
          <w:p>
            <w:pPr>
              <w:ind w:left="340"/>
              <w:spacing w:after="0"/>
              <w:rPr>
                <w:sz w:val="20"/>
                <w:szCs w:val="20"/>
                <w:color w:val="auto"/>
              </w:rPr>
            </w:pPr>
            <w:r>
              <w:rPr>
                <w:rFonts w:ascii="Arial" w:cs="Arial" w:eastAsia="Arial" w:hAnsi="Arial"/>
                <w:sz w:val="18"/>
                <w:szCs w:val="18"/>
                <w:color w:val="auto"/>
              </w:rPr>
              <w:t>Chief Financial Officer and Treasurer</w:t>
            </w:r>
          </w:p>
        </w:tc>
      </w:tr>
      <w:tr>
        <w:trPr>
          <w:trHeight w:val="270"/>
        </w:trPr>
        <w:tc>
          <w:tcPr>
            <w:tcW w:w="840" w:type="dxa"/>
            <w:vAlign w:val="bottom"/>
          </w:tcPr>
          <w:p>
            <w:pPr>
              <w:spacing w:after="0"/>
              <w:rPr>
                <w:sz w:val="23"/>
                <w:szCs w:val="23"/>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(Principal Financial and Accounting Officer)</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Date:</w:t>
            </w:r>
          </w:p>
        </w:tc>
        <w:tc>
          <w:tcPr>
            <w:tcW w:w="5440" w:type="dxa"/>
            <w:vAlign w:val="bottom"/>
          </w:tcPr>
          <w:p>
            <w:pPr>
              <w:ind w:left="340"/>
              <w:spacing w:after="0"/>
              <w:rPr>
                <w:sz w:val="20"/>
                <w:szCs w:val="20"/>
                <w:color w:val="auto"/>
              </w:rPr>
            </w:pPr>
            <w:r>
              <w:rPr>
                <w:rFonts w:ascii="Arial" w:cs="Arial" w:eastAsia="Arial" w:hAnsi="Arial"/>
                <w:sz w:val="18"/>
                <w:szCs w:val="18"/>
                <w:color w:val="auto"/>
              </w:rPr>
              <w:t>August 8, 2014</w:t>
            </w:r>
          </w:p>
        </w:tc>
      </w:tr>
    </w:tbl>
    <w:p>
      <w:pPr>
        <w:spacing w:after="0" w:line="94"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x"/>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1)"/>
      <w:numFmt w:val="decimal"/>
      <w:start w:val="3"/>
    </w:lvl>
  </w:abstractNum>
  <w:abstractNum w:abstractNumId="3">
    <w:nsid w:val="6DE91B18"/>
    <w:multiLevelType w:val="hybridMultilevel"/>
    <w:lvl w:ilvl="0">
      <w:lvlJc w:val="left"/>
      <w:lvlText w:val="(%1)"/>
      <w:numFmt w:val="decimal"/>
      <w:start w:val="3"/>
    </w:lvl>
  </w:abstractNum>
  <w:abstractNum w:abstractNumId="4">
    <w:nsid w:val="38437FDB"/>
    <w:multiLevelType w:val="hybridMultilevel"/>
    <w:lvl w:ilvl="0">
      <w:lvlJc w:val="left"/>
      <w:lvlText w:val="(%1)"/>
      <w:numFmt w:val="decimal"/>
      <w:start w:val="3"/>
    </w:lvl>
  </w:abstractNum>
  <w:abstractNum w:abstractNumId="5">
    <w:nsid w:val="7644A45C"/>
    <w:multiLevelType w:val="hybridMultilevel"/>
    <w:lvl w:ilvl="0">
      <w:lvlJc w:val="left"/>
      <w:lvlText w:val="(%1)"/>
      <w:numFmt w:val="decimal"/>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1)"/>
      <w:numFmt w:val="decimal"/>
      <w:start w:val="1"/>
    </w:lvl>
  </w:abstractNum>
  <w:abstractNum w:abstractNumId="11">
    <w:nsid w:val="1BA026FA"/>
    <w:multiLevelType w:val="hybridMultilevel"/>
    <w:lvl w:ilvl="0">
      <w:lvlJc w:val="left"/>
      <w:lvlText w:val="(%1)"/>
      <w:numFmt w:val="decimal"/>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1)"/>
      <w:numFmt w:val="lowerLetter"/>
      <w:start w:val="1"/>
    </w:lvl>
  </w:abstractNum>
  <w:abstractNum w:abstractNumId="15">
    <w:nsid w:val="70C6A529"/>
    <w:multiLevelType w:val="hybridMultilevel"/>
    <w:lvl w:ilvl="0">
      <w:lvlJc w:val="left"/>
      <w:lvlText w:val="(%1)"/>
      <w:numFmt w:val="lowerLetter"/>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1)"/>
      <w:numFmt w:val="decimal"/>
      <w:start w:val="1"/>
    </w:lvl>
  </w:abstractNum>
  <w:abstractNum w:abstractNumId="18">
    <w:nsid w:val="4F4EF005"/>
    <w:multiLevelType w:val="hybridMultilevel"/>
    <w:lvl w:ilvl="0">
      <w:lvlJc w:val="left"/>
      <w:lvlText w:val="(%1)"/>
      <w:numFmt w:val="lowerLetter"/>
      <w:start w:val="1"/>
    </w:lvl>
  </w:abstractNum>
  <w:abstractNum w:abstractNumId="19">
    <w:nsid w:val="23F9C13C"/>
    <w:multiLevelType w:val="hybridMultilevel"/>
    <w:lvl w:ilvl="0">
      <w:lvlJc w:val="left"/>
      <w:lvlText w:val="%1"/>
      <w:numFmt w:val="lowerLetter"/>
      <w:start w:val="1"/>
    </w:lvl>
    <w:lvl w:ilvl="1">
      <w:lvlJc w:val="left"/>
      <w:lvlText w:val="(%2)"/>
      <w:numFmt w:val="lowerLetter"/>
      <w:start w:val="1"/>
    </w:lvl>
  </w:abstractNum>
  <w:abstractNum w:abstractNumId="20">
    <w:nsid w:val="649BB77C"/>
    <w:multiLevelType w:val="hybridMultilevel"/>
    <w:lvl w:ilvl="0">
      <w:lvlJc w:val="left"/>
      <w:lvlText w:val="(%1)"/>
      <w:numFmt w:val="lowerLetter"/>
      <w:start w:val="35"/>
    </w:lvl>
    <w:lvl w:ilvl="1">
      <w:lvlJc w:val="left"/>
      <w:lvlText w:val="(%2)"/>
      <w:numFmt w:val="lowerLetter"/>
      <w:start w:val="4"/>
    </w:lvl>
  </w:abstractNum>
  <w:abstractNum w:abstractNumId="21">
    <w:nsid w:val="275AC794"/>
    <w:multiLevelType w:val="hybridMultilevel"/>
    <w:lvl w:ilvl="0">
      <w:lvlJc w:val="left"/>
      <w:lvlText w:val="(%1)"/>
      <w:numFmt w:val="lowerLetter"/>
      <w:start w:val="5"/>
    </w:lvl>
  </w:abstractNum>
  <w:abstractNum w:abstractNumId="22">
    <w:nsid w:val="39386575"/>
    <w:multiLevelType w:val="hybridMultilevel"/>
    <w:lvl w:ilvl="0">
      <w:lvlJc w:val="left"/>
      <w:lvlText w:val="(%1)"/>
      <w:numFmt w:val="lowerLetter"/>
      <w:start w:val="1"/>
    </w:lvl>
  </w:abstractNum>
  <w:abstractNum w:abstractNumId="23">
    <w:nsid w:val="1CF10FD8"/>
    <w:multiLevelType w:val="hybridMultilevel"/>
    <w:lvl w:ilvl="0">
      <w:lvlJc w:val="left"/>
      <w:lvlText w:val="(%1)"/>
      <w:numFmt w:val="lowerLetter"/>
      <w:start w:val="1"/>
    </w:lvl>
  </w:abstractNum>
  <w:abstractNum w:abstractNumId="24">
    <w:nsid w:val="180115BE"/>
    <w:multiLevelType w:val="hybridMultilevel"/>
    <w:lvl w:ilvl="0">
      <w:lvlJc w:val="left"/>
      <w:lvlText w:val="(%1)"/>
      <w:numFmt w:val="lowerLetter"/>
      <w:start w:val="1"/>
    </w:lvl>
  </w:abstractNum>
  <w:abstractNum w:abstractNumId="25">
    <w:nsid w:val="235BA861"/>
    <w:multiLevelType w:val="hybridMultilevel"/>
    <w:lvl w:ilvl="0">
      <w:lvlJc w:val="left"/>
      <w:lvlText w:val="(%1)"/>
      <w:numFmt w:val="lowerLetter"/>
      <w:start w:val="2"/>
    </w:lvl>
    <w:lvl w:ilvl="1">
      <w:lvlJc w:val="left"/>
      <w:lvlText w:val="(%2)"/>
      <w:numFmt w:val="lowerRoman"/>
      <w:start w:val="1"/>
    </w:lvl>
  </w:abstractNum>
  <w:abstractNum w:abstractNumId="26">
    <w:nsid w:val="47398C89"/>
    <w:multiLevelType w:val="hybridMultilevel"/>
    <w:lvl w:ilvl="0">
      <w:lvlJc w:val="left"/>
      <w:lvlText w:val="(%1)"/>
      <w:numFmt w:val="lowerLetter"/>
      <w:start w:val="7"/>
    </w:lvl>
  </w:abstractNum>
  <w:abstractNum w:abstractNumId="27">
    <w:nsid w:val="354FE9F9"/>
    <w:multiLevelType w:val="hybridMultilevel"/>
    <w:lvl w:ilvl="0">
      <w:lvlJc w:val="left"/>
      <w:lvlText w:val="(%1)"/>
      <w:numFmt w:val="lowerLetter"/>
      <w:start w:val="1"/>
    </w:lvl>
  </w:abstractNum>
  <w:abstractNum w:abstractNumId="28">
    <w:nsid w:val="15B5AF5C"/>
    <w:multiLevelType w:val="hybridMultilevel"/>
    <w:lvl w:ilvl="0">
      <w:lvlJc w:val="left"/>
      <w:lvlText w:val="(%1)"/>
      <w:numFmt w:val="lowerLetter"/>
      <w:start w:val="3"/>
    </w:lvl>
  </w:abstractNum>
  <w:abstractNum w:abstractNumId="29">
    <w:nsid w:val="741226BB"/>
    <w:multiLevelType w:val="hybridMultilevel"/>
    <w:lvl w:ilvl="0">
      <w:lvlJc w:val="left"/>
      <w:lvlText w:val="(%1)"/>
      <w:numFmt w:val="lowerLetter"/>
      <w:start w:val="1"/>
    </w:lvl>
    <w:lvl w:ilvl="1">
      <w:lvlJc w:val="left"/>
      <w:lvlText w:val="(%2)"/>
      <w:numFmt w:val="lowerRoman"/>
      <w:start w:val="1"/>
    </w:lvl>
  </w:abstractNum>
  <w:abstractNum w:abstractNumId="30">
    <w:nsid w:val="D34B6A8"/>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22"/>
    </w:lvl>
  </w:abstractNum>
  <w:abstractNum w:abstractNumId="31">
    <w:nsid w:val="10233C99"/>
    <w:multiLevelType w:val="hybridMultilevel"/>
    <w:lvl w:ilvl="0">
      <w:lvlJc w:val="left"/>
      <w:lvlText w:val="(%1)"/>
      <w:numFmt w:val="lowerLetter"/>
      <w:start w:val="4"/>
    </w:lvl>
  </w:abstractNum>
  <w:abstractNum w:abstractNumId="32">
    <w:nsid w:val="3F6AB60F"/>
    <w:multiLevelType w:val="hybridMultilevel"/>
    <w:lvl w:ilvl="0">
      <w:lvlJc w:val="left"/>
      <w:lvlText w:val="(%1)"/>
      <w:numFmt w:val="lowerLetter"/>
      <w:start w:val="1"/>
    </w:lvl>
  </w:abstractNum>
  <w:abstractNum w:abstractNumId="33">
    <w:nsid w:val="61574095"/>
    <w:multiLevelType w:val="hybridMultilevel"/>
    <w:lvl w:ilvl="0">
      <w:lvlJc w:val="left"/>
      <w:lvlText w:val="(%1)"/>
      <w:numFmt w:val="lowerLetter"/>
      <w:start w:val="1"/>
    </w:lvl>
  </w:abstractNum>
  <w:abstractNum w:abstractNumId="34">
    <w:nsid w:val="7E0C57B1"/>
    <w:multiLevelType w:val="hybridMultilevel"/>
    <w:lvl w:ilvl="0">
      <w:lvlJc w:val="left"/>
      <w:lvlText w:val="(%1)"/>
      <w:numFmt w:val="lowerLetter"/>
      <w:start w:val="2"/>
    </w:lvl>
  </w:abstractNum>
  <w:abstractNum w:abstractNumId="35">
    <w:nsid w:val="77AE35EB"/>
    <w:multiLevelType w:val="hybridMultilevel"/>
    <w:lvl w:ilvl="0">
      <w:lvlJc w:val="left"/>
      <w:lvlText w:val="(%1)"/>
      <w:numFmt w:val="lowerLetter"/>
      <w:start w:val="1"/>
    </w:lvl>
  </w:abstractNum>
  <w:abstractNum w:abstractNumId="36">
    <w:nsid w:val="579BE4F1"/>
    <w:multiLevelType w:val="hybridMultilevel"/>
    <w:lvl w:ilvl="0">
      <w:lvlJc w:val="left"/>
      <w:lvlText w:val="(%1)"/>
      <w:numFmt w:val="lowerLetter"/>
      <w:start w:val="1"/>
    </w:lvl>
  </w:abstractNum>
  <w:abstractNum w:abstractNumId="37">
    <w:nsid w:val="310C50B3"/>
    <w:multiLevelType w:val="hybridMultilevel"/>
    <w:lvl w:ilvl="0">
      <w:lvlJc w:val="left"/>
      <w:lvlText w:val="(%1)"/>
      <w:numFmt w:val="lowerLetter"/>
      <w:start w:val="1"/>
    </w:lvl>
  </w:abstractNum>
  <w:abstractNum w:abstractNumId="38">
    <w:nsid w:val="5FF87E05"/>
    <w:multiLevelType w:val="hybridMultilevel"/>
    <w:lvl w:ilvl="0">
      <w:lvlJc w:val="left"/>
      <w:lvlText w:val="(%1)"/>
      <w:numFmt w:val="lowerLetter"/>
      <w:start w:val="2"/>
    </w:lvl>
  </w:abstractNum>
  <w:abstractNum w:abstractNumId="39">
    <w:nsid w:val="2F305DEF"/>
    <w:multiLevelType w:val="hybridMultilevel"/>
    <w:lvl w:ilvl="0">
      <w:lvlJc w:val="left"/>
      <w:lvlText w:val="(%1)"/>
      <w:numFmt w:val="lowerLetter"/>
      <w:start w:val="1"/>
    </w:lvl>
  </w:abstractNum>
  <w:abstractNum w:abstractNumId="40">
    <w:nsid w:val="25A70BF7"/>
    <w:multiLevelType w:val="hybridMultilevel"/>
    <w:lvl w:ilvl="0">
      <w:lvlJc w:val="left"/>
      <w:lvlText w:val="(%1)"/>
      <w:numFmt w:val="lowerLetter"/>
      <w:start w:val="2"/>
    </w:lvl>
  </w:abstractNum>
  <w:abstractNum w:abstractNumId="41">
    <w:nsid w:val="1DBABF00"/>
    <w:multiLevelType w:val="hybridMultilevel"/>
    <w:lvl w:ilvl="0">
      <w:lvlJc w:val="left"/>
      <w:lvlText w:val="(%1)"/>
      <w:numFmt w:val="lowerLetter"/>
      <w:start w:val="1"/>
    </w:lvl>
    <w:lvl w:ilvl="1">
      <w:lvlJc w:val="left"/>
      <w:lvlText w:val="(%2)"/>
      <w:numFmt w:val="lowerRoman"/>
      <w:start w:val="1"/>
    </w:lvl>
  </w:abstractNum>
  <w:abstractNum w:abstractNumId="42">
    <w:nsid w:val="4AD084E9"/>
    <w:multiLevelType w:val="hybridMultilevel"/>
    <w:lvl w:ilvl="0">
      <w:lvlJc w:val="left"/>
      <w:lvlText w:val="%1"/>
      <w:numFmt w:val="lowerLetter"/>
      <w:start w:val="1"/>
    </w:lvl>
    <w:lvl w:ilvl="1">
      <w:lvlJc w:val="left"/>
      <w:lvlText w:val="(%2)"/>
      <w:numFmt w:val="lowerRoman"/>
      <w:start w:val="3"/>
    </w:lvl>
  </w:abstractNum>
  <w:abstractNum w:abstractNumId="43">
    <w:nsid w:val="1F48EAA1"/>
    <w:multiLevelType w:val="hybridMultilevel"/>
    <w:lvl w:ilvl="0">
      <w:lvlJc w:val="left"/>
      <w:lvlText w:val="(%1)"/>
      <w:numFmt w:val="lowerLetter"/>
      <w:start w:val="2"/>
    </w:lvl>
    <w:lvl w:ilvl="1">
      <w:lvlJc w:val="left"/>
      <w:lvlText w:val="%2"/>
      <w:numFmt w:val="lowerRoman"/>
      <w:start w:val="1"/>
    </w:lvl>
  </w:abstractNum>
  <w:abstractNum w:abstractNumId="44">
    <w:nsid w:val="1381823A"/>
    <w:multiLevelType w:val="hybridMultilevel"/>
    <w:lvl w:ilvl="0">
      <w:lvlJc w:val="left"/>
      <w:lvlText w:val="(%1)"/>
      <w:numFmt w:val="lowerLetter"/>
      <w:start w:val="1"/>
    </w:lvl>
  </w:abstractNum>
  <w:abstractNum w:abstractNumId="45">
    <w:nsid w:val="5DB70AE5"/>
    <w:multiLevelType w:val="hybridMultilevel"/>
    <w:lvl w:ilvl="0">
      <w:lvlJc w:val="left"/>
      <w:lvlText w:val="%1."/>
      <w:numFmt w:val="decimal"/>
      <w:start w:val="1"/>
    </w:lvl>
    <w:lvl w:ilvl="1">
      <w:lvlJc w:val="left"/>
      <w:lvlText w:val="%2"/>
      <w:numFmt w:val="lowerLetter"/>
      <w:start w:val="1"/>
    </w:lvl>
  </w:abstractNum>
  <w:abstractNum w:abstractNumId="46">
    <w:nsid w:val="100F8FCA"/>
    <w:multiLevelType w:val="hybridMultilevel"/>
    <w:lvl w:ilvl="0">
      <w:lvlJc w:val="left"/>
      <w:lvlText w:val="%1."/>
      <w:numFmt w:val="lowerLetter"/>
      <w:start w:val="2"/>
    </w:lvl>
  </w:abstractNum>
  <w:abstractNum w:abstractNumId="47">
    <w:nsid w:val="6590700B"/>
    <w:multiLevelType w:val="hybridMultilevel"/>
    <w:lvl w:ilvl="0">
      <w:lvlJc w:val="left"/>
      <w:lvlText w:val="%1."/>
      <w:numFmt w:val="lowerLetter"/>
      <w:start w:val="3"/>
    </w:lvl>
  </w:abstractNum>
  <w:abstractNum w:abstractNumId="48">
    <w:nsid w:val="15014ACB"/>
    <w:multiLevelType w:val="hybridMultilevel"/>
    <w:lvl w:ilvl="0">
      <w:lvlJc w:val="left"/>
      <w:lvlText w:val="%1."/>
      <w:numFmt w:val="lowerLetter"/>
      <w:start w:val="4"/>
    </w:lvl>
  </w:abstractNum>
  <w:abstractNum w:abstractNumId="49">
    <w:nsid w:val="5F5E7FD0"/>
    <w:multiLevelType w:val="hybridMultilevel"/>
    <w:lvl w:ilvl="0">
      <w:lvlJc w:val="left"/>
      <w:lvlText w:val="%1."/>
      <w:numFmt w:val="lowerLetter"/>
      <w:start w:val="5"/>
    </w:lvl>
  </w:abstractNum>
  <w:abstractNum w:abstractNumId="50">
    <w:nsid w:val="98A3148"/>
    <w:multiLevelType w:val="hybridMultilevel"/>
    <w:lvl w:ilvl="0">
      <w:lvlJc w:val="left"/>
      <w:lvlText w:val="%1."/>
      <w:numFmt w:val="lowerLetter"/>
      <w:start w:val="6"/>
    </w:lvl>
  </w:abstractNum>
  <w:abstractNum w:abstractNumId="51">
    <w:nsid w:val="799D0247"/>
    <w:multiLevelType w:val="hybridMultilevel"/>
    <w:lvl w:ilvl="0">
      <w:lvlJc w:val="left"/>
      <w:lvlText w:val="%1."/>
      <w:numFmt w:val="decimal"/>
      <w:start w:val="2"/>
    </w:lvl>
  </w:abstractNum>
  <w:abstractNum w:abstractNumId="52">
    <w:nsid w:val="6B94764"/>
    <w:multiLevelType w:val="hybridMultilevel"/>
    <w:lvl w:ilvl="0">
      <w:lvlJc w:val="left"/>
      <w:lvlText w:val="%1."/>
      <w:numFmt w:val="decimal"/>
      <w:start w:val="1"/>
    </w:lvl>
    <w:lvl w:ilvl="1">
      <w:lvlJc w:val="left"/>
      <w:lvlText w:val="(%2)"/>
      <w:numFmt w:val="lowerLetter"/>
      <w:start w:val="1"/>
    </w:lvl>
  </w:abstractNum>
  <w:abstractNum w:abstractNumId="53">
    <w:nsid w:val="42C296BD"/>
    <w:multiLevelType w:val="hybridMultilevel"/>
    <w:lvl w:ilvl="0">
      <w:lvlJc w:val="left"/>
      <w:lvlText w:val="(%1)"/>
      <w:numFmt w:val="lowerLetter"/>
      <w:start w:val="2"/>
    </w:lvl>
    <w:lvl w:ilvl="1">
      <w:lvlJc w:val="left"/>
      <w:lvlText w:val="(%2)"/>
      <w:numFmt w:val="lowerRoman"/>
      <w:start w:val="1"/>
    </w:lvl>
  </w:abstractNum>
  <w:abstractNum w:abstractNumId="54">
    <w:nsid w:val="168E121F"/>
    <w:multiLevelType w:val="hybridMultilevel"/>
    <w:lvl w:ilvl="0">
      <w:lvlJc w:val="left"/>
      <w:lvlText w:val="(%1)"/>
      <w:numFmt w:val="lowerRoman"/>
      <w:start w:val="7"/>
    </w:lvl>
  </w:abstractNum>
  <w:abstractNum w:abstractNumId="55">
    <w:nsid w:val="1EBA5D23"/>
    <w:multiLevelType w:val="hybridMultilevel"/>
    <w:lvl w:ilvl="0">
      <w:lvlJc w:val="left"/>
      <w:lvlText w:val="(%1)"/>
      <w:numFmt w:val="lowerLetter"/>
      <w:start w:val="4"/>
    </w:lvl>
    <w:lvl w:ilvl="1">
      <w:lvlJc w:val="left"/>
      <w:lvlText w:val="(%2)"/>
      <w:numFmt w:val="lowerRoman"/>
      <w:start w:val="1"/>
    </w:lvl>
  </w:abstractNum>
  <w:abstractNum w:abstractNumId="56">
    <w:nsid w:val="661E3F1E"/>
    <w:multiLevelType w:val="hybridMultilevel"/>
    <w:lvl w:ilvl="0">
      <w:lvlJc w:val="left"/>
      <w:lvlText w:val="(%1)"/>
      <w:numFmt w:val="lowerRoman"/>
      <w:start w:val="3"/>
    </w:lvl>
  </w:abstractNum>
  <w:abstractNum w:abstractNumId="57">
    <w:nsid w:val="5DC79EA8"/>
    <w:multiLevelType w:val="hybridMultilevel"/>
    <w:lvl w:ilvl="0">
      <w:lvlJc w:val="left"/>
      <w:lvlText w:val="(%1)"/>
      <w:numFmt w:val="lowerLetter"/>
      <w:start w:val="4"/>
    </w:lvl>
    <w:lvl w:ilvl="1">
      <w:lvlJc w:val="left"/>
      <w:lvlText w:val="(%2)"/>
      <w:numFmt w:val="lowerRoman"/>
      <w:start w:val="1"/>
    </w:lvl>
  </w:abstractNum>
  <w:abstractNum w:abstractNumId="58">
    <w:nsid w:val="540A471C"/>
    <w:multiLevelType w:val="hybridMultilevel"/>
    <w:lvl w:ilvl="0">
      <w:lvlJc w:val="left"/>
      <w:lvlText w:val="(%1)"/>
      <w:numFmt w:val="lowerRoman"/>
      <w:start w:val="3"/>
    </w:lvl>
  </w:abstractNum>
  <w:abstractNum w:abstractNumId="59">
    <w:nsid w:val="7BD3EE7B"/>
    <w:multiLevelType w:val="hybridMultilevel"/>
    <w:lvl w:ilvl="0">
      <w:lvlJc w:val="left"/>
      <w:lvlText w:val="(%1)"/>
      <w:numFmt w:val="lowerLetter"/>
      <w:start w:val="8"/>
    </w:lvl>
  </w:abstractNum>
  <w:abstractNum w:abstractNumId="60">
    <w:nsid w:val="51D9C564"/>
    <w:multiLevelType w:val="hybridMultilevel"/>
    <w:lvl w:ilvl="0">
      <w:lvlJc w:val="left"/>
      <w:lvlText w:val="(%1)"/>
      <w:numFmt w:val="lowerLetter"/>
      <w:start w:val="7"/>
    </w:lvl>
  </w:abstractNum>
  <w:abstractNum w:abstractNumId="61">
    <w:nsid w:val="613EFDC5"/>
    <w:multiLevelType w:val="hybridMultilevel"/>
    <w:lvl w:ilvl="0">
      <w:lvlJc w:val="left"/>
      <w:lvlText w:val="%1."/>
      <w:numFmt w:val="decimal"/>
      <w:start w:val="2"/>
    </w:lvl>
    <w:lvl w:ilvl="1">
      <w:lvlJc w:val="left"/>
      <w:lvlText w:val="(%2)"/>
      <w:numFmt w:val="lowerLetter"/>
      <w:start w:val="1"/>
    </w:lvl>
  </w:abstractNum>
  <w:abstractNum w:abstractNumId="62">
    <w:nsid w:val="BF72B14"/>
    <w:multiLevelType w:val="hybridMultilevel"/>
    <w:lvl w:ilvl="0">
      <w:lvlJc w:val="left"/>
      <w:lvlText w:val="%1."/>
      <w:numFmt w:val="lowerLetter"/>
      <w:start w:val="1"/>
    </w:lvl>
  </w:abstractNum>
  <w:abstractNum w:abstractNumId="63">
    <w:nsid w:val="11447B73"/>
    <w:multiLevelType w:val="hybridMultilevel"/>
    <w:lvl w:ilvl="0">
      <w:lvlJc w:val="left"/>
      <w:lvlText w:val="%1"/>
      <w:numFmt w:val="decimal"/>
      <w:start w:val="1"/>
    </w:lvl>
    <w:lvl w:ilvl="1">
      <w:lvlJc w:val="left"/>
      <w:lvlText w:val="%2."/>
      <w:numFmt w:val="lowerLetter"/>
      <w:start w:val="2"/>
    </w:lvl>
  </w:abstractNum>
  <w:abstractNum w:abstractNumId="64">
    <w:nsid w:val="42963E5A"/>
    <w:multiLevelType w:val="hybridMultilevel"/>
    <w:lvl w:ilvl="0">
      <w:lvlJc w:val="left"/>
      <w:lvlText w:val="%1."/>
      <w:numFmt w:val="decimal"/>
      <w:start w:val="4"/>
    </w:lvl>
    <w:lvl w:ilvl="1">
      <w:lvlJc w:val="left"/>
      <w:lvlText w:val="%2"/>
      <w:numFmt w:val="lowerLetter"/>
      <w:start w:val="1"/>
    </w:lvl>
  </w:abstractNum>
  <w:abstractNum w:abstractNumId="65">
    <w:nsid w:val="A0382C5"/>
    <w:multiLevelType w:val="hybridMultilevel"/>
    <w:lvl w:ilvl="0">
      <w:lvlJc w:val="left"/>
      <w:lvlText w:val="%1."/>
      <w:numFmt w:val="decimal"/>
      <w:start w:val="5"/>
    </w:lvl>
  </w:abstractNum>
  <w:abstractNum w:abstractNumId="66">
    <w:nsid w:val="8F2B15E"/>
    <w:multiLevelType w:val="hybridMultilevel"/>
    <w:lvl w:ilvl="0">
      <w:lvlJc w:val="left"/>
      <w:lvlText w:val="(%1)"/>
      <w:numFmt w:val="lowerLetter"/>
      <w:start w:val="1"/>
    </w:lvl>
  </w:abstractNum>
  <w:abstractNum w:abstractNumId="67">
    <w:nsid w:val="1A32234B"/>
    <w:multiLevelType w:val="hybridMultilevel"/>
    <w:lvl w:ilvl="0">
      <w:lvlJc w:val="left"/>
      <w:lvlText w:val="(%1)"/>
      <w:numFmt w:val="lowerLetter"/>
      <w:start w:val="7"/>
    </w:lvl>
  </w:abstractNum>
  <w:abstractNum w:abstractNumId="68">
    <w:nsid w:val="3B0FD379"/>
    <w:multiLevelType w:val="hybridMultilevel"/>
    <w:lvl w:ilvl="0">
      <w:lvlJc w:val="left"/>
      <w:lvlText w:val="%1."/>
      <w:numFmt w:val="decimal"/>
      <w:start w:val="7"/>
    </w:lvl>
    <w:lvl w:ilvl="1">
      <w:lvlJc w:val="left"/>
      <w:lvlText w:val="(%2)"/>
      <w:numFmt w:val="lowerLetter"/>
      <w:start w:val="1"/>
    </w:lvl>
  </w:abstractNum>
  <w:abstractNum w:abstractNumId="69">
    <w:nsid w:val="68EB2F63"/>
    <w:multiLevelType w:val="hybridMultilevel"/>
    <w:lvl w:ilvl="0">
      <w:lvlJc w:val="left"/>
      <w:lvlText w:val="(%1)"/>
      <w:numFmt w:val="lowerLetter"/>
      <w:start w:val="4"/>
    </w:lvl>
  </w:abstractNum>
  <w:abstractNum w:abstractNumId="70">
    <w:nsid w:val="4962813B"/>
    <w:multiLevelType w:val="hybridMultilevel"/>
    <w:lvl w:ilvl="0">
      <w:lvlJc w:val="left"/>
      <w:lvlText w:val="%1"/>
      <w:numFmt w:val="decimal"/>
      <w:start w:val="1"/>
    </w:lvl>
    <w:lvl w:ilvl="1">
      <w:lvlJc w:val="left"/>
      <w:lvlText w:val="(%2)"/>
      <w:numFmt w:val="lowerLetter"/>
      <w:start w:val="8"/>
    </w:lvl>
  </w:abstractNum>
  <w:abstractNum w:abstractNumId="71">
    <w:nsid w:val="60B6DF70"/>
    <w:multiLevelType w:val="hybridMultilevel"/>
    <w:lvl w:ilvl="0">
      <w:lvlJc w:val="left"/>
      <w:lvlText w:val="%1."/>
      <w:numFmt w:val="decimal"/>
      <w:start w:val="8"/>
    </w:lvl>
    <w:lvl w:ilvl="1">
      <w:lvlJc w:val="left"/>
      <w:lvlText w:val="(%2)"/>
      <w:numFmt w:val="lowerLetter"/>
      <w:start w:val="1"/>
    </w:lvl>
  </w:abstractNum>
  <w:abstractNum w:abstractNumId="72">
    <w:nsid w:val="6A5EE64"/>
    <w:multiLevelType w:val="hybridMultilevel"/>
    <w:lvl w:ilvl="0">
      <w:lvlJc w:val="left"/>
      <w:lvlText w:val="%1"/>
      <w:numFmt w:val="decimal"/>
      <w:start w:val="1"/>
    </w:lvl>
    <w:lvl w:ilvl="1">
      <w:lvlJc w:val="left"/>
      <w:lvlText w:val="(%2)"/>
      <w:numFmt w:val="lowerLetter"/>
      <w:start w:val="3"/>
    </w:lvl>
  </w:abstractNum>
  <w:abstractNum w:abstractNumId="73">
    <w:nsid w:val="14330624"/>
    <w:multiLevelType w:val="hybridMultilevel"/>
    <w:lvl w:ilvl="0">
      <w:lvlJc w:val="left"/>
      <w:lvlText w:val="%1."/>
      <w:numFmt w:val="decimal"/>
      <w:start w:val="9"/>
    </w:lvl>
    <w:lvl w:ilvl="1">
      <w:lvlJc w:val="left"/>
      <w:lvlText w:val="(%2)"/>
      <w:numFmt w:val="lowerLetter"/>
      <w:start w:val="1"/>
    </w:lvl>
  </w:abstractNum>
  <w:abstractNum w:abstractNumId="74">
    <w:nsid w:val="7FFFCA11"/>
    <w:multiLevelType w:val="hybridMultilevel"/>
    <w:lvl w:ilvl="0">
      <w:lvlJc w:val="left"/>
      <w:lvlText w:val="%1"/>
      <w:numFmt w:val="decimal"/>
      <w:start w:val="1"/>
    </w:lvl>
    <w:lvl w:ilvl="1">
      <w:lvlJc w:val="left"/>
      <w:lvlText w:val="(%2)"/>
      <w:numFmt w:val="lowerLetter"/>
      <w:start w:val="4"/>
    </w:lvl>
  </w:abstractNum>
  <w:abstractNum w:abstractNumId="75">
    <w:nsid w:val="1A27709E"/>
    <w:multiLevelType w:val="hybridMultilevel"/>
    <w:lvl w:ilvl="0">
      <w:lvlJc w:val="left"/>
      <w:lvlText w:val="%1."/>
      <w:numFmt w:val="decimal"/>
      <w:start w:val="10"/>
    </w:lvl>
    <w:lvl w:ilvl="1">
      <w:lvlJc w:val="left"/>
      <w:lvlText w:val="(%2)"/>
      <w:numFmt w:val="lowerLetter"/>
      <w:start w:val="1"/>
    </w:lvl>
  </w:abstractNum>
  <w:abstractNum w:abstractNumId="76">
    <w:nsid w:val="71EA1109"/>
    <w:multiLevelType w:val="hybridMultilevel"/>
    <w:lvl w:ilvl="0">
      <w:lvlJc w:val="left"/>
      <w:lvlText w:val="%1"/>
      <w:numFmt w:val="decimal"/>
      <w:start w:val="1"/>
    </w:lvl>
    <w:lvl w:ilvl="1">
      <w:lvlJc w:val="left"/>
      <w:lvlText w:val="(%2)"/>
      <w:numFmt w:val="lowerLetter"/>
      <w:start w:val="3"/>
    </w:lvl>
  </w:abstractNum>
  <w:abstractNum w:abstractNumId="77">
    <w:nsid w:val="100F59DC"/>
    <w:multiLevelType w:val="hybridMultilevel"/>
    <w:lvl w:ilvl="0">
      <w:lvlJc w:val="left"/>
      <w:lvlText w:val="%1."/>
      <w:numFmt w:val="decimal"/>
      <w:start w:val="11"/>
    </w:lvl>
    <w:lvl w:ilvl="1">
      <w:lvlJc w:val="left"/>
      <w:lvlText w:val="%2"/>
      <w:numFmt w:val="lowerLetter"/>
      <w:start w:val="1"/>
    </w:lvl>
  </w:abstractNum>
  <w:abstractNum w:abstractNumId="78">
    <w:nsid w:val="7FB7E0AA"/>
    <w:multiLevelType w:val="hybridMultilevel"/>
    <w:lvl w:ilvl="0">
      <w:lvlJc w:val="left"/>
      <w:lvlText w:val="%1."/>
      <w:numFmt w:val="decimal"/>
      <w:start w:val="15"/>
    </w:lvl>
  </w:abstractNum>
  <w:abstractNum w:abstractNumId="79">
    <w:nsid w:val="6EB5BD4"/>
    <w:multiLevelType w:val="hybridMultilevel"/>
    <w:lvl w:ilvl="0">
      <w:lvlJc w:val="left"/>
      <w:lvlText w:val="%1."/>
      <w:numFmt w:val="decimal"/>
      <w:start w:val="18"/>
    </w:lvl>
  </w:abstractNum>
  <w:abstractNum w:abstractNumId="80">
    <w:nsid w:val="6F6DD9AC"/>
    <w:multiLevelType w:val="hybridMultilevel"/>
    <w:lvl w:ilvl="0">
      <w:lvlJc w:val="left"/>
      <w:lvlText w:val="%1."/>
      <w:numFmt w:val="decimal"/>
      <w:start w:val="21"/>
    </w:lvl>
    <w:lvl w:ilvl="1">
      <w:lvlJc w:val="left"/>
      <w:lvlText w:val="(%2)"/>
      <w:numFmt w:val="lowerLetter"/>
      <w:start w:val="1"/>
    </w:lvl>
  </w:abstractNum>
  <w:abstractNum w:abstractNumId="81">
    <w:nsid w:val="94211F2"/>
    <w:multiLevelType w:val="hybridMultilevel"/>
    <w:lvl w:ilvl="0">
      <w:lvlJc w:val="left"/>
      <w:lvlText w:val="(%1)"/>
      <w:numFmt w:val="lowerLetter"/>
      <w:start w:val="3"/>
    </w:lvl>
  </w:abstractNum>
  <w:abstractNum w:abstractNumId="82">
    <w:nsid w:val="885E1B"/>
    <w:multiLevelType w:val="hybridMultilevel"/>
    <w:lvl w:ilvl="0">
      <w:lvlJc w:val="left"/>
      <w:lvlText w:val="(%1)"/>
      <w:numFmt w:val="lowerLetter"/>
      <w:start w:val="6"/>
    </w:lvl>
  </w:abstractNum>
  <w:abstractNum w:abstractNumId="83">
    <w:nsid w:val="76272110"/>
    <w:multiLevelType w:val="hybridMultilevel"/>
    <w:lvl w:ilvl="0">
      <w:lvlJc w:val="left"/>
      <w:lvlText w:val="%1."/>
      <w:numFmt w:val="decimal"/>
      <w:start w:val="22"/>
    </w:lvl>
  </w:abstractNum>
  <w:abstractNum w:abstractNumId="84">
    <w:nsid w:val="4C04A8AF"/>
    <w:multiLevelType w:val="hybridMultilevel"/>
    <w:lvl w:ilvl="0">
      <w:lvlJc w:val="left"/>
      <w:lvlText w:val="%1."/>
      <w:numFmt w:val="decimal"/>
      <w:start w:val="24"/>
    </w:lvl>
  </w:abstractNum>
  <w:abstractNum w:abstractNumId="85">
    <w:nsid w:val="1716703B"/>
    <w:multiLevelType w:val="hybridMultilevel"/>
    <w:lvl w:ilvl="0">
      <w:lvlJc w:val="left"/>
      <w:lvlText w:val="%1."/>
      <w:numFmt w:val="decimal"/>
      <w:start w:val="1"/>
    </w:lvl>
  </w:abstractNum>
  <w:abstractNum w:abstractNumId="86">
    <w:nsid w:val="14E17E33"/>
    <w:multiLevelType w:val="hybridMultilevel"/>
    <w:lvl w:ilvl="0">
      <w:lvlJc w:val="left"/>
      <w:lvlText w:val="%1."/>
      <w:numFmt w:val="decimal"/>
      <w:start w:val="2"/>
    </w:lvl>
  </w:abstractNum>
  <w:abstractNum w:abstractNumId="87">
    <w:nsid w:val="3222E7CD"/>
    <w:multiLevelType w:val="hybridMultilevel"/>
    <w:lvl w:ilvl="0">
      <w:lvlJc w:val="left"/>
      <w:lvlText w:val="%1."/>
      <w:numFmt w:val="decimal"/>
      <w:start w:val="1"/>
    </w:lvl>
    <w:lvl w:ilvl="1">
      <w:lvlJc w:val="left"/>
      <w:lvlText w:val="%2."/>
      <w:numFmt w:val="lowerLetter"/>
      <w:start w:val="1"/>
    </w:lvl>
  </w:abstractNum>
  <w:abstractNum w:abstractNumId="88">
    <w:nsid w:val="74DE0EE3"/>
    <w:multiLevelType w:val="hybridMultilevel"/>
    <w:lvl w:ilvl="0">
      <w:lvlJc w:val="left"/>
      <w:lvlText w:val="%1."/>
      <w:numFmt w:val="decimal"/>
      <w:start w:val="1"/>
    </w:lvl>
    <w:lvl w:ilvl="1">
      <w:lvlJc w:val="left"/>
      <w:lvlText w:val="%2."/>
      <w:numFmt w:val="lowerLetter"/>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2019-12-07T03:49:47Z</dcterms:created>
  <dcterms:modified xsi:type="dcterms:W3CDTF">2019-12-07T03:49:47Z</dcterms:modified>
</cp:coreProperties>
</file>