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983134107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spacing w:after="0"/>
        <w:tabs>
          <w:tab w:leader="none" w:pos="568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522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222875"/>
                    </a:xfrm>
                    <a:prstGeom prst="rect">
                      <a:avLst/>
                    </a:prstGeom>
                    <a:noFill/>
                  </pic:spPr>
                </pic:pic>
              </a:graphicData>
            </a:graphic>
          </wp:anchor>
        </w:drawing>
      </w:r>
    </w:p>
    <w:p>
      <w:pPr>
        <w:spacing w:after="0" w:line="151" w:lineRule="exact"/>
        <w:rPr>
          <w:sz w:val="20"/>
          <w:szCs w:val="20"/>
          <w:color w:val="auto"/>
        </w:rPr>
      </w:pPr>
    </w:p>
    <w:p>
      <w:pPr>
        <w:ind w:left="460" w:hanging="24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84-1434992</w:t>
      </w:r>
    </w:p>
    <w:tbl>
      <w:tblPr>
        <w:tblLayout w:type="fixed"/>
        <w:tblInd w:w="0" w:type="dxa"/>
        <w:tblCellMar>
          <w:top w:w="0" w:type="dxa"/>
          <w:left w:w="0" w:type="dxa"/>
          <w:bottom w:w="0" w:type="dxa"/>
          <w:right w:w="0" w:type="dxa"/>
        </w:tblCellMar>
      </w:tblPr>
      <w:tr>
        <w:trPr>
          <w:trHeight w:val="196"/>
        </w:trPr>
        <w:tc>
          <w:tcPr>
            <w:tcW w:w="340" w:type="dxa"/>
            <w:vAlign w:val="bottom"/>
          </w:tcPr>
          <w:p>
            <w:pPr>
              <w:ind w:left="220"/>
              <w:spacing w:after="0" w:line="196" w:lineRule="exact"/>
              <w:rPr>
                <w:sz w:val="20"/>
                <w:szCs w:val="20"/>
                <w:color w:val="auto"/>
              </w:rPr>
            </w:pPr>
            <w:r>
              <w:rPr>
                <w:rFonts w:ascii="Arial" w:cs="Arial" w:eastAsia="Arial" w:hAnsi="Arial"/>
                <w:sz w:val="18"/>
                <w:szCs w:val="18"/>
                <w:color w:val="auto"/>
                <w:w w:val="99"/>
              </w:rPr>
              <w:t>2</w:t>
            </w:r>
          </w:p>
        </w:tc>
        <w:tc>
          <w:tcPr>
            <w:tcW w:w="1108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74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spacing w:after="0"/>
              <w:rPr>
                <w:sz w:val="17"/>
                <w:szCs w:val="17"/>
                <w:color w:val="auto"/>
              </w:rPr>
            </w:pPr>
          </w:p>
        </w:tc>
        <w:tc>
          <w:tcPr>
            <w:tcW w:w="10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ind w:left="220"/>
              <w:spacing w:after="0"/>
              <w:rPr>
                <w:sz w:val="20"/>
                <w:szCs w:val="20"/>
                <w:color w:val="auto"/>
              </w:rPr>
            </w:pPr>
            <w:r>
              <w:rPr>
                <w:rFonts w:ascii="Arial" w:cs="Arial" w:eastAsia="Arial" w:hAnsi="Arial"/>
                <w:sz w:val="18"/>
                <w:szCs w:val="18"/>
                <w:color w:val="auto"/>
                <w:w w:val="99"/>
              </w:rPr>
              <w:t>3</w:t>
            </w:r>
          </w:p>
        </w:tc>
        <w:tc>
          <w:tcPr>
            <w:tcW w:w="1108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10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ind w:left="220"/>
              <w:spacing w:after="0"/>
              <w:rPr>
                <w:sz w:val="20"/>
                <w:szCs w:val="20"/>
                <w:color w:val="auto"/>
              </w:rPr>
            </w:pPr>
            <w:r>
              <w:rPr>
                <w:rFonts w:ascii="Arial" w:cs="Arial" w:eastAsia="Arial" w:hAnsi="Arial"/>
                <w:sz w:val="18"/>
                <w:szCs w:val="18"/>
                <w:color w:val="auto"/>
                <w:w w:val="99"/>
              </w:rPr>
              <w:t>4</w:t>
            </w:r>
          </w:p>
        </w:tc>
        <w:tc>
          <w:tcPr>
            <w:tcW w:w="1108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4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4"/>
          </w:tcPr>
          <w:p>
            <w:pPr>
              <w:ind w:left="34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7"/>
              </w:rPr>
              <w:t>Number of</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5,584,510</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7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1"/>
              </w:rPr>
              <w:t>shares</w:t>
            </w: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8"/>
              </w:rPr>
              <w:t>owned by</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740" w:type="dxa"/>
            <w:vAlign w:val="bottom"/>
            <w:tcBorders>
              <w:right w:val="single" w:sz="8" w:color="auto"/>
            </w:tcBorders>
          </w:tcPr>
          <w:p>
            <w:pPr>
              <w:jc w:val="center"/>
              <w:ind w:right="130"/>
              <w:spacing w:after="0" w:line="190" w:lineRule="exact"/>
              <w:rPr>
                <w:sz w:val="20"/>
                <w:szCs w:val="20"/>
                <w:color w:val="auto"/>
              </w:rPr>
            </w:pPr>
            <w:r>
              <w:rPr>
                <w:rFonts w:ascii="Arial" w:cs="Arial" w:eastAsia="Arial" w:hAnsi="Arial"/>
                <w:sz w:val="18"/>
                <w:szCs w:val="18"/>
                <w:color w:val="auto"/>
                <w:w w:val="81"/>
              </w:rPr>
              <w:t>each</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0"/>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6,227,417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3"/>
              </w:rPr>
              <w:t>person</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40" w:type="dxa"/>
            <w:vAlign w:val="bottom"/>
          </w:tcPr>
          <w:p>
            <w:pPr>
              <w:spacing w:after="0"/>
              <w:rPr>
                <w:sz w:val="4"/>
                <w:szCs w:val="4"/>
                <w:color w:val="auto"/>
              </w:rPr>
            </w:pPr>
          </w:p>
        </w:tc>
        <w:tc>
          <w:tcPr>
            <w:tcW w:w="74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40" w:type="dxa"/>
            <w:vAlign w:val="bottom"/>
          </w:tcPr>
          <w:p>
            <w:pPr>
              <w:ind w:left="220"/>
              <w:spacing w:after="0"/>
              <w:rPr>
                <w:sz w:val="20"/>
                <w:szCs w:val="20"/>
                <w:color w:val="auto"/>
              </w:rPr>
            </w:pPr>
            <w:r>
              <w:rPr>
                <w:rFonts w:ascii="Arial" w:cs="Arial" w:eastAsia="Arial" w:hAnsi="Arial"/>
                <w:sz w:val="18"/>
                <w:szCs w:val="18"/>
                <w:color w:val="auto"/>
                <w:w w:val="99"/>
              </w:rPr>
              <w:t>9</w:t>
            </w:r>
          </w:p>
        </w:tc>
        <w:tc>
          <w:tcPr>
            <w:tcW w:w="1108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6,227,417</w:t>
      </w:r>
    </w:p>
    <w:p>
      <w:pPr>
        <w:spacing w:after="0" w:line="22" w:lineRule="exact"/>
        <w:rPr>
          <w:sz w:val="20"/>
          <w:szCs w:val="20"/>
          <w:color w:val="auto"/>
        </w:rPr>
      </w:pPr>
    </w:p>
    <w:p>
      <w:pPr>
        <w:ind w:left="460" w:hanging="330"/>
        <w:spacing w:after="0" w:line="207" w:lineRule="exact"/>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4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5.1%</w:t>
      </w:r>
    </w:p>
    <w:p>
      <w:pPr>
        <w:spacing w:after="0" w:line="3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CUSIP No 983134107</w:t>
            </w:r>
          </w:p>
        </w:tc>
        <w:tc>
          <w:tcPr>
            <w:tcW w:w="660" w:type="dxa"/>
            <w:vAlign w:val="bottom"/>
          </w:tcPr>
          <w:p>
            <w:pPr>
              <w:ind w:left="360"/>
              <w:spacing w:after="0"/>
              <w:rPr>
                <w:sz w:val="20"/>
                <w:szCs w:val="20"/>
                <w:color w:val="auto"/>
              </w:rPr>
            </w:pPr>
            <w:r>
              <w:rPr>
                <w:rFonts w:ascii="Arial" w:cs="Arial" w:eastAsia="Arial" w:hAnsi="Arial"/>
                <w:sz w:val="18"/>
                <w:szCs w:val="18"/>
                <w:color w:val="auto"/>
                <w:w w:val="82"/>
              </w:rPr>
              <w:t>13G</w:t>
            </w:r>
          </w:p>
        </w:tc>
      </w:tr>
      <w:tr>
        <w:trPr>
          <w:trHeight w:val="365"/>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Wynn Resorts, Limited</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w w:val="95"/>
              </w:rPr>
              <w:t>Address of Issuer’s Principal Executive Offices:</w:t>
            </w:r>
          </w:p>
        </w:tc>
        <w:tc>
          <w:tcPr>
            <w:tcW w:w="66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3131 Las Vegas Blvd. South</w:t>
            </w:r>
          </w:p>
        </w:tc>
        <w:tc>
          <w:tcPr>
            <w:tcW w:w="6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Las Vegas, Nevada 89109</w:t>
            </w:r>
          </w:p>
        </w:tc>
        <w:tc>
          <w:tcPr>
            <w:tcW w:w="66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Marsico Capital Management, LLC</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800" w:type="dxa"/>
            <w:vAlign w:val="bottom"/>
            <w:gridSpan w:val="2"/>
          </w:tcPr>
          <w:p>
            <w:pPr>
              <w:ind w:left="220"/>
              <w:spacing w:after="0"/>
              <w:rPr>
                <w:sz w:val="20"/>
                <w:szCs w:val="20"/>
                <w:color w:val="auto"/>
              </w:rPr>
            </w:pPr>
            <w:r>
              <w:rPr>
                <w:rFonts w:ascii="Arial" w:cs="Arial" w:eastAsia="Arial" w:hAnsi="Arial"/>
                <w:sz w:val="18"/>
                <w:szCs w:val="18"/>
                <w:b w:val="1"/>
                <w:bCs w:val="1"/>
                <w:color w:val="auto"/>
                <w:w w:val="88"/>
              </w:rPr>
              <w:t>Address of Principal Business Office or, if None, Residence:</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6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Denver, Colorado 80202</w:t>
            </w:r>
          </w:p>
        </w:tc>
        <w:tc>
          <w:tcPr>
            <w:tcW w:w="66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Delaware</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983134107</w:t>
            </w:r>
          </w:p>
        </w:tc>
        <w:tc>
          <w:tcPr>
            <w:tcW w:w="660" w:type="dxa"/>
            <w:vAlign w:val="bottom"/>
          </w:tcPr>
          <w:p>
            <w:pPr>
              <w:spacing w:after="0"/>
              <w:rPr>
                <w:sz w:val="24"/>
                <w:szCs w:val="24"/>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5 Pages</w:t>
      </w:r>
    </w:p>
    <w:p>
      <w:pPr>
        <w:sectPr>
          <w:pgSz w:w="11900" w:h="16838" w:orient="portrait"/>
          <w:cols w:equalWidth="0" w:num="2">
            <w:col w:w="9460" w:space="720"/>
            <w:col w:w="1240"/>
          </w:cols>
          <w:pgMar w:left="240" w:top="280" w:right="239" w:bottom="1440" w:gutter="0" w:footer="0" w:header="0"/>
        </w:sectPr>
      </w:pPr>
    </w:p>
    <w:bookmarkStart w:id="3" w:name="page4"/>
    <w:bookmarkEnd w:id="3"/>
    <w:p>
      <w:pPr>
        <w:spacing w:after="0"/>
        <w:tabs>
          <w:tab w:leader="none" w:pos="568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233" w:lineRule="exact"/>
        <w:rPr>
          <w:sz w:val="20"/>
          <w:szCs w:val="20"/>
          <w:color w:val="auto"/>
        </w:rPr>
      </w:pPr>
    </w:p>
    <w:p>
      <w:pPr>
        <w:ind w:left="1360" w:hanging="677"/>
        <w:spacing w:after="0" w:line="207" w:lineRule="exact"/>
        <w:tabs>
          <w:tab w:leader="none" w:pos="13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660" w:right="1440" w:hanging="977"/>
        <w:spacing w:after="0" w:line="236" w:lineRule="exact"/>
        <w:tabs>
          <w:tab w:leader="none" w:pos="136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360" w:hanging="677"/>
        <w:spacing w:after="0" w:line="207" w:lineRule="exact"/>
        <w:tabs>
          <w:tab w:leader="none" w:pos="13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68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1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3" w:lineRule="exact"/>
        <w:rPr>
          <w:sz w:val="20"/>
          <w:szCs w:val="20"/>
          <w:color w:val="auto"/>
        </w:rPr>
      </w:pPr>
    </w:p>
    <w:p>
      <w:pPr>
        <w:ind w:left="680" w:right="208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680" w:right="136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680" w:right="164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80" w:right="239" w:bottom="1440" w:gutter="0" w:footer="0" w:header="0"/>
        </w:sectPr>
      </w:pPr>
    </w:p>
    <w:bookmarkStart w:id="4" w:name="page5"/>
    <w:bookmarkEnd w:id="4"/>
    <w:p>
      <w:pPr>
        <w:spacing w:after="0"/>
        <w:tabs>
          <w:tab w:leader="none" w:pos="568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44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59" w:lineRule="exact"/>
        <w:rPr>
          <w:sz w:val="20"/>
          <w:szCs w:val="20"/>
          <w:color w:val="auto"/>
        </w:rPr>
      </w:pPr>
    </w:p>
    <w:p>
      <w:pPr>
        <w:ind w:left="720" w:right="1500"/>
        <w:spacing w:after="0" w:line="268" w:lineRule="auto"/>
        <w:rPr>
          <w:sz w:val="20"/>
          <w:szCs w:val="20"/>
          <w:color w:val="auto"/>
        </w:rPr>
      </w:pPr>
      <w:r>
        <w:rPr>
          <w:rFonts w:ascii="Arial" w:cs="Arial" w:eastAsia="Arial" w:hAnsi="Arial"/>
          <w:sz w:val="18"/>
          <w:szCs w:val="18"/>
          <w:color w:val="auto"/>
        </w:rPr>
        <w:t>This report is not an admission that Marsico Capital Management, LLC (“MCM”) is the beneficial owner of any securities covered by this report, and MCM expressly disclaims beneficial ownership of all shares reported herein.</w:t>
      </w:r>
    </w:p>
    <w:p>
      <w:pPr>
        <w:spacing w:after="0" w:line="12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NEIL L GLOUDE</w:t>
            </w:r>
          </w:p>
        </w:tc>
      </w:tr>
      <w:tr>
        <w:trPr>
          <w:trHeight w:val="216"/>
        </w:trPr>
        <w:tc>
          <w:tcPr>
            <w:tcW w:w="5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w w:val="98"/>
              </w:rPr>
              <w:t>Name:</w:t>
            </w:r>
          </w:p>
        </w:tc>
        <w:tc>
          <w:tcPr>
            <w:tcW w:w="3420" w:type="dxa"/>
            <w:vAlign w:val="bottom"/>
          </w:tcPr>
          <w:p>
            <w:pPr>
              <w:ind w:left="100"/>
              <w:spacing w:after="0"/>
              <w:rPr>
                <w:sz w:val="20"/>
                <w:szCs w:val="20"/>
                <w:color w:val="auto"/>
              </w:rPr>
            </w:pPr>
            <w:r>
              <w:rPr>
                <w:rFonts w:ascii="Arial" w:cs="Arial" w:eastAsia="Arial" w:hAnsi="Arial"/>
                <w:sz w:val="18"/>
                <w:szCs w:val="18"/>
                <w:color w:val="auto"/>
              </w:rPr>
              <w:t>Neil L. Gloude</w:t>
            </w:r>
          </w:p>
        </w:tc>
      </w:tr>
      <w:tr>
        <w:trPr>
          <w:trHeight w:val="222"/>
        </w:trPr>
        <w:tc>
          <w:tcPr>
            <w:tcW w:w="5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Title:</w:t>
            </w:r>
          </w:p>
        </w:tc>
        <w:tc>
          <w:tcPr>
            <w:tcW w:w="34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decimal"/>
      <w:start w:val="10"/>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2019-12-10T21:36:52Z</dcterms:created>
  <dcterms:modified xsi:type="dcterms:W3CDTF">2019-12-10T21:36:52Z</dcterms:modified>
</cp:coreProperties>
</file>