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6, 2009</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WYNN RESORTS, LIMITED</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40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Nevada</w:t>
            </w:r>
          </w:p>
        </w:tc>
        <w:tc>
          <w:tcPr>
            <w:tcW w:w="48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000-50028</w:t>
            </w:r>
          </w:p>
        </w:tc>
        <w:tc>
          <w:tcPr>
            <w:tcW w:w="1980" w:type="dxa"/>
            <w:vAlign w:val="bottom"/>
          </w:tcPr>
          <w:p>
            <w:pPr>
              <w:jc w:val="right"/>
              <w:ind w:right="130"/>
              <w:spacing w:after="0"/>
              <w:rPr>
                <w:sz w:val="20"/>
                <w:szCs w:val="20"/>
                <w:color w:val="auto"/>
              </w:rPr>
            </w:pPr>
            <w:r>
              <w:rPr>
                <w:rFonts w:ascii="Arial" w:cs="Arial" w:eastAsia="Arial" w:hAnsi="Arial"/>
                <w:sz w:val="18"/>
                <w:szCs w:val="18"/>
                <w:b w:val="1"/>
                <w:bCs w:val="1"/>
                <w:color w:val="auto"/>
              </w:rPr>
              <w:t>46-0484987</w:t>
            </w:r>
          </w:p>
        </w:tc>
      </w:tr>
      <w:tr>
        <w:trPr>
          <w:trHeight w:val="418"/>
        </w:trPr>
        <w:tc>
          <w:tcPr>
            <w:tcW w:w="2400" w:type="dxa"/>
            <w:vAlign w:val="bottom"/>
          </w:tcPr>
          <w:p>
            <w:pPr>
              <w:jc w:val="center"/>
              <w:ind w:right="410"/>
              <w:spacing w:after="0"/>
              <w:rPr>
                <w:sz w:val="20"/>
                <w:szCs w:val="20"/>
                <w:color w:val="auto"/>
              </w:rPr>
            </w:pPr>
            <w:r>
              <w:rPr>
                <w:rFonts w:ascii="Arial" w:cs="Arial" w:eastAsia="Arial" w:hAnsi="Arial"/>
                <w:sz w:val="18"/>
                <w:szCs w:val="18"/>
                <w:color w:val="auto"/>
                <w:w w:val="92"/>
              </w:rPr>
              <w:t>(State or other jurisdiction</w:t>
            </w:r>
          </w:p>
        </w:tc>
        <w:tc>
          <w:tcPr>
            <w:tcW w:w="484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3"/>
              </w:rPr>
              <w:t>(IRS Employer</w:t>
            </w:r>
          </w:p>
        </w:tc>
      </w:tr>
      <w:tr>
        <w:trPr>
          <w:trHeight w:val="230"/>
        </w:trPr>
        <w:tc>
          <w:tcPr>
            <w:tcW w:w="2400" w:type="dxa"/>
            <w:vAlign w:val="bottom"/>
          </w:tcPr>
          <w:p>
            <w:pPr>
              <w:jc w:val="center"/>
              <w:ind w:right="410"/>
              <w:spacing w:after="0"/>
              <w:rPr>
                <w:sz w:val="20"/>
                <w:szCs w:val="20"/>
                <w:color w:val="auto"/>
              </w:rPr>
            </w:pPr>
            <w:r>
              <w:rPr>
                <w:rFonts w:ascii="Arial" w:cs="Arial" w:eastAsia="Arial" w:hAnsi="Arial"/>
                <w:sz w:val="18"/>
                <w:szCs w:val="18"/>
                <w:color w:val="auto"/>
                <w:w w:val="93"/>
              </w:rPr>
              <w:t>of incorporation)</w:t>
            </w:r>
          </w:p>
        </w:tc>
        <w:tc>
          <w:tcPr>
            <w:tcW w:w="484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702"/>
        </w:trPr>
        <w:tc>
          <w:tcPr>
            <w:tcW w:w="7240" w:type="dxa"/>
            <w:vAlign w:val="bottom"/>
            <w:gridSpan w:val="2"/>
          </w:tcPr>
          <w:p>
            <w:pPr>
              <w:jc w:val="center"/>
              <w:ind w:right="1450"/>
              <w:spacing w:after="0"/>
              <w:rPr>
                <w:sz w:val="20"/>
                <w:szCs w:val="20"/>
                <w:color w:val="auto"/>
              </w:rPr>
            </w:pPr>
            <w:r>
              <w:rPr>
                <w:rFonts w:ascii="Arial" w:cs="Arial" w:eastAsia="Arial" w:hAnsi="Arial"/>
                <w:sz w:val="18"/>
                <w:szCs w:val="18"/>
                <w:b w:val="1"/>
                <w:bCs w:val="1"/>
                <w:color w:val="auto"/>
                <w:w w:val="88"/>
              </w:rPr>
              <w:t>3131 Las Vegas Boulevard South, Las Vegas, Nevada</w:t>
            </w: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89109</w:t>
            </w:r>
          </w:p>
        </w:tc>
      </w:tr>
      <w:tr>
        <w:trPr>
          <w:trHeight w:val="432"/>
        </w:trPr>
        <w:tc>
          <w:tcPr>
            <w:tcW w:w="7240" w:type="dxa"/>
            <w:vAlign w:val="bottom"/>
            <w:gridSpan w:val="2"/>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jc w:val="center"/>
              <w:ind w:left="570"/>
              <w:spacing w:after="0"/>
              <w:rPr>
                <w:sz w:val="20"/>
                <w:szCs w:val="20"/>
                <w:color w:val="auto"/>
              </w:rPr>
            </w:pPr>
            <w:r>
              <w:rPr>
                <w:rFonts w:ascii="Arial" w:cs="Arial" w:eastAsia="Arial" w:hAnsi="Arial"/>
                <w:sz w:val="18"/>
                <w:szCs w:val="18"/>
                <w:color w:val="auto"/>
                <w:w w:val="94"/>
              </w:rPr>
              <w:t>(Zip Code)</w:t>
            </w:r>
          </w:p>
        </w:tc>
      </w:tr>
      <w:tr>
        <w:trPr>
          <w:trHeight w:val="459"/>
        </w:trPr>
        <w:tc>
          <w:tcPr>
            <w:tcW w:w="2400" w:type="dxa"/>
            <w:vAlign w:val="bottom"/>
          </w:tcPr>
          <w:p>
            <w:pPr>
              <w:spacing w:after="0"/>
              <w:rPr>
                <w:sz w:val="24"/>
                <w:szCs w:val="24"/>
                <w:color w:val="auto"/>
              </w:rPr>
            </w:pPr>
          </w:p>
        </w:tc>
        <w:tc>
          <w:tcPr>
            <w:tcW w:w="4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(702) 770-7555</w:t>
            </w:r>
          </w:p>
        </w:tc>
        <w:tc>
          <w:tcPr>
            <w:tcW w:w="1980" w:type="dxa"/>
            <w:vAlign w:val="bottom"/>
          </w:tcPr>
          <w:p>
            <w:pPr>
              <w:spacing w:after="0"/>
              <w:rPr>
                <w:sz w:val="24"/>
                <w:szCs w:val="24"/>
                <w:color w:val="auto"/>
              </w:rPr>
            </w:pPr>
          </w:p>
        </w:tc>
      </w:tr>
      <w:tr>
        <w:trPr>
          <w:trHeight w:val="459"/>
        </w:trPr>
        <w:tc>
          <w:tcPr>
            <w:tcW w:w="2400" w:type="dxa"/>
            <w:vAlign w:val="bottom"/>
          </w:tcPr>
          <w:p>
            <w:pPr>
              <w:spacing w:after="0"/>
              <w:rPr>
                <w:sz w:val="24"/>
                <w:szCs w:val="24"/>
                <w:color w:val="auto"/>
              </w:rPr>
            </w:pPr>
          </w:p>
        </w:tc>
        <w:tc>
          <w:tcPr>
            <w:tcW w:w="4840" w:type="dxa"/>
            <w:vAlign w:val="bottom"/>
          </w:tcPr>
          <w:p>
            <w:pPr>
              <w:jc w:val="center"/>
              <w:ind w:right="50"/>
              <w:spacing w:after="0"/>
              <w:rPr>
                <w:sz w:val="20"/>
                <w:szCs w:val="20"/>
                <w:color w:val="auto"/>
              </w:rPr>
            </w:pPr>
            <w:r>
              <w:rPr>
                <w:rFonts w:ascii="Arial" w:cs="Arial" w:eastAsia="Arial" w:hAnsi="Arial"/>
                <w:sz w:val="18"/>
                <w:szCs w:val="18"/>
                <w:color w:val="auto"/>
                <w:w w:val="89"/>
              </w:rPr>
              <w:t>Registrant’s telephone number, including area code</w:t>
            </w:r>
          </w:p>
        </w:tc>
        <w:tc>
          <w:tcPr>
            <w:tcW w:w="1980" w:type="dxa"/>
            <w:vAlign w:val="bottom"/>
          </w:tcPr>
          <w:p>
            <w:pPr>
              <w:spacing w:after="0"/>
              <w:rPr>
                <w:sz w:val="24"/>
                <w:szCs w:val="24"/>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8" w:lineRule="exact"/>
        <w:rPr>
          <w:sz w:val="24"/>
          <w:szCs w:val="24"/>
          <w:color w:val="auto"/>
        </w:rPr>
      </w:pPr>
    </w:p>
    <w:p>
      <w:pPr>
        <w:ind w:left="160" w:hanging="11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0" w:lineRule="exact"/>
        <w:rPr>
          <w:rFonts w:ascii="Arial" w:cs="Arial" w:eastAsia="Arial" w:hAnsi="Arial"/>
          <w:sz w:val="18"/>
          <w:szCs w:val="18"/>
          <w:color w:val="auto"/>
        </w:rPr>
      </w:pPr>
    </w:p>
    <w:p>
      <w:pPr>
        <w:ind w:left="160" w:hanging="11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0" w:lineRule="exact"/>
        <w:rPr>
          <w:rFonts w:ascii="Arial" w:cs="Arial" w:eastAsia="Arial" w:hAnsi="Arial"/>
          <w:sz w:val="18"/>
          <w:szCs w:val="18"/>
          <w:color w:val="auto"/>
        </w:rPr>
      </w:pPr>
    </w:p>
    <w:p>
      <w:pPr>
        <w:ind w:left="160" w:hanging="11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0" w:lineRule="exact"/>
        <w:rPr>
          <w:rFonts w:ascii="Arial" w:cs="Arial" w:eastAsia="Arial" w:hAnsi="Arial"/>
          <w:sz w:val="18"/>
          <w:szCs w:val="18"/>
          <w:color w:val="auto"/>
        </w:rPr>
      </w:pPr>
    </w:p>
    <w:p>
      <w:pPr>
        <w:ind w:left="160" w:hanging="11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6, 2009, the Board of Directors of Wynn Resorts, Limited (the “Registrant”) declared a special cash dividend of $4.00 per share of its outstanding common stock. This special cash dividend will be payable on December 3, 2009 to stockholders of record on November 19, 2009. Additionally, the Company announced its Board of Directors approved the commencement of a regular cash dividend program beginning in 2010.</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Registrant’s press release, dated November 9, 2009, announcing the special cash dividend and the commencement of a regular cash dividend program in 2010 is filed as Exhibit 99.1 to this report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52"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99.1</w:t>
      </w:r>
      <w:r>
        <w:rPr>
          <w:rFonts w:ascii="Arial" w:cs="Arial" w:eastAsia="Arial" w:hAnsi="Arial"/>
          <w:sz w:val="16"/>
          <w:szCs w:val="16"/>
          <w:color w:val="auto"/>
        </w:rPr>
        <w:t>Press Release, dated November 9, 2009, of Wynn Resorts, Limited.</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120" w:type="dxa"/>
            <w:vAlign w:val="bottom"/>
            <w:gridSpan w:val="2"/>
          </w:tcPr>
          <w:p>
            <w:pPr>
              <w:ind w:left="1840"/>
              <w:spacing w:after="0"/>
              <w:rPr>
                <w:sz w:val="20"/>
                <w:szCs w:val="20"/>
                <w:color w:val="auto"/>
              </w:rPr>
            </w:pPr>
            <w:r>
              <w:rPr>
                <w:rFonts w:ascii="Arial" w:cs="Arial" w:eastAsia="Arial" w:hAnsi="Arial"/>
                <w:sz w:val="18"/>
                <w:szCs w:val="18"/>
                <w:b w:val="1"/>
                <w:bCs w:val="1"/>
                <w:color w:val="auto"/>
              </w:rPr>
              <w:t>WYNN RESORTS, LIMITED</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 November 9, 2009</w:t>
            </w:r>
          </w:p>
        </w:tc>
        <w:tc>
          <w:tcPr>
            <w:tcW w:w="2840" w:type="dxa"/>
            <w:vAlign w:val="bottom"/>
          </w:tcPr>
          <w:p>
            <w:pPr>
              <w:ind w:left="1840"/>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Sinatra</w:t>
            </w:r>
          </w:p>
        </w:tc>
      </w:tr>
      <w:tr>
        <w:trPr>
          <w:trHeight w:val="195"/>
        </w:trPr>
        <w:tc>
          <w:tcPr>
            <w:tcW w:w="3660" w:type="dxa"/>
            <w:vAlign w:val="bottom"/>
          </w:tcPr>
          <w:p>
            <w:pPr>
              <w:spacing w:after="0"/>
              <w:rPr>
                <w:sz w:val="16"/>
                <w:szCs w:val="16"/>
                <w:color w:val="auto"/>
              </w:rPr>
            </w:pPr>
          </w:p>
        </w:tc>
        <w:tc>
          <w:tcPr>
            <w:tcW w:w="284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3280" w:type="dxa"/>
            <w:vAlign w:val="bottom"/>
          </w:tcPr>
          <w:p>
            <w:pPr>
              <w:spacing w:after="0" w:line="195" w:lineRule="exact"/>
              <w:rPr>
                <w:sz w:val="20"/>
                <w:szCs w:val="20"/>
                <w:color w:val="auto"/>
              </w:rPr>
            </w:pPr>
            <w:r>
              <w:rPr>
                <w:rFonts w:ascii="Arial" w:cs="Arial" w:eastAsia="Arial" w:hAnsi="Arial"/>
                <w:sz w:val="18"/>
                <w:szCs w:val="18"/>
                <w:color w:val="auto"/>
              </w:rPr>
              <w:t>Kim Sinatra</w:t>
            </w:r>
          </w:p>
        </w:tc>
      </w:tr>
      <w:tr>
        <w:trPr>
          <w:trHeight w:val="230"/>
        </w:trPr>
        <w:tc>
          <w:tcPr>
            <w:tcW w:w="3660" w:type="dxa"/>
            <w:vAlign w:val="bottom"/>
          </w:tcPr>
          <w:p>
            <w:pPr>
              <w:spacing w:after="0"/>
              <w:rPr>
                <w:sz w:val="20"/>
                <w:szCs w:val="20"/>
                <w:color w:val="auto"/>
              </w:rPr>
            </w:pPr>
          </w:p>
        </w:tc>
        <w:tc>
          <w:tcPr>
            <w:tcW w:w="2840" w:type="dxa"/>
            <w:vAlign w:val="bottom"/>
          </w:tcPr>
          <w:p>
            <w:pPr>
              <w:ind w:left="1840"/>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720"/>
          </w:cols>
          <w:pgMar w:left="240" w:top="607"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WYNN RESORTS DECLARES SPECIAL CASH DIVIDEND AND ANNOUNCES BOARD</w:t>
      </w:r>
    </w:p>
    <w:p>
      <w:pPr>
        <w:jc w:val="center"/>
        <w:ind w:right="20"/>
        <w:spacing w:after="0"/>
        <w:rPr>
          <w:sz w:val="20"/>
          <w:szCs w:val="20"/>
          <w:color w:val="auto"/>
        </w:rPr>
      </w:pPr>
      <w:r>
        <w:rPr>
          <w:rFonts w:ascii="Arial" w:cs="Arial" w:eastAsia="Arial" w:hAnsi="Arial"/>
          <w:sz w:val="20"/>
          <w:szCs w:val="20"/>
          <w:color w:val="auto"/>
        </w:rPr>
        <w:t>APPROVAL OF A REGULAR CASH DIVIDEND COMMENCING IN 2010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LAS VEGAS--(BUSINESS WIRE)—November 9, 2009--Wynn Resorts, Limited (Nasdaq:WYNN), announced today that its Board of Directors declared a special cash dividend of $4.00 per share on its outstanding common stock. This dividend will be payable on December 3, 2009, to stockholders of record on November 19, 2009. The stock will begin to trade ex-dividend on November 17, 2009.</w:t>
      </w:r>
    </w:p>
    <w:p>
      <w:pPr>
        <w:spacing w:after="0" w:line="222"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The Company’s Board of Directors also approved the commencement of a regular cash dividend program, beginning in 2010. It is currently anticipated this regular cash dividend will be $0.20 per share of common stock for the first quarter of 2010, payable in the second quarter of 2010.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w:t>
      </w:r>
    </w:p>
    <w:p>
      <w:pPr>
        <w:spacing w:after="0" w:line="200" w:lineRule="exact"/>
        <w:rPr>
          <w:sz w:val="20"/>
          <w:szCs w:val="20"/>
          <w:color w:val="auto"/>
        </w:rPr>
      </w:pPr>
    </w:p>
    <w:p>
      <w:pPr>
        <w:spacing w:after="0" w:line="27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This release contains forward-looking statements regarding payment of certain cash dividends by the Company. Such forward-looking information involves important risks and uncertainties that could significantly affect payment by the Company of the cash dividends.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payment by the Company of the cash dividends is included in the Company's Annual Report on Form 10-K for the year ended December 31, 2008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w:t>
      </w:r>
    </w:p>
    <w:p>
      <w:pPr>
        <w:spacing w:after="0"/>
        <w:rPr>
          <w:sz w:val="20"/>
          <w:szCs w:val="20"/>
          <w:color w:val="auto"/>
        </w:rPr>
      </w:pPr>
      <w:r>
        <w:rPr>
          <w:rFonts w:ascii="Arial" w:cs="Arial" w:eastAsia="Arial" w:hAnsi="Arial"/>
          <w:sz w:val="20"/>
          <w:szCs w:val="20"/>
          <w:color w:val="auto"/>
        </w:rPr>
        <w:t>Samanta Stewart, 702-770-7555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2019-12-10T22:18:15Z</dcterms:created>
  <dcterms:modified xsi:type="dcterms:W3CDTF">2019-12-10T22:18:15Z</dcterms:modified>
</cp:coreProperties>
</file>