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____________________</w:t>
      </w:r>
    </w:p>
    <w:p>
      <w:pPr>
        <w:spacing w:after="0" w:line="213"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_____________________</w:t>
      </w:r>
    </w:p>
    <w:p>
      <w:pPr>
        <w:spacing w:after="0" w:line="213"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Date of Report (Date of earliest event reported): February 27, 2007</w:t>
      </w:r>
    </w:p>
    <w:p>
      <w:pPr>
        <w:spacing w:after="0" w:line="219" w:lineRule="exact"/>
        <w:rPr>
          <w:sz w:val="20"/>
          <w:szCs w:val="20"/>
          <w:color w:val="auto"/>
        </w:rPr>
      </w:pPr>
    </w:p>
    <w:p>
      <w:pPr>
        <w:jc w:val="center"/>
        <w:ind w:right="307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3079"/>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0"/>
          <w:szCs w:val="20"/>
          <w:color w:val="auto"/>
        </w:rPr>
      </w:pPr>
    </w:p>
    <w:tbl>
      <w:tblPr>
        <w:tblLayout w:type="fixed"/>
        <w:tblInd w:w="180" w:type="dxa"/>
        <w:tblCellMar>
          <w:top w:w="0" w:type="dxa"/>
          <w:left w:w="0" w:type="dxa"/>
          <w:bottom w:w="0" w:type="dxa"/>
          <w:right w:w="0" w:type="dxa"/>
        </w:tblCellMar>
      </w:tblPr>
      <w:tr>
        <w:trPr>
          <w:trHeight w:val="222"/>
        </w:trPr>
        <w:tc>
          <w:tcPr>
            <w:tcW w:w="220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Nevada</w:t>
            </w:r>
          </w:p>
        </w:tc>
        <w:tc>
          <w:tcPr>
            <w:tcW w:w="256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000-50028</w:t>
            </w:r>
          </w:p>
        </w:tc>
        <w:tc>
          <w:tcPr>
            <w:tcW w:w="1660" w:type="dxa"/>
            <w:vAlign w:val="bottom"/>
          </w:tcPr>
          <w:p>
            <w:pPr>
              <w:jc w:val="center"/>
              <w:ind w:left="272"/>
              <w:spacing w:after="0"/>
              <w:rPr>
                <w:sz w:val="20"/>
                <w:szCs w:val="20"/>
                <w:color w:val="auto"/>
              </w:rPr>
            </w:pPr>
            <w:r>
              <w:rPr>
                <w:rFonts w:ascii="Arial" w:cs="Arial" w:eastAsia="Arial" w:hAnsi="Arial"/>
                <w:sz w:val="18"/>
                <w:szCs w:val="18"/>
                <w:b w:val="1"/>
                <w:bCs w:val="1"/>
                <w:color w:val="auto"/>
                <w:w w:val="89"/>
              </w:rPr>
              <w:t>46-0484987</w:t>
            </w:r>
          </w:p>
        </w:tc>
      </w:tr>
      <w:tr>
        <w:trPr>
          <w:trHeight w:val="216"/>
        </w:trPr>
        <w:tc>
          <w:tcPr>
            <w:tcW w:w="2200" w:type="dxa"/>
            <w:vAlign w:val="bottom"/>
          </w:tcPr>
          <w:p>
            <w:pPr>
              <w:jc w:val="center"/>
              <w:ind w:right="72"/>
              <w:spacing w:after="0"/>
              <w:rPr>
                <w:sz w:val="20"/>
                <w:szCs w:val="20"/>
                <w:color w:val="auto"/>
              </w:rPr>
            </w:pPr>
            <w:r>
              <w:rPr>
                <w:rFonts w:ascii="Arial" w:cs="Arial" w:eastAsia="Arial" w:hAnsi="Arial"/>
                <w:sz w:val="18"/>
                <w:szCs w:val="18"/>
                <w:color w:val="auto"/>
                <w:w w:val="90"/>
              </w:rPr>
              <w:t>(State or other jurisdiction of</w:t>
            </w:r>
          </w:p>
        </w:tc>
        <w:tc>
          <w:tcPr>
            <w:tcW w:w="2560" w:type="dxa"/>
            <w:vAlign w:val="bottom"/>
          </w:tcPr>
          <w:p>
            <w:pPr>
              <w:jc w:val="center"/>
              <w:ind w:right="72"/>
              <w:spacing w:after="0"/>
              <w:rPr>
                <w:sz w:val="20"/>
                <w:szCs w:val="20"/>
                <w:color w:val="auto"/>
              </w:rPr>
            </w:pPr>
            <w:r>
              <w:rPr>
                <w:rFonts w:ascii="Arial" w:cs="Arial" w:eastAsia="Arial" w:hAnsi="Arial"/>
                <w:sz w:val="18"/>
                <w:szCs w:val="18"/>
                <w:color w:val="auto"/>
                <w:w w:val="91"/>
              </w:rPr>
              <w:t>(Commission File Number)</w:t>
            </w:r>
          </w:p>
        </w:tc>
        <w:tc>
          <w:tcPr>
            <w:tcW w:w="1660" w:type="dxa"/>
            <w:vAlign w:val="bottom"/>
          </w:tcPr>
          <w:p>
            <w:pPr>
              <w:jc w:val="center"/>
              <w:ind w:left="292"/>
              <w:spacing w:after="0"/>
              <w:rPr>
                <w:sz w:val="20"/>
                <w:szCs w:val="20"/>
                <w:color w:val="auto"/>
              </w:rPr>
            </w:pPr>
            <w:r>
              <w:rPr>
                <w:rFonts w:ascii="Arial" w:cs="Arial" w:eastAsia="Arial" w:hAnsi="Arial"/>
                <w:sz w:val="18"/>
                <w:szCs w:val="18"/>
                <w:color w:val="auto"/>
                <w:w w:val="90"/>
              </w:rPr>
              <w:t>(I.R.S. Employer</w:t>
            </w:r>
          </w:p>
        </w:tc>
      </w:tr>
      <w:tr>
        <w:trPr>
          <w:trHeight w:val="222"/>
        </w:trPr>
        <w:tc>
          <w:tcPr>
            <w:tcW w:w="2200" w:type="dxa"/>
            <w:vAlign w:val="bottom"/>
          </w:tcPr>
          <w:p>
            <w:pPr>
              <w:jc w:val="center"/>
              <w:ind w:right="72"/>
              <w:spacing w:after="0"/>
              <w:rPr>
                <w:sz w:val="20"/>
                <w:szCs w:val="20"/>
                <w:color w:val="auto"/>
              </w:rPr>
            </w:pPr>
            <w:r>
              <w:rPr>
                <w:rFonts w:ascii="Arial" w:cs="Arial" w:eastAsia="Arial" w:hAnsi="Arial"/>
                <w:sz w:val="18"/>
                <w:szCs w:val="18"/>
                <w:color w:val="auto"/>
                <w:w w:val="90"/>
              </w:rPr>
              <w:t>incorporation)</w:t>
            </w:r>
          </w:p>
        </w:tc>
        <w:tc>
          <w:tcPr>
            <w:tcW w:w="2560" w:type="dxa"/>
            <w:vAlign w:val="bottom"/>
          </w:tcPr>
          <w:p>
            <w:pPr>
              <w:spacing w:after="0"/>
              <w:rPr>
                <w:sz w:val="19"/>
                <w:szCs w:val="19"/>
                <w:color w:val="auto"/>
              </w:rPr>
            </w:pPr>
          </w:p>
        </w:tc>
        <w:tc>
          <w:tcPr>
            <w:tcW w:w="1660" w:type="dxa"/>
            <w:vAlign w:val="bottom"/>
          </w:tcPr>
          <w:p>
            <w:pPr>
              <w:jc w:val="center"/>
              <w:ind w:left="272"/>
              <w:spacing w:after="0"/>
              <w:rPr>
                <w:sz w:val="20"/>
                <w:szCs w:val="20"/>
                <w:color w:val="auto"/>
              </w:rPr>
            </w:pPr>
            <w:r>
              <w:rPr>
                <w:rFonts w:ascii="Arial" w:cs="Arial" w:eastAsia="Arial" w:hAnsi="Arial"/>
                <w:sz w:val="18"/>
                <w:szCs w:val="18"/>
                <w:color w:val="auto"/>
                <w:w w:val="92"/>
              </w:rPr>
              <w:t>Identification No.)</w:t>
            </w:r>
          </w:p>
        </w:tc>
      </w:tr>
      <w:tr>
        <w:trPr>
          <w:trHeight w:val="426"/>
        </w:trPr>
        <w:tc>
          <w:tcPr>
            <w:tcW w:w="2200" w:type="dxa"/>
            <w:vAlign w:val="bottom"/>
          </w:tcPr>
          <w:p>
            <w:pPr>
              <w:spacing w:after="0"/>
              <w:rPr>
                <w:sz w:val="24"/>
                <w:szCs w:val="24"/>
                <w:color w:val="auto"/>
              </w:rPr>
            </w:pPr>
          </w:p>
        </w:tc>
        <w:tc>
          <w:tcPr>
            <w:tcW w:w="2560" w:type="dxa"/>
            <w:vAlign w:val="bottom"/>
          </w:tcPr>
          <w:p>
            <w:pPr>
              <w:jc w:val="center"/>
              <w:ind w:right="72"/>
              <w:spacing w:after="0"/>
              <w:rPr>
                <w:sz w:val="20"/>
                <w:szCs w:val="20"/>
                <w:color w:val="auto"/>
              </w:rPr>
            </w:pPr>
            <w:r>
              <w:rPr>
                <w:rFonts w:ascii="Arial" w:cs="Arial" w:eastAsia="Arial" w:hAnsi="Arial"/>
                <w:sz w:val="18"/>
                <w:szCs w:val="18"/>
                <w:b w:val="1"/>
                <w:bCs w:val="1"/>
                <w:color w:val="auto"/>
                <w:w w:val="97"/>
              </w:rPr>
              <w:t>WYNN LAS VEGAS, LLC</w:t>
            </w:r>
          </w:p>
        </w:tc>
        <w:tc>
          <w:tcPr>
            <w:tcW w:w="1660" w:type="dxa"/>
            <w:vAlign w:val="bottom"/>
          </w:tcPr>
          <w:p>
            <w:pPr>
              <w:spacing w:after="0"/>
              <w:rPr>
                <w:sz w:val="24"/>
                <w:szCs w:val="24"/>
                <w:color w:val="auto"/>
              </w:rPr>
            </w:pPr>
          </w:p>
        </w:tc>
      </w:tr>
      <w:tr>
        <w:trPr>
          <w:trHeight w:val="222"/>
        </w:trPr>
        <w:tc>
          <w:tcPr>
            <w:tcW w:w="642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26"/>
        </w:trPr>
        <w:tc>
          <w:tcPr>
            <w:tcW w:w="220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Nevada</w:t>
            </w:r>
          </w:p>
        </w:tc>
        <w:tc>
          <w:tcPr>
            <w:tcW w:w="256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333-98369</w:t>
            </w:r>
          </w:p>
        </w:tc>
        <w:tc>
          <w:tcPr>
            <w:tcW w:w="1660" w:type="dxa"/>
            <w:vAlign w:val="bottom"/>
          </w:tcPr>
          <w:p>
            <w:pPr>
              <w:jc w:val="center"/>
              <w:ind w:left="272"/>
              <w:spacing w:after="0"/>
              <w:rPr>
                <w:sz w:val="20"/>
                <w:szCs w:val="20"/>
                <w:color w:val="auto"/>
              </w:rPr>
            </w:pPr>
            <w:r>
              <w:rPr>
                <w:rFonts w:ascii="Arial" w:cs="Arial" w:eastAsia="Arial" w:hAnsi="Arial"/>
                <w:sz w:val="18"/>
                <w:szCs w:val="18"/>
                <w:b w:val="1"/>
                <w:bCs w:val="1"/>
                <w:color w:val="auto"/>
                <w:w w:val="89"/>
              </w:rPr>
              <w:t>88-0494878</w:t>
            </w:r>
          </w:p>
        </w:tc>
      </w:tr>
      <w:tr>
        <w:trPr>
          <w:trHeight w:val="216"/>
        </w:trPr>
        <w:tc>
          <w:tcPr>
            <w:tcW w:w="2200" w:type="dxa"/>
            <w:vAlign w:val="bottom"/>
          </w:tcPr>
          <w:p>
            <w:pPr>
              <w:jc w:val="center"/>
              <w:ind w:right="72"/>
              <w:spacing w:after="0"/>
              <w:rPr>
                <w:sz w:val="20"/>
                <w:szCs w:val="20"/>
                <w:color w:val="auto"/>
              </w:rPr>
            </w:pPr>
            <w:r>
              <w:rPr>
                <w:rFonts w:ascii="Arial" w:cs="Arial" w:eastAsia="Arial" w:hAnsi="Arial"/>
                <w:sz w:val="18"/>
                <w:szCs w:val="18"/>
                <w:color w:val="auto"/>
                <w:w w:val="90"/>
              </w:rPr>
              <w:t>(State or other jurisdiction of</w:t>
            </w:r>
          </w:p>
        </w:tc>
        <w:tc>
          <w:tcPr>
            <w:tcW w:w="2560" w:type="dxa"/>
            <w:vAlign w:val="bottom"/>
          </w:tcPr>
          <w:p>
            <w:pPr>
              <w:jc w:val="center"/>
              <w:ind w:right="72"/>
              <w:spacing w:after="0"/>
              <w:rPr>
                <w:sz w:val="20"/>
                <w:szCs w:val="20"/>
                <w:color w:val="auto"/>
              </w:rPr>
            </w:pPr>
            <w:r>
              <w:rPr>
                <w:rFonts w:ascii="Arial" w:cs="Arial" w:eastAsia="Arial" w:hAnsi="Arial"/>
                <w:sz w:val="18"/>
                <w:szCs w:val="18"/>
                <w:color w:val="auto"/>
                <w:w w:val="91"/>
              </w:rPr>
              <w:t>(Commission File Number)</w:t>
            </w:r>
          </w:p>
        </w:tc>
        <w:tc>
          <w:tcPr>
            <w:tcW w:w="1660" w:type="dxa"/>
            <w:vAlign w:val="bottom"/>
          </w:tcPr>
          <w:p>
            <w:pPr>
              <w:jc w:val="center"/>
              <w:ind w:left="292"/>
              <w:spacing w:after="0"/>
              <w:rPr>
                <w:sz w:val="20"/>
                <w:szCs w:val="20"/>
                <w:color w:val="auto"/>
              </w:rPr>
            </w:pPr>
            <w:r>
              <w:rPr>
                <w:rFonts w:ascii="Arial" w:cs="Arial" w:eastAsia="Arial" w:hAnsi="Arial"/>
                <w:sz w:val="18"/>
                <w:szCs w:val="18"/>
                <w:color w:val="auto"/>
                <w:w w:val="90"/>
              </w:rPr>
              <w:t>(I.R.S. Employer</w:t>
            </w:r>
          </w:p>
        </w:tc>
      </w:tr>
      <w:tr>
        <w:trPr>
          <w:trHeight w:val="222"/>
        </w:trPr>
        <w:tc>
          <w:tcPr>
            <w:tcW w:w="2200" w:type="dxa"/>
            <w:vAlign w:val="bottom"/>
          </w:tcPr>
          <w:p>
            <w:pPr>
              <w:jc w:val="center"/>
              <w:ind w:right="72"/>
              <w:spacing w:after="0"/>
              <w:rPr>
                <w:sz w:val="20"/>
                <w:szCs w:val="20"/>
                <w:color w:val="auto"/>
              </w:rPr>
            </w:pPr>
            <w:r>
              <w:rPr>
                <w:rFonts w:ascii="Arial" w:cs="Arial" w:eastAsia="Arial" w:hAnsi="Arial"/>
                <w:sz w:val="18"/>
                <w:szCs w:val="18"/>
                <w:color w:val="auto"/>
                <w:w w:val="90"/>
              </w:rPr>
              <w:t>incorporation)</w:t>
            </w:r>
          </w:p>
        </w:tc>
        <w:tc>
          <w:tcPr>
            <w:tcW w:w="2560" w:type="dxa"/>
            <w:vAlign w:val="bottom"/>
          </w:tcPr>
          <w:p>
            <w:pPr>
              <w:spacing w:after="0"/>
              <w:rPr>
                <w:sz w:val="19"/>
                <w:szCs w:val="19"/>
                <w:color w:val="auto"/>
              </w:rPr>
            </w:pPr>
          </w:p>
        </w:tc>
        <w:tc>
          <w:tcPr>
            <w:tcW w:w="1660" w:type="dxa"/>
            <w:vAlign w:val="bottom"/>
          </w:tcPr>
          <w:p>
            <w:pPr>
              <w:jc w:val="center"/>
              <w:ind w:left="272"/>
              <w:spacing w:after="0"/>
              <w:rPr>
                <w:sz w:val="20"/>
                <w:szCs w:val="20"/>
                <w:color w:val="auto"/>
              </w:rPr>
            </w:pPr>
            <w:r>
              <w:rPr>
                <w:rFonts w:ascii="Arial" w:cs="Arial" w:eastAsia="Arial" w:hAnsi="Arial"/>
                <w:sz w:val="18"/>
                <w:szCs w:val="18"/>
                <w:color w:val="auto"/>
                <w:w w:val="92"/>
              </w:rPr>
              <w:t>Identification No.)</w:t>
            </w:r>
          </w:p>
        </w:tc>
      </w:tr>
      <w:tr>
        <w:trPr>
          <w:trHeight w:val="420"/>
        </w:trPr>
        <w:tc>
          <w:tcPr>
            <w:tcW w:w="476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86"/>
              </w:rPr>
              <w:t>3131 Las Vegas Boulevard South</w:t>
            </w:r>
          </w:p>
        </w:tc>
        <w:tc>
          <w:tcPr>
            <w:tcW w:w="1660" w:type="dxa"/>
            <w:vAlign w:val="bottom"/>
          </w:tcPr>
          <w:p>
            <w:pPr>
              <w:spacing w:after="0"/>
              <w:rPr>
                <w:sz w:val="24"/>
                <w:szCs w:val="24"/>
                <w:color w:val="auto"/>
              </w:rPr>
            </w:pPr>
          </w:p>
        </w:tc>
      </w:tr>
      <w:tr>
        <w:trPr>
          <w:trHeight w:val="222"/>
        </w:trPr>
        <w:tc>
          <w:tcPr>
            <w:tcW w:w="476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85"/>
              </w:rPr>
              <w:t>Las Vegas, Nevada</w:t>
            </w:r>
          </w:p>
        </w:tc>
        <w:tc>
          <w:tcPr>
            <w:tcW w:w="1660" w:type="dxa"/>
            <w:vAlign w:val="bottom"/>
          </w:tcPr>
          <w:p>
            <w:pPr>
              <w:jc w:val="right"/>
              <w:ind w:right="232"/>
              <w:spacing w:after="0"/>
              <w:rPr>
                <w:sz w:val="20"/>
                <w:szCs w:val="20"/>
                <w:color w:val="auto"/>
              </w:rPr>
            </w:pPr>
            <w:r>
              <w:rPr>
                <w:rFonts w:ascii="Arial" w:cs="Arial" w:eastAsia="Arial" w:hAnsi="Arial"/>
                <w:sz w:val="18"/>
                <w:szCs w:val="18"/>
                <w:b w:val="1"/>
                <w:bCs w:val="1"/>
                <w:color w:val="auto"/>
              </w:rPr>
              <w:t>89109</w:t>
            </w:r>
          </w:p>
        </w:tc>
      </w:tr>
      <w:tr>
        <w:trPr>
          <w:trHeight w:val="222"/>
        </w:trPr>
        <w:tc>
          <w:tcPr>
            <w:tcW w:w="4760" w:type="dxa"/>
            <w:vAlign w:val="bottom"/>
            <w:gridSpan w:val="2"/>
          </w:tcPr>
          <w:p>
            <w:pPr>
              <w:jc w:val="center"/>
              <w:ind w:right="32"/>
              <w:spacing w:after="0"/>
              <w:rPr>
                <w:sz w:val="20"/>
                <w:szCs w:val="20"/>
                <w:color w:val="auto"/>
              </w:rPr>
            </w:pPr>
            <w:r>
              <w:rPr>
                <w:rFonts w:ascii="Arial" w:cs="Arial" w:eastAsia="Arial" w:hAnsi="Arial"/>
                <w:sz w:val="18"/>
                <w:szCs w:val="18"/>
                <w:color w:val="auto"/>
                <w:w w:val="89"/>
              </w:rPr>
              <w:t>(Address of principal executive offices of each registrant)</w:t>
            </w:r>
          </w:p>
        </w:tc>
        <w:tc>
          <w:tcPr>
            <w:tcW w:w="1660" w:type="dxa"/>
            <w:vAlign w:val="bottom"/>
          </w:tcPr>
          <w:p>
            <w:pPr>
              <w:jc w:val="center"/>
              <w:ind w:left="51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0"/>
          <w:szCs w:val="20"/>
          <w:color w:val="auto"/>
        </w:rPr>
      </w:pPr>
    </w:p>
    <w:p>
      <w:pPr>
        <w:jc w:val="center"/>
        <w:ind w:right="307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0"/>
          <w:szCs w:val="20"/>
          <w:color w:val="auto"/>
        </w:rPr>
      </w:pPr>
    </w:p>
    <w:p>
      <w:pPr>
        <w:jc w:val="center"/>
        <w:ind w:right="307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0"/>
          <w:szCs w:val="20"/>
          <w:color w:val="auto"/>
        </w:rPr>
      </w:pPr>
    </w:p>
    <w:p>
      <w:pPr>
        <w:jc w:val="center"/>
        <w:ind w:right="30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30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0"/>
          <w:szCs w:val="20"/>
          <w:color w:val="auto"/>
        </w:rPr>
      </w:pPr>
    </w:p>
    <w:p>
      <w:pPr>
        <w:spacing w:after="0" w:line="235" w:lineRule="exact"/>
        <w:rPr>
          <w:sz w:val="20"/>
          <w:szCs w:val="20"/>
          <w:color w:val="auto"/>
        </w:rPr>
      </w:pPr>
    </w:p>
    <w:p>
      <w:pPr>
        <w:ind w:right="2099"/>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94"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right="367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rFonts w:ascii="Arial" w:cs="Arial" w:eastAsia="Arial" w:hAnsi="Arial"/>
          <w:sz w:val="18"/>
          <w:szCs w:val="18"/>
          <w:color w:val="auto"/>
        </w:rPr>
      </w:pPr>
    </w:p>
    <w:p>
      <w:pPr>
        <w:ind w:left="340" w:right="363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0" w:lineRule="exact"/>
        <w:rPr>
          <w:sz w:val="20"/>
          <w:szCs w:val="20"/>
          <w:color w:val="auto"/>
        </w:rPr>
      </w:pPr>
    </w:p>
    <w:p>
      <w:pPr>
        <w:spacing w:after="0" w:line="3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On February 27, 2007, Wynn Resorts, Limited issued a press release announcing its results of operations for the fourth quarter of 2006. The press release is furnished herewith as Exhibit 99.1. The information in this Form 8-K and Exhibit 99.1 attached hereto shall not be deemed “filed” for purposes of Section 18 of the Securities Act of 1934, as amended, nor shall it be deemed incorporated by reference in any filing under the Securities Act of 1933, as amended, except as shall be expressly set forth by specific reference in such filing.</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0"/>
          <w:szCs w:val="20"/>
          <w:color w:val="auto"/>
        </w:rPr>
      </w:pPr>
    </w:p>
    <w:p>
      <w:pPr>
        <w:ind w:left="1460" w:hanging="750"/>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Exhibit</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184"/>
        </w:trPr>
        <w:tc>
          <w:tcPr>
            <w:tcW w:w="580" w:type="dxa"/>
            <w:vAlign w:val="bottom"/>
          </w:tcPr>
          <w:p>
            <w:pPr>
              <w:jc w:val="center"/>
              <w:spacing w:after="0" w:line="184" w:lineRule="exact"/>
              <w:rPr>
                <w:sz w:val="20"/>
                <w:szCs w:val="20"/>
                <w:color w:val="auto"/>
              </w:rPr>
            </w:pPr>
            <w:r>
              <w:rPr>
                <w:rFonts w:ascii="Arial" w:cs="Arial" w:eastAsia="Arial" w:hAnsi="Arial"/>
                <w:sz w:val="18"/>
                <w:szCs w:val="18"/>
                <w:color w:val="auto"/>
                <w:w w:val="90"/>
              </w:rPr>
              <w:t>Number</w:t>
            </w: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140" w:type="dxa"/>
            <w:vAlign w:val="bottom"/>
            <w:gridSpan w:val="2"/>
          </w:tcPr>
          <w:p>
            <w:pPr>
              <w:spacing w:after="0" w:line="184" w:lineRule="exact"/>
              <w:rPr>
                <w:sz w:val="20"/>
                <w:szCs w:val="20"/>
                <w:color w:val="auto"/>
              </w:rPr>
            </w:pPr>
            <w:r>
              <w:rPr>
                <w:rFonts w:ascii="Arial" w:cs="Arial" w:eastAsia="Arial" w:hAnsi="Arial"/>
                <w:sz w:val="18"/>
                <w:szCs w:val="18"/>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28"/>
        </w:trPr>
        <w:tc>
          <w:tcPr>
            <w:tcW w:w="58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w w:val="88"/>
              </w:rPr>
              <w:t>Press release, dated February 27, 2007, of Wynn Resorts,</w:t>
            </w:r>
          </w:p>
        </w:tc>
      </w:tr>
      <w:tr>
        <w:trPr>
          <w:trHeight w:val="222"/>
        </w:trPr>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80" w:type="dxa"/>
            <w:vAlign w:val="bottom"/>
            <w:gridSpan w:val="3"/>
          </w:tcPr>
          <w:p>
            <w:pPr>
              <w:ind w:left="440"/>
              <w:spacing w:after="0"/>
              <w:rPr>
                <w:sz w:val="20"/>
                <w:szCs w:val="20"/>
                <w:color w:val="auto"/>
              </w:rPr>
            </w:pPr>
            <w:r>
              <w:rPr>
                <w:rFonts w:ascii="Arial" w:cs="Arial" w:eastAsia="Arial" w:hAnsi="Arial"/>
                <w:sz w:val="18"/>
                <w:szCs w:val="18"/>
                <w:color w:val="auto"/>
              </w:rPr>
              <w:t>Limited.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516699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0955"/>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sectPr>
      </w:pPr>
    </w:p>
    <w:bookmarkStart w:id="2" w:name="page3"/>
    <w:bookmarkEnd w:id="2"/>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2007</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WYNN RESORTS, LIMITED</w:t>
      </w:r>
    </w:p>
    <w:p>
      <w:pPr>
        <w:spacing w:after="0" w:line="306" w:lineRule="exact"/>
        <w:rPr>
          <w:sz w:val="20"/>
          <w:szCs w:val="20"/>
          <w:color w:val="auto"/>
        </w:rPr>
      </w:pPr>
    </w:p>
    <w:p>
      <w:pPr>
        <w:ind w:left="2600"/>
        <w:spacing w:after="0"/>
        <w:tabs>
          <w:tab w:leader="none" w:pos="3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19685</wp:posOffset>
            </wp:positionV>
            <wp:extent cx="2160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1669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2007</w:t>
      </w:r>
    </w:p>
    <w:p>
      <w:pPr>
        <w:spacing w:after="0" w:line="200" w:lineRule="exact"/>
        <w:rPr>
          <w:sz w:val="20"/>
          <w:szCs w:val="20"/>
          <w:color w:val="auto"/>
        </w:rPr>
      </w:pPr>
    </w:p>
    <w:p>
      <w:pPr>
        <w:spacing w:after="0" w:line="24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WYNN LAS VEGAS, LLC</w:t>
      </w:r>
    </w:p>
    <w:p>
      <w:pPr>
        <w:spacing w:after="0" w:line="158" w:lineRule="exact"/>
        <w:rPr>
          <w:sz w:val="20"/>
          <w:szCs w:val="20"/>
          <w:color w:val="auto"/>
        </w:rPr>
      </w:pPr>
    </w:p>
    <w:p>
      <w:pPr>
        <w:ind w:left="2600"/>
        <w:spacing w:after="0"/>
        <w:tabs>
          <w:tab w:leader="none" w:pos="3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Holdings, LLC, its sole member</w:t>
      </w:r>
    </w:p>
    <w:p>
      <w:pPr>
        <w:spacing w:after="0" w:line="158" w:lineRule="exact"/>
        <w:rPr>
          <w:sz w:val="20"/>
          <w:szCs w:val="20"/>
          <w:color w:val="auto"/>
        </w:rPr>
      </w:pPr>
    </w:p>
    <w:p>
      <w:pPr>
        <w:ind w:left="2600"/>
        <w:spacing w:after="0"/>
        <w:tabs>
          <w:tab w:leader="none" w:pos="3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Wynn Resorts, Limited, its sole member</w:t>
      </w:r>
    </w:p>
    <w:p>
      <w:pPr>
        <w:spacing w:after="0" w:line="158" w:lineRule="exact"/>
        <w:rPr>
          <w:sz w:val="20"/>
          <w:szCs w:val="20"/>
          <w:color w:val="auto"/>
        </w:rPr>
      </w:pPr>
    </w:p>
    <w:p>
      <w:pPr>
        <w:ind w:left="2600"/>
        <w:spacing w:after="0"/>
        <w:tabs>
          <w:tab w:leader="none" w:pos="3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19685</wp:posOffset>
            </wp:positionV>
            <wp:extent cx="2435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5" w:right="1440" w:bottom="1440" w:gutter="0" w:footer="0" w:header="0"/>
        </w:sectPr>
      </w:pPr>
    </w:p>
    <w:bookmarkStart w:id="4" w:name="page5"/>
    <w:bookmarkEnd w:id="4"/>
    <w:p>
      <w:pPr>
        <w:jc w:val="right"/>
        <w:ind w:right="2099"/>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12" w:lineRule="exact"/>
        <w:rPr>
          <w:sz w:val="20"/>
          <w:szCs w:val="20"/>
          <w:color w:val="auto"/>
        </w:rPr>
      </w:pPr>
    </w:p>
    <w:p>
      <w:pPr>
        <w:jc w:val="center"/>
        <w:ind w:right="2099"/>
        <w:spacing w:after="0"/>
        <w:rPr>
          <w:sz w:val="20"/>
          <w:szCs w:val="20"/>
          <w:color w:val="auto"/>
        </w:rPr>
      </w:pPr>
      <w:r>
        <w:rPr>
          <w:rFonts w:ascii="Arial" w:cs="Arial" w:eastAsia="Arial" w:hAnsi="Arial"/>
          <w:sz w:val="22"/>
          <w:szCs w:val="22"/>
          <w:b w:val="1"/>
          <w:bCs w:val="1"/>
          <w:color w:val="auto"/>
        </w:rPr>
        <w:t>Wynn Resorts, Limited Reports Fourth Quarter Results</w:t>
      </w:r>
    </w:p>
    <w:p>
      <w:pPr>
        <w:spacing w:after="0" w:line="219" w:lineRule="exact"/>
        <w:rPr>
          <w:sz w:val="20"/>
          <w:szCs w:val="20"/>
          <w:color w:val="auto"/>
        </w:rPr>
      </w:pPr>
    </w:p>
    <w:p>
      <w:pPr>
        <w:jc w:val="center"/>
        <w:ind w:right="2099"/>
        <w:spacing w:after="0"/>
        <w:rPr>
          <w:sz w:val="20"/>
          <w:szCs w:val="20"/>
          <w:color w:val="auto"/>
        </w:rPr>
      </w:pPr>
      <w:r>
        <w:rPr>
          <w:rFonts w:ascii="Arial" w:cs="Arial" w:eastAsia="Arial" w:hAnsi="Arial"/>
          <w:sz w:val="16"/>
          <w:szCs w:val="16"/>
          <w:b w:val="1"/>
          <w:bCs w:val="1"/>
          <w:color w:val="auto"/>
        </w:rPr>
        <w:t>Wynn Las Vegas generates adjusted EBITDA of $101.2 million in the fourth quarter and $332.8 million in</w:t>
      </w:r>
    </w:p>
    <w:p>
      <w:pPr>
        <w:spacing w:after="0" w:line="44"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the fiscal year ended 2006</w:t>
      </w:r>
    </w:p>
    <w:p>
      <w:pPr>
        <w:spacing w:after="0" w:line="213" w:lineRule="exact"/>
        <w:rPr>
          <w:sz w:val="20"/>
          <w:szCs w:val="20"/>
          <w:color w:val="auto"/>
        </w:rPr>
      </w:pPr>
    </w:p>
    <w:p>
      <w:pPr>
        <w:jc w:val="center"/>
        <w:ind w:right="2099"/>
        <w:spacing w:after="0"/>
        <w:rPr>
          <w:sz w:val="20"/>
          <w:szCs w:val="20"/>
          <w:color w:val="auto"/>
        </w:rPr>
      </w:pPr>
      <w:r>
        <w:rPr>
          <w:rFonts w:ascii="Arial" w:cs="Arial" w:eastAsia="Arial" w:hAnsi="Arial"/>
          <w:sz w:val="16"/>
          <w:szCs w:val="16"/>
          <w:b w:val="1"/>
          <w:bCs w:val="1"/>
          <w:color w:val="auto"/>
        </w:rPr>
        <w:t>Wynn Macau generates adjusted EBITDA of $58.5 million in the fourth quarter and $60.8 million in the 117</w:t>
      </w:r>
    </w:p>
    <w:p>
      <w:pPr>
        <w:spacing w:after="0" w:line="44"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days since its September 6, 2006 opening</w:t>
      </w:r>
    </w:p>
    <w:p>
      <w:pPr>
        <w:spacing w:after="0" w:line="219"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LAS VEGAS, February 27, 2007 (BUSINESS WIRE) -- Wynn Resorts, Limited (Nasdaq: WYNN) today reported financial results for the fourth quarter and year ended December 31,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from 2006</w:t>
      </w:r>
    </w:p>
    <w:p>
      <w:pPr>
        <w:sectPr>
          <w:pgSz w:w="11900" w:h="16838" w:orient="portrait"/>
          <w:cols w:equalWidth="0" w:num="1">
            <w:col w:w="10219"/>
          </w:cols>
          <w:pgMar w:left="240" w:top="125" w:right="1440" w:bottom="25" w:gutter="0" w:footer="0" w:header="0"/>
        </w:sect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2119"/>
        <w:spacing w:after="0" w:line="254" w:lineRule="auto"/>
        <w:rPr>
          <w:sz w:val="20"/>
          <w:szCs w:val="20"/>
          <w:color w:val="auto"/>
        </w:rPr>
      </w:pPr>
      <w:r>
        <w:rPr>
          <w:rFonts w:ascii="Arial" w:cs="Arial" w:eastAsia="Arial" w:hAnsi="Arial"/>
          <w:sz w:val="18"/>
          <w:szCs w:val="18"/>
          <w:color w:val="auto"/>
        </w:rPr>
        <w:t>Wynn Las Vegas was the first casino resort to receive both the prestigious Mobil Five Star and AAA Five Diamond ratings</w:t>
      </w:r>
    </w:p>
    <w:p>
      <w:pPr>
        <w:spacing w:after="0"/>
        <w:rPr>
          <w:sz w:val="20"/>
          <w:szCs w:val="20"/>
          <w:color w:val="auto"/>
        </w:rPr>
      </w:pPr>
      <w:r>
        <w:rPr>
          <w:rFonts w:ascii="Arial" w:cs="Arial" w:eastAsia="Arial" w:hAnsi="Arial"/>
          <w:sz w:val="18"/>
          <w:szCs w:val="18"/>
          <w:color w:val="auto"/>
        </w:rPr>
        <w:t>Broke ground on Encore on April 28, 2006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Successfully opened Wynn Macau on time and on budget on September 6, 2006</w:t>
      </w:r>
    </w:p>
    <w:p>
      <w:pPr>
        <w:spacing w:after="0" w:line="77" w:lineRule="exact"/>
        <w:rPr>
          <w:sz w:val="20"/>
          <w:szCs w:val="20"/>
          <w:color w:val="auto"/>
        </w:rPr>
      </w:pPr>
    </w:p>
    <w:p>
      <w:pPr>
        <w:ind w:right="2119"/>
        <w:spacing w:after="0" w:line="254" w:lineRule="auto"/>
        <w:rPr>
          <w:sz w:val="20"/>
          <w:szCs w:val="20"/>
          <w:color w:val="auto"/>
        </w:rPr>
      </w:pPr>
      <w:r>
        <w:rPr>
          <w:rFonts w:ascii="Arial" w:cs="Arial" w:eastAsia="Arial" w:hAnsi="Arial"/>
          <w:sz w:val="18"/>
          <w:szCs w:val="18"/>
          <w:color w:val="auto"/>
        </w:rPr>
        <w:t>Continued construction of Phase II of Wynn Macau, which is expected to open in the third quarter of 2007</w:t>
      </w:r>
    </w:p>
    <w:p>
      <w:pPr>
        <w:spacing w:after="0"/>
        <w:rPr>
          <w:sz w:val="20"/>
          <w:szCs w:val="20"/>
          <w:color w:val="auto"/>
        </w:rPr>
      </w:pPr>
      <w:r>
        <w:rPr>
          <w:rFonts w:ascii="Arial" w:cs="Arial" w:eastAsia="Arial" w:hAnsi="Arial"/>
          <w:sz w:val="18"/>
          <w:szCs w:val="18"/>
          <w:color w:val="auto"/>
        </w:rPr>
        <w:t>Announced plans to build Wynn Diamond Suites in Macau</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Received $900 million from the sale of a subconcession right to Publishing &amp; Broadcasting, Limited</w:t>
      </w:r>
    </w:p>
    <w:p>
      <w:pPr>
        <w:spacing w:after="0" w:line="100"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Paid a $6.00 per share special cash distribution to holders of our common stock and convertible debentures on December 4, 2006</w:t>
      </w:r>
    </w:p>
    <w:p>
      <w:pPr>
        <w:spacing w:after="0" w:line="78" w:lineRule="exact"/>
        <w:rPr>
          <w:sz w:val="20"/>
          <w:szCs w:val="20"/>
          <w:color w:val="auto"/>
        </w:rPr>
      </w:pPr>
    </w:p>
    <w:p>
      <w:pPr>
        <w:sectPr>
          <w:pgSz w:w="11900" w:h="16838" w:orient="portrait"/>
          <w:cols w:equalWidth="0" w:num="2">
            <w:col w:w="420" w:space="240"/>
            <w:col w:w="9559"/>
          </w:cols>
          <w:pgMar w:left="240" w:top="125" w:right="1440" w:bottom="25" w:gutter="0" w:footer="0" w:header="0"/>
          <w:type w:val="continuous"/>
        </w:sectPr>
      </w:pPr>
    </w:p>
    <w:p>
      <w:pPr>
        <w:jc w:val="both"/>
        <w:ind w:right="2099"/>
        <w:spacing w:after="0" w:line="255" w:lineRule="auto"/>
        <w:rPr>
          <w:sz w:val="20"/>
          <w:szCs w:val="20"/>
          <w:color w:val="auto"/>
        </w:rPr>
      </w:pPr>
      <w:r>
        <w:rPr>
          <w:rFonts w:ascii="Arial" w:cs="Arial" w:eastAsia="Arial" w:hAnsi="Arial"/>
          <w:sz w:val="18"/>
          <w:szCs w:val="18"/>
          <w:color w:val="auto"/>
        </w:rPr>
        <w:t>Net revenues for the fourth quarter of 2006 were $563.6 million, compared to $269.4 million in the fourth quarter of 2005. Results for this quarter include a full quarter of operations for Wynn Macau, which opened on September 6, 2006. Net revenues for 2006 were $1.4 billion, a 98.5% increase over 2005. The revenue increase was driven primarily by the opening of Wynn Macau in 2006 and a full year of operations for Wynn Las Vegas (versus 248 days in 2005).</w:t>
      </w:r>
    </w:p>
    <w:p>
      <w:pPr>
        <w:spacing w:after="0" w:line="197"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Consolidated Adjusted EBITDA (2) was $159.7 million for the fourth quarter of 2006 compared to $80.1 million in the fourth quarter of 2005. Adjusted EBITDA for 2006 was $393.6 million, an 85.6% increase compared to 2005.</w:t>
      </w:r>
    </w:p>
    <w:p>
      <w:pPr>
        <w:spacing w:after="0" w:line="194"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On a US GAAP (Generally Accepted Accounting Principles) basis, net income for the year was $628.7 million, or $6.24 per diluted share, compared to a loss of $90.8 million, or ($0.92) per diluted share in 2005. The significant increase in net income was due to the completion of the $900 million sale of the subconcession right in Macau in the third quarter of 2006.</w:t>
      </w:r>
    </w:p>
    <w:p>
      <w:pPr>
        <w:spacing w:after="0" w:line="197"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On a US GAAP basis, net loss for the fourth quarter of 2006 was $55.4 million, or ($0.55) per diluted share, compared to a loss of $9.9 million, or ($0.10) per diluted share in the fourth quarter of 2005. The main reason for the decline relates to the special distribution paid to convertible debenture holders on December 4, 2006. Adjusted net income in the fourth quarter of 2006 was $57.1 million, or $0.53 per diluted share (adjusted EPS)(1) compared to an adjusted net income of $6.5 million, or $0.08 per diluted share in the fourth quarter of 2005.</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Fourth Quarter Results</w:t>
      </w:r>
    </w:p>
    <w:p>
      <w:pPr>
        <w:spacing w:after="0" w:line="123"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For the quarter ended December 31, 2006, Wynn Las Vegas generated adjusted EBITDA of $101.2 million, a 26.4% increase from the fourth quarter of 2005, with a 32.1% EBITDA margin on net revenue.</w:t>
      </w:r>
    </w:p>
    <w:p>
      <w:pPr>
        <w:spacing w:after="0" w:line="18"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Net casino revenues in the fourth quarter of 2006 were $163.7 million, compared to $131.9 million for the fourth quarter of 2005. Table games drop was $515.5 million, with win per table per day (before discounts) of $10,803, compared to drop of $499.5 million and win per table per day of $8,842 in the fourth quarter of 2005. Table games win percentage of 26.3% was above the property’s expected range of 20% to 23% and exceeded the 21.3% for the fourth quarter of 2005. Slot machine win per unit per day was $256 on handle (volume) of $1.1 billion in the quarter compared to a win per unit per day of $256 on handle of $882.7 million during the comparable period of 2005. Slot handle increased during the fourth quarter of 2006 as compared to 2005, however, during the fourth quarter of 2006, the slot win percentage was slightly less than the expected range of 5% to 6% while the hold percentage in the fourth quarter of 2005 fell within the normalized range.</w:t>
      </w:r>
    </w:p>
    <w:p>
      <w:pPr>
        <w:spacing w:after="0" w:line="25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Gross non-casino revenues for the quarter were $191.3 million, a 7.6% increase from the fourth quarter of 2005. Hotel revenues were up 3.5% to $66.5 million during the quarter, versus $64.3 million in the fourth quarter of 2005. Wynn Las Vegas achieved an Average Daily Rate (ADR) of $291 for the quarter, compared to $278 in the fourth quarter of 2005. The property’s occupancy was 91.6% compared to 92.5% during the prior year period, generating revenue per available room (REVPAR) of $266 in the 2006 period (3.3% higher than in 2005).</w:t>
      </w:r>
    </w:p>
    <w:p>
      <w:pPr>
        <w:sectPr>
          <w:pgSz w:w="11900" w:h="16838" w:orient="portrait"/>
          <w:cols w:equalWidth="0" w:num="1">
            <w:col w:w="10219"/>
          </w:cols>
          <w:pgMar w:left="240" w:top="125" w:right="1440" w:bottom="25" w:gutter="0" w:footer="0" w:header="0"/>
          <w:type w:val="continuous"/>
        </w:sectPr>
      </w:pPr>
    </w:p>
    <w:bookmarkStart w:id="5" w:name="page6"/>
    <w:bookmarkEnd w:id="5"/>
    <w:p>
      <w:pPr>
        <w:spacing w:after="0" w:line="95"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Food and beverage revenues increased 14.3% to $73.6 million in the quarter compared to $64.4 million in the fourth quarter of 2005, primarily from increased revenues from Wynn Las Vegas’ Tryst nightclub. Retail revenues were $23.7 million in the quarter, compared to $17.3 million in the fourth quarter of 2005, an increase of 36.8%. Entertainment revenues were approximately $14.7 million, compared to $19.5 in the fourth quarter of 2005, a decrease of 25% from 2005 due primarily to the closing of Avenue Q in May 2006.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Full Year 2006 Operating Results</w:t>
      </w:r>
    </w:p>
    <w:p>
      <w:pPr>
        <w:spacing w:after="0" w:line="110"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color w:val="auto"/>
        </w:rPr>
        <w:t>For the full year 2006, Wynn Las Vegas generated adjusted EBITDA of $332.8 million, representing a 29.2% margin on net revenues.</w:t>
      </w:r>
    </w:p>
    <w:p>
      <w:pPr>
        <w:spacing w:after="0" w:line="5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Net casino revenues were $535.6 million. Table games drop was $1.9 billion and table games win percentage was 22.1% (within the expected range of 20% to 23%). Slot machine win per unit per day was $251 on handle (volume) of $3.9 billion. Our slot win percentage for the year ended December 31, 2006, was slightly below the expected range of 5% to 6%, while in 2005 it was within the range.</w:t>
      </w:r>
    </w:p>
    <w:p>
      <w:pPr>
        <w:spacing w:after="0" w:line="76"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Gross non-casino revenues for the period were $758.0 million and net non-gaming revenues were $603.8 million. Wynn Las Vegas’ room revenues were $268.2 million. Average daily rate (ADR) was $287 and occupancy was 94.4%, generating revenue per available room (REVPAR) of $271 for 2006. Revenues from food and beverage were $295.2 million and the retail, entertainment and other departments generated gross revenues of $79.3 million, $66.3 million and $49.0 million, respectively. Food and beverage revenues in 2006 benefited from the property’s nightclub, Tryst.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96"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current plans include 2,034 units ranging in size and amenities from executive suites to duplex sky villas and penthouses, an approximately 72,000 square foot casino, additional convention and meeting space, as well as restaurants, a nightclub, swimming pools, a spa and salon and retail outlets. The property is expected to open in early 2009.</w:t>
      </w:r>
    </w:p>
    <w:p>
      <w:pPr>
        <w:spacing w:after="0" w:line="197"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Our project budget is currently estimated at approximately $2.1 billion, consisting of approximately $2.0 billion for Encore and approximately $100 million for an employee parking garage on our Koval property, an associated pedestrian bridge and costs incurred in connection with the theatre remodeling and production of “Monty Python’s Spamalot” at Wynn Las Vegas. On February 27, 2007, we entered into a Design Build Architectural, Engineering and Construction Services Agreement with Tutor-Saliba Corporation for the design and construction of Encore. The contract sets forth all of the terms and conditions pursuant to which Tutor-Saliba will design and construct Encore. The Contract also provides that the parties will negotiate a guaranteed maximum price (“GMP) for the construction and design of Encore within 90 days of execution of the Contract. If the parties cannot mutually agree upon a GMP during the 90 day period, the Company can continue to employ Tutor for construction and design services on a cost-plus basis, agree to alternative arrangements with Tutor or terminate the Contract.</w:t>
      </w:r>
    </w:p>
    <w:p>
      <w:pPr>
        <w:spacing w:after="0" w:line="177"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As of December 31, 2006, the Company had incurred approximately $277.6 million of project costs related to the development and construction of Encore and related capital improvements.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Fourth Quarter Results</w:t>
      </w:r>
    </w:p>
    <w:p>
      <w:pPr>
        <w:spacing w:after="0" w:line="110"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The first phase of Wynn Macau opened on September 6, 2006 with 220 tables, 380 slot machines and 600 hotel rooms. In the fourth quarter of 2006, Wynn Macau generated net revenues (after discounts and commissions) of $248.7 million and Adjusted EBITDA of $58.5 million.</w:t>
      </w:r>
    </w:p>
    <w:p>
      <w:pPr>
        <w:spacing w:after="0" w:line="19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Table games results in Macau are segregated into two distinct reporting categories, the mass market segment and the VIP segment.</w:t>
      </w:r>
    </w:p>
    <w:p>
      <w:pPr>
        <w:spacing w:after="0" w:line="200" w:lineRule="exact"/>
        <w:rPr>
          <w:sz w:val="20"/>
          <w:szCs w:val="20"/>
          <w:color w:val="auto"/>
        </w:rPr>
      </w:pPr>
    </w:p>
    <w:p>
      <w:pPr>
        <w:spacing w:after="0" w:line="20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Table games drop in the mass market category was approximately $513.8 million during the period. Mass market table games win percentage (calculated before discounts and incentives) was 17.5%, which is at the lower end of the expected range of 17% to 19%.</w:t>
      </w:r>
    </w:p>
    <w:p>
      <w:pPr>
        <w:spacing w:after="0" w:line="194"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Table games turnover in the VIP segment was $6.6 billion for the period. VIP table games win percentage (calculated before discounts and commissions) was 2.6%, which is within the expected range of 2.5% to 2.8%.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Slot machine win per unit per day was $418 on handle (volume) of $274.4 million for the quarter.</w:t>
      </w:r>
    </w:p>
    <w:p>
      <w:pPr>
        <w:spacing w:after="0" w:line="90"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For the quarter, Wynn Macau generated an average daily room rate (ADR) of $248, with occupancy averaging 81.9%. Net non-casino revenues, consisting of rooms, food and beverage, retail and other, were $23.8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Expansion</w:t>
      </w:r>
    </w:p>
    <w:p>
      <w:pPr>
        <w:spacing w:after="0" w:line="231" w:lineRule="exact"/>
        <w:rPr>
          <w:sz w:val="20"/>
          <w:szCs w:val="20"/>
          <w:color w:val="auto"/>
        </w:rPr>
      </w:pPr>
    </w:p>
    <w:p>
      <w:pPr>
        <w:jc w:val="both"/>
        <w:ind w:right="2119"/>
        <w:spacing w:after="0" w:line="314" w:lineRule="auto"/>
        <w:rPr>
          <w:sz w:val="20"/>
          <w:szCs w:val="20"/>
          <w:color w:val="auto"/>
        </w:rPr>
      </w:pPr>
      <w:r>
        <w:rPr>
          <w:rFonts w:ascii="Arial" w:cs="Arial" w:eastAsia="Arial" w:hAnsi="Arial"/>
          <w:sz w:val="15"/>
          <w:szCs w:val="15"/>
          <w:color w:val="auto"/>
        </w:rPr>
        <w:t>In February 2007, we added additional table games and slot machines bringing the current total to approximately 256 table games and approximately 477 slot machines in an approximately 110,000 square foot casino. Construction on the second phase is progressing as planned and is expected to open in the third quarter of 2007. This second phase includes approximately 123,000 square feet of additional gaming space, a dramatic front feature attraction and additional food, beverage, a theater showroom and retail amenities. After the completion of this expansion, Wynn Macau is expected to have a total of approximately 420 table games and 1,280 slot machines.</w:t>
      </w:r>
    </w:p>
    <w:p>
      <w:pPr>
        <w:sectPr>
          <w:pgSz w:w="11900" w:h="16933" w:orient="portrait"/>
          <w:cols w:equalWidth="0" w:num="1">
            <w:col w:w="10219"/>
          </w:cols>
          <w:pgMar w:left="240" w:top="131" w:right="1440" w:bottom="0" w:gutter="0" w:footer="0" w:header="0"/>
        </w:sectPr>
      </w:pPr>
    </w:p>
    <w:bookmarkStart w:id="6" w:name="page7"/>
    <w:bookmarkEnd w:id="6"/>
    <w:p>
      <w:pPr>
        <w:spacing w:after="0" w:line="16"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In addition, we continue to develop the plans and budget for Wynn Diamond Suites, a further expansion of Wynn Macau, which was first announced in November 2006. This further expansion is expected to add a second self-contained, fully-integrated resort as well as food and beverage, retail and entertainment amenities. We continue to work on a budget and final design for Wynn Diamond Suites.</w:t>
      </w:r>
    </w:p>
    <w:p>
      <w:pPr>
        <w:spacing w:after="0" w:line="167"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As of December 31, 2006, we have incurred approximately $877.1 million of a total project budget (excluding Wynn Diamond Suites) of approximately $1.2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w:t>
      </w:r>
    </w:p>
    <w:p>
      <w:pPr>
        <w:spacing w:after="0" w:line="231" w:lineRule="exact"/>
        <w:rPr>
          <w:sz w:val="20"/>
          <w:szCs w:val="20"/>
          <w:color w:val="auto"/>
        </w:rPr>
      </w:pPr>
    </w:p>
    <w:p>
      <w:pPr>
        <w:jc w:val="both"/>
        <w:ind w:right="2099"/>
        <w:spacing w:after="0" w:line="332" w:lineRule="auto"/>
        <w:rPr>
          <w:sz w:val="20"/>
          <w:szCs w:val="20"/>
          <w:color w:val="auto"/>
        </w:rPr>
      </w:pPr>
      <w:r>
        <w:rPr>
          <w:rFonts w:ascii="Arial" w:cs="Arial" w:eastAsia="Arial" w:hAnsi="Arial"/>
          <w:sz w:val="16"/>
          <w:szCs w:val="16"/>
          <w:color w:val="auto"/>
        </w:rPr>
        <w:t>The Company has submitted an application to the Macau government for a concession of land in Cotai for future development. The Company recently reconfigured its site plans for 52 acres and is waiting final approval.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96"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Interest expense, net of $5.8 million in capitalized interest, was $39.8 million for the fourth quarter of 2006. For the full year 2006, interest expense was $148.0 million, net of $29.5 million in capitalized interest. Depreciation and amortization expenses were $50.7 million during the quarter. For the full year, depreciation and amortization expenses were $175.5 million and pre-opening expenses were $62.7 million. Corporate expense was $18.9 million in the fourth quarter, and $54.4 million for the full year 2006, including $3.8 million and $15.4 million, respectively, in stock based compensation.</w:t>
      </w:r>
    </w:p>
    <w:p>
      <w:pPr>
        <w:spacing w:after="0" w:line="19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Wynn Macau completed the sale of a subconcession right to Publishing &amp; Broadcasting, Limited for $900 million in cash, received on September 11, 2006. The one time gain on the sale substantially increased net income for the quarter ended September 30, 2006 and for the fiscal year ended 2006.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110"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color w:val="auto"/>
        </w:rPr>
        <w:t>Our total cash balances at the end of the quarter were $1.0 billion, including unrestricted cash balances of $789 million and cash balances restricted for our construction and development projects of $237 million. Total debt outstanding at the end of the quarter was $2.4 billion, including $1.7 billion of Wynn Las Vegas debt, $224 million of Convertible Debentures and $497 million of Wynn Macau-related debt. Capital expenditures during the fourth quarter of 2006, net of changes in construction payables and retention, totaled approximately $186.6 million, of which approximately $100.7 million was related to Wynn Macau and the remainder was primarily attributable to Encore.</w:t>
      </w:r>
    </w:p>
    <w:p>
      <w:pPr>
        <w:spacing w:after="0" w:line="28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11" w:lineRule="exact"/>
        <w:rPr>
          <w:sz w:val="20"/>
          <w:szCs w:val="20"/>
          <w:color w:val="auto"/>
        </w:rPr>
      </w:pPr>
    </w:p>
    <w:p>
      <w:pPr>
        <w:jc w:val="both"/>
        <w:ind w:right="2119"/>
        <w:spacing w:after="0" w:line="222" w:lineRule="auto"/>
        <w:rPr>
          <w:sz w:val="20"/>
          <w:szCs w:val="20"/>
          <w:color w:val="auto"/>
        </w:rPr>
      </w:pPr>
      <w:r>
        <w:rPr>
          <w:rFonts w:ascii="Arial" w:cs="Arial" w:eastAsia="Arial" w:hAnsi="Arial"/>
          <w:sz w:val="18"/>
          <w:szCs w:val="18"/>
          <w:color w:val="auto"/>
        </w:rPr>
        <w:t>The Company will hold a conference call to discuss its results on Tuesday, February 27</w:t>
      </w:r>
      <w:r>
        <w:rPr>
          <w:rFonts w:ascii="Arial" w:cs="Arial" w:eastAsia="Arial" w:hAnsi="Arial"/>
          <w:sz w:val="29"/>
          <w:szCs w:val="29"/>
          <w:color w:val="auto"/>
          <w:vertAlign w:val="superscript"/>
        </w:rPr>
        <w:t>th</w:t>
      </w:r>
      <w:r>
        <w:rPr>
          <w:rFonts w:ascii="Arial" w:cs="Arial" w:eastAsia="Arial" w:hAnsi="Arial"/>
          <w:sz w:val="18"/>
          <w:szCs w:val="18"/>
          <w:color w:val="auto"/>
        </w:rPr>
        <w:t>, 2007 at 1:30 p.m. PT (4:30 p.m. ET). Interested parties are invited to join the call by accessing a live audio webcast at http://www.wynnresorts.com (Investor Relations).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3"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is included in the Company's Annual Report on Form 10-K for the year ended December 31, 2005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3" w:lineRule="exact"/>
        <w:rPr>
          <w:sz w:val="20"/>
          <w:szCs w:val="20"/>
          <w:color w:val="auto"/>
        </w:rPr>
      </w:pPr>
    </w:p>
    <w:p>
      <w:pPr>
        <w:jc w:val="both"/>
        <w:ind w:right="2119" w:firstLine="8"/>
        <w:spacing w:after="0" w:line="291" w:lineRule="auto"/>
        <w:tabs>
          <w:tab w:leader="none" w:pos="278"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net income (loss) and adjusted net income (loss) per share (“EPS”) are presented exclusively as supplemental disclosures because management believes that these financial measures are widely used to measure the performance, and as a principal basis for valuation, of gaming companies. These measures are considered by some to be a better indicator on which to base expectations of future results than income or EPS computed in accordance with GAAP. Adjusted net income (loss) and adjusted net income (loss) per share may be different from the calculation methods used by other companies and, therefore, comparability may be limited.</w:t>
      </w:r>
    </w:p>
    <w:p>
      <w:pPr>
        <w:spacing w:after="0" w:line="174" w:lineRule="exact"/>
        <w:rPr>
          <w:rFonts w:ascii="Arial" w:cs="Arial" w:eastAsia="Arial" w:hAnsi="Arial"/>
          <w:sz w:val="16"/>
          <w:szCs w:val="16"/>
          <w:color w:val="auto"/>
        </w:rPr>
      </w:pPr>
    </w:p>
    <w:p>
      <w:pPr>
        <w:jc w:val="both"/>
        <w:ind w:right="2119" w:firstLine="8"/>
        <w:spacing w:after="0" w:line="294" w:lineRule="auto"/>
        <w:tabs>
          <w:tab w:leader="none" w:pos="291"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is earnings before interest, taxes, depreciation and amortization, pre-opening costs, property charges and other, contract termination fee, corporate expenses, stock-based compensation, and other non-operating income and expenses. Adjusted EBITDA is presented exclusively as a supplemental disclosure because management believes that it is widely used to measure the performance, and as a basis for valuation, of gaming companies. Management uses Adjusted EBITDA as a measure of the operating performance of its</w:t>
      </w:r>
    </w:p>
    <w:p>
      <w:pPr>
        <w:sectPr>
          <w:pgSz w:w="11900" w:h="16854" w:orient="portrait"/>
          <w:cols w:equalWidth="0" w:num="1">
            <w:col w:w="10219"/>
          </w:cols>
          <w:pgMar w:left="240" w:top="347" w:right="1440" w:bottom="0" w:gutter="0" w:footer="0" w:header="0"/>
        </w:sectPr>
      </w:pPr>
    </w:p>
    <w:bookmarkStart w:id="7" w:name="page8"/>
    <w:bookmarkEnd w:id="7"/>
    <w:p>
      <w:pPr>
        <w:jc w:val="both"/>
        <w:ind w:right="2099"/>
        <w:spacing w:after="0" w:line="284" w:lineRule="auto"/>
        <w:rPr>
          <w:sz w:val="20"/>
          <w:szCs w:val="20"/>
          <w:color w:val="auto"/>
        </w:rPr>
      </w:pPr>
      <w:r>
        <w:rPr>
          <w:rFonts w:ascii="Arial" w:cs="Arial" w:eastAsia="Arial" w:hAnsi="Arial"/>
          <w:sz w:val="16"/>
          <w:szCs w:val="16"/>
          <w:color w:val="auto"/>
        </w:rPr>
        <w:t>segments and to compare the operating performance of its properties with those of its competitors. The Company also presents Adjusted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EBITDA does not include depreciation or interest expense and therefore does not reflect current or future capital expenditures or the cost of capital. We compensate for these limitations by using Adjusted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EBITDA. Also, Wynn Resorts’ calculation of Adjusted EBITDA may be different from the calculation methods used by other companies and, therefore, comparability may be limited.</w:t>
      </w:r>
    </w:p>
    <w:p>
      <w:pPr>
        <w:spacing w:after="0" w:line="187"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The Company has included schedules in the tables that accompany this release that reconcile (i) net income and net income (loss) per share to adjusted net income (loss) and adjusted net income (loss) per share, and (ii) operating income (loss) to adjusted EBITDA and adjusted EBITDA to net income (loss).</w:t>
      </w:r>
    </w:p>
    <w:p>
      <w:pPr>
        <w:spacing w:after="0" w:line="37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139"/>
        <w:spacing w:after="0" w:line="258" w:lineRule="auto"/>
        <w:rPr>
          <w:sz w:val="20"/>
          <w:szCs w:val="20"/>
          <w:color w:val="auto"/>
        </w:rPr>
      </w:pPr>
      <w:r>
        <w:rPr>
          <w:rFonts w:ascii="Arial" w:cs="Arial" w:eastAsia="Arial" w:hAnsi="Arial"/>
          <w:sz w:val="18"/>
          <w:szCs w:val="18"/>
          <w:b w:val="1"/>
          <w:bCs w:val="1"/>
          <w:color w:val="auto"/>
        </w:rPr>
        <w:t>WYNN RESORTS, LIMITED AND SUBSIDIARIES CONDENSED CONSOLIDATED STATEMENTS OF OPERATIONS (amounts in thousands, except per share data) (unaudited)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3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96"/>
              </w:rPr>
              <w:t>2005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3120" w:type="dxa"/>
            <w:vAlign w:val="bottom"/>
          </w:tcPr>
          <w:p>
            <w:pPr>
              <w:spacing w:after="0"/>
              <w:rPr>
                <w:sz w:val="20"/>
                <w:szCs w:val="20"/>
                <w:color w:val="auto"/>
              </w:rPr>
            </w:pPr>
            <w:r>
              <w:rPr>
                <w:rFonts w:ascii="Arial" w:cs="Arial" w:eastAsia="Arial" w:hAnsi="Arial"/>
                <w:sz w:val="14"/>
                <w:szCs w:val="14"/>
                <w:color w:val="auto"/>
              </w:rPr>
              <w:t>Operating revenues:</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388,531</w:t>
            </w:r>
          </w:p>
        </w:tc>
        <w:tc>
          <w:tcPr>
            <w:tcW w:w="120" w:type="dxa"/>
            <w:vAlign w:val="bottom"/>
          </w:tcPr>
          <w:p>
            <w:pPr>
              <w:spacing w:after="0"/>
              <w:rPr>
                <w:sz w:val="24"/>
                <w:szCs w:val="24"/>
                <w:color w:val="auto"/>
              </w:rPr>
            </w:pPr>
          </w:p>
        </w:tc>
        <w:tc>
          <w:tcPr>
            <w:tcW w:w="38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131,899</w:t>
            </w:r>
          </w:p>
        </w:tc>
        <w:tc>
          <w:tcPr>
            <w:tcW w:w="260" w:type="dxa"/>
            <w:vAlign w:val="bottom"/>
          </w:tcPr>
          <w:p>
            <w:pPr>
              <w:spacing w:after="0"/>
              <w:rPr>
                <w:sz w:val="24"/>
                <w:szCs w:val="24"/>
                <w:color w:val="auto"/>
              </w:rPr>
            </w:pP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800,591</w:t>
            </w:r>
          </w:p>
        </w:tc>
        <w:tc>
          <w:tcPr>
            <w:tcW w:w="220" w:type="dxa"/>
            <w:vAlign w:val="bottom"/>
          </w:tcPr>
          <w:p>
            <w:pPr>
              <w:spacing w:after="0"/>
              <w:rPr>
                <w:sz w:val="24"/>
                <w:szCs w:val="24"/>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353,663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Casino</w:t>
            </w:r>
          </w:p>
        </w:tc>
        <w:tc>
          <w:tcPr>
            <w:tcW w:w="2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78,848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64,289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283,084</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170,315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Rooms</w:t>
            </w:r>
          </w:p>
        </w:tc>
        <w:tc>
          <w:tcPr>
            <w:tcW w:w="2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85,360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64,434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309,771</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173,700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20" w:type="dxa"/>
            <w:vAlign w:val="bottom"/>
          </w:tcPr>
          <w:p>
            <w:pPr>
              <w:spacing w:after="0" w:line="159" w:lineRule="exact"/>
              <w:rPr>
                <w:sz w:val="20"/>
                <w:szCs w:val="20"/>
                <w:color w:val="auto"/>
              </w:rPr>
            </w:pPr>
            <w:r>
              <w:rPr>
                <w:rFonts w:ascii="Arial" w:cs="Arial" w:eastAsia="Arial" w:hAnsi="Arial"/>
                <w:sz w:val="14"/>
                <w:szCs w:val="14"/>
                <w:color w:val="auto"/>
              </w:rPr>
              <w:t>Food and beverage</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32"/>
              <w:spacing w:after="0" w:line="159" w:lineRule="exact"/>
              <w:rPr>
                <w:sz w:val="20"/>
                <w:szCs w:val="20"/>
                <w:color w:val="auto"/>
              </w:rPr>
            </w:pPr>
            <w:r>
              <w:rPr>
                <w:rFonts w:ascii="Arial" w:cs="Arial" w:eastAsia="Arial" w:hAnsi="Arial"/>
                <w:sz w:val="14"/>
                <w:szCs w:val="14"/>
                <w:color w:val="auto"/>
              </w:rPr>
              <w:t>60,567</w:t>
            </w: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2"/>
              <w:spacing w:after="0" w:line="159" w:lineRule="exact"/>
              <w:rPr>
                <w:sz w:val="20"/>
                <w:szCs w:val="20"/>
                <w:color w:val="auto"/>
              </w:rPr>
            </w:pPr>
            <w:r>
              <w:rPr>
                <w:rFonts w:ascii="Arial" w:cs="Arial" w:eastAsia="Arial" w:hAnsi="Arial"/>
                <w:sz w:val="14"/>
                <w:szCs w:val="14"/>
                <w:color w:val="auto"/>
              </w:rPr>
              <w:t>48,514</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12"/>
              <w:spacing w:after="0" w:line="159" w:lineRule="exact"/>
              <w:rPr>
                <w:sz w:val="20"/>
                <w:szCs w:val="20"/>
                <w:color w:val="auto"/>
              </w:rPr>
            </w:pPr>
            <w:r>
              <w:rPr>
                <w:rFonts w:ascii="Arial" w:cs="Arial" w:eastAsia="Arial" w:hAnsi="Arial"/>
                <w:sz w:val="14"/>
                <w:szCs w:val="14"/>
                <w:color w:val="auto"/>
              </w:rPr>
              <w:t>205,213</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2"/>
              <w:spacing w:after="0" w:line="159" w:lineRule="exact"/>
              <w:rPr>
                <w:sz w:val="20"/>
                <w:szCs w:val="20"/>
                <w:color w:val="auto"/>
              </w:rPr>
            </w:pPr>
            <w:r>
              <w:rPr>
                <w:rFonts w:ascii="Arial" w:cs="Arial" w:eastAsia="Arial" w:hAnsi="Arial"/>
                <w:sz w:val="14"/>
                <w:szCs w:val="14"/>
                <w:color w:val="auto"/>
              </w:rPr>
              <w:t>125,230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20" w:type="dxa"/>
            <w:vAlign w:val="bottom"/>
          </w:tcPr>
          <w:p>
            <w:pPr>
              <w:spacing w:after="0" w:line="158" w:lineRule="exact"/>
              <w:rPr>
                <w:sz w:val="20"/>
                <w:szCs w:val="20"/>
                <w:color w:val="auto"/>
              </w:rPr>
            </w:pPr>
            <w:r>
              <w:rPr>
                <w:rFonts w:ascii="Arial" w:cs="Arial" w:eastAsia="Arial" w:hAnsi="Arial"/>
                <w:sz w:val="14"/>
                <w:szCs w:val="14"/>
                <w:color w:val="auto"/>
              </w:rPr>
              <w:t>Entertainment, retail and other</w:t>
            </w:r>
          </w:p>
        </w:tc>
        <w:tc>
          <w:tcPr>
            <w:tcW w:w="280" w:type="dxa"/>
            <w:vAlign w:val="bottom"/>
          </w:tcPr>
          <w:p>
            <w:pPr>
              <w:spacing w:after="0"/>
              <w:rPr>
                <w:sz w:val="13"/>
                <w:szCs w:val="13"/>
                <w:color w:val="auto"/>
              </w:rPr>
            </w:pPr>
          </w:p>
        </w:tc>
        <w:tc>
          <w:tcPr>
            <w:tcW w:w="820" w:type="dxa"/>
            <w:vAlign w:val="bottom"/>
          </w:tcPr>
          <w:p>
            <w:pPr>
              <w:jc w:val="right"/>
              <w:ind w:right="132"/>
              <w:spacing w:after="0" w:line="158" w:lineRule="exact"/>
              <w:rPr>
                <w:sz w:val="20"/>
                <w:szCs w:val="20"/>
                <w:color w:val="auto"/>
              </w:rPr>
            </w:pPr>
            <w:r>
              <w:rPr>
                <w:rFonts w:ascii="Arial" w:cs="Arial" w:eastAsia="Arial" w:hAnsi="Arial"/>
                <w:sz w:val="14"/>
                <w:szCs w:val="14"/>
                <w:color w:val="auto"/>
              </w:rPr>
              <w:t>613,306</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92"/>
              <w:spacing w:after="0" w:line="158" w:lineRule="exact"/>
              <w:rPr>
                <w:sz w:val="20"/>
                <w:szCs w:val="20"/>
                <w:color w:val="auto"/>
              </w:rPr>
            </w:pPr>
            <w:r>
              <w:rPr>
                <w:rFonts w:ascii="Arial" w:cs="Arial" w:eastAsia="Arial" w:hAnsi="Arial"/>
                <w:sz w:val="14"/>
                <w:szCs w:val="14"/>
                <w:color w:val="auto"/>
              </w:rPr>
              <w:t>309,136</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112"/>
              <w:spacing w:after="0" w:line="158" w:lineRule="exact"/>
              <w:rPr>
                <w:sz w:val="20"/>
                <w:szCs w:val="20"/>
                <w:color w:val="auto"/>
              </w:rPr>
            </w:pPr>
            <w:r>
              <w:rPr>
                <w:rFonts w:ascii="Arial" w:cs="Arial" w:eastAsia="Arial" w:hAnsi="Arial"/>
                <w:sz w:val="14"/>
                <w:szCs w:val="14"/>
                <w:color w:val="auto"/>
              </w:rPr>
              <w:t>1,598,659</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112"/>
              <w:spacing w:after="0" w:line="158" w:lineRule="exact"/>
              <w:rPr>
                <w:sz w:val="20"/>
                <w:szCs w:val="20"/>
                <w:color w:val="auto"/>
              </w:rPr>
            </w:pPr>
            <w:r>
              <w:rPr>
                <w:rFonts w:ascii="Arial" w:cs="Arial" w:eastAsia="Arial" w:hAnsi="Arial"/>
                <w:sz w:val="14"/>
                <w:szCs w:val="14"/>
                <w:color w:val="auto"/>
              </w:rPr>
              <w:t>822,908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40"/>
              <w:spacing w:after="0"/>
              <w:rPr>
                <w:sz w:val="20"/>
                <w:szCs w:val="20"/>
                <w:color w:val="auto"/>
              </w:rPr>
            </w:pPr>
            <w:r>
              <w:rPr>
                <w:rFonts w:ascii="Arial" w:cs="Arial" w:eastAsia="Arial" w:hAnsi="Arial"/>
                <w:sz w:val="14"/>
                <w:szCs w:val="14"/>
                <w:color w:val="auto"/>
              </w:rPr>
              <w:t>Gross revenues</w:t>
            </w:r>
          </w:p>
        </w:tc>
        <w:tc>
          <w:tcPr>
            <w:tcW w:w="280" w:type="dxa"/>
            <w:vAlign w:val="bottom"/>
          </w:tcPr>
          <w:p>
            <w:pPr>
              <w:spacing w:after="0"/>
              <w:rPr>
                <w:sz w:val="14"/>
                <w:szCs w:val="14"/>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(49,736)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(39,724)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(166,402)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w w:val="96"/>
              </w:rPr>
              <w:t>(100,927)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20" w:type="dxa"/>
            <w:vAlign w:val="bottom"/>
          </w:tcPr>
          <w:p>
            <w:pPr>
              <w:spacing w:after="0" w:line="159" w:lineRule="exact"/>
              <w:rPr>
                <w:sz w:val="20"/>
                <w:szCs w:val="20"/>
                <w:color w:val="auto"/>
              </w:rPr>
            </w:pPr>
            <w:r>
              <w:rPr>
                <w:rFonts w:ascii="Arial" w:cs="Arial" w:eastAsia="Arial" w:hAnsi="Arial"/>
                <w:sz w:val="14"/>
                <w:szCs w:val="14"/>
                <w:color w:val="auto"/>
              </w:rPr>
              <w:t>Less: promotional allowances</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32"/>
              <w:spacing w:after="0" w:line="159" w:lineRule="exact"/>
              <w:rPr>
                <w:sz w:val="20"/>
                <w:szCs w:val="20"/>
                <w:color w:val="auto"/>
              </w:rPr>
            </w:pPr>
            <w:r>
              <w:rPr>
                <w:rFonts w:ascii="Arial" w:cs="Arial" w:eastAsia="Arial" w:hAnsi="Arial"/>
                <w:sz w:val="14"/>
                <w:szCs w:val="14"/>
                <w:color w:val="auto"/>
              </w:rPr>
              <w:t>563,570</w:t>
            </w: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2"/>
              <w:spacing w:after="0" w:line="159" w:lineRule="exact"/>
              <w:rPr>
                <w:sz w:val="20"/>
                <w:szCs w:val="20"/>
                <w:color w:val="auto"/>
              </w:rPr>
            </w:pPr>
            <w:r>
              <w:rPr>
                <w:rFonts w:ascii="Arial" w:cs="Arial" w:eastAsia="Arial" w:hAnsi="Arial"/>
                <w:sz w:val="14"/>
                <w:szCs w:val="14"/>
                <w:color w:val="auto"/>
              </w:rPr>
              <w:t>269,412</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12"/>
              <w:spacing w:after="0" w:line="159" w:lineRule="exact"/>
              <w:rPr>
                <w:sz w:val="20"/>
                <w:szCs w:val="20"/>
                <w:color w:val="auto"/>
              </w:rPr>
            </w:pPr>
            <w:r>
              <w:rPr>
                <w:rFonts w:ascii="Arial" w:cs="Arial" w:eastAsia="Arial" w:hAnsi="Arial"/>
                <w:sz w:val="14"/>
                <w:szCs w:val="14"/>
                <w:color w:val="auto"/>
              </w:rPr>
              <w:t>1,432,257</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2"/>
              <w:spacing w:after="0" w:line="159" w:lineRule="exact"/>
              <w:rPr>
                <w:sz w:val="20"/>
                <w:szCs w:val="20"/>
                <w:color w:val="auto"/>
              </w:rPr>
            </w:pPr>
            <w:r>
              <w:rPr>
                <w:rFonts w:ascii="Arial" w:cs="Arial" w:eastAsia="Arial" w:hAnsi="Arial"/>
                <w:sz w:val="14"/>
                <w:szCs w:val="14"/>
                <w:color w:val="auto"/>
              </w:rPr>
              <w:t>721,981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20" w:type="dxa"/>
            <w:vAlign w:val="bottom"/>
          </w:tcPr>
          <w:p>
            <w:pPr>
              <w:ind w:left="40"/>
              <w:spacing w:after="0"/>
              <w:rPr>
                <w:sz w:val="20"/>
                <w:szCs w:val="20"/>
                <w:color w:val="auto"/>
              </w:rPr>
            </w:pPr>
            <w:r>
              <w:rPr>
                <w:rFonts w:ascii="Arial" w:cs="Arial" w:eastAsia="Arial" w:hAnsi="Arial"/>
                <w:sz w:val="14"/>
                <w:szCs w:val="14"/>
                <w:color w:val="auto"/>
              </w:rPr>
              <w:t>Net revenues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3120" w:type="dxa"/>
            <w:vAlign w:val="bottom"/>
          </w:tcPr>
          <w:p>
            <w:pPr>
              <w:spacing w:after="0"/>
              <w:rPr>
                <w:sz w:val="20"/>
                <w:szCs w:val="20"/>
                <w:color w:val="auto"/>
              </w:rPr>
            </w:pPr>
            <w:r>
              <w:rPr>
                <w:rFonts w:ascii="Arial" w:cs="Arial" w:eastAsia="Arial" w:hAnsi="Arial"/>
                <w:sz w:val="14"/>
                <w:szCs w:val="14"/>
                <w:color w:val="auto"/>
              </w:rPr>
              <w:t>Operating costs and expenses: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80"/>
              <w:spacing w:after="0"/>
              <w:rPr>
                <w:sz w:val="20"/>
                <w:szCs w:val="20"/>
                <w:color w:val="auto"/>
              </w:rPr>
            </w:pPr>
            <w:r>
              <w:rPr>
                <w:rFonts w:ascii="Arial" w:cs="Arial" w:eastAsia="Arial" w:hAnsi="Arial"/>
                <w:sz w:val="14"/>
                <w:szCs w:val="14"/>
                <w:color w:val="auto"/>
              </w:rPr>
              <w:t>Casino</w:t>
            </w:r>
          </w:p>
        </w:tc>
        <w:tc>
          <w:tcPr>
            <w:tcW w:w="2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225,266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59,407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439,902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155,075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80"/>
              <w:spacing w:after="0"/>
              <w:rPr>
                <w:sz w:val="20"/>
                <w:szCs w:val="20"/>
                <w:color w:val="auto"/>
              </w:rPr>
            </w:pPr>
            <w:r>
              <w:rPr>
                <w:rFonts w:ascii="Arial" w:cs="Arial" w:eastAsia="Arial" w:hAnsi="Arial"/>
                <w:sz w:val="14"/>
                <w:szCs w:val="14"/>
                <w:color w:val="auto"/>
              </w:rPr>
              <w:t>Rooms</w:t>
            </w:r>
          </w:p>
        </w:tc>
        <w:tc>
          <w:tcPr>
            <w:tcW w:w="2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20,494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16,271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73,878</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44,171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80"/>
              <w:spacing w:after="0"/>
              <w:rPr>
                <w:sz w:val="20"/>
                <w:szCs w:val="20"/>
                <w:color w:val="auto"/>
              </w:rPr>
            </w:pPr>
            <w:r>
              <w:rPr>
                <w:rFonts w:ascii="Arial" w:cs="Arial" w:eastAsia="Arial" w:hAnsi="Arial"/>
                <w:sz w:val="14"/>
                <w:szCs w:val="14"/>
                <w:color w:val="auto"/>
              </w:rPr>
              <w:t>Food and beverage</w:t>
            </w:r>
          </w:p>
        </w:tc>
        <w:tc>
          <w:tcPr>
            <w:tcW w:w="2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52,449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42,486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194,403</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118,670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80"/>
              <w:spacing w:after="0"/>
              <w:rPr>
                <w:sz w:val="20"/>
                <w:szCs w:val="20"/>
                <w:color w:val="auto"/>
              </w:rPr>
            </w:pPr>
            <w:r>
              <w:rPr>
                <w:rFonts w:ascii="Arial" w:cs="Arial" w:eastAsia="Arial" w:hAnsi="Arial"/>
                <w:sz w:val="14"/>
                <w:szCs w:val="14"/>
                <w:color w:val="auto"/>
              </w:rPr>
              <w:t>Entertainment, retail and other</w:t>
            </w:r>
          </w:p>
        </w:tc>
        <w:tc>
          <w:tcPr>
            <w:tcW w:w="2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36,226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31,219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134,530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80,185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8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79,345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43,153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231,515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118,980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80"/>
              <w:spacing w:after="0"/>
              <w:rPr>
                <w:sz w:val="20"/>
                <w:szCs w:val="20"/>
                <w:color w:val="auto"/>
              </w:rPr>
            </w:pPr>
            <w:r>
              <w:rPr>
                <w:rFonts w:ascii="Arial" w:cs="Arial" w:eastAsia="Arial" w:hAnsi="Arial"/>
                <w:sz w:val="14"/>
                <w:szCs w:val="14"/>
                <w:color w:val="auto"/>
              </w:rPr>
              <w:t>Provision for doubtful accounts</w:t>
            </w:r>
          </w:p>
        </w:tc>
        <w:tc>
          <w:tcPr>
            <w:tcW w:w="2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9,711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5,564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21,163</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16,206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80"/>
              <w:spacing w:after="0"/>
              <w:rPr>
                <w:sz w:val="20"/>
                <w:szCs w:val="20"/>
                <w:color w:val="auto"/>
              </w:rPr>
            </w:pPr>
            <w:r>
              <w:rPr>
                <w:rFonts w:ascii="Arial" w:cs="Arial" w:eastAsia="Arial" w:hAnsi="Arial"/>
                <w:sz w:val="14"/>
                <w:szCs w:val="14"/>
                <w:color w:val="auto"/>
              </w:rPr>
              <w:t>Pre-opening costs</w:t>
            </w:r>
          </w:p>
        </w:tc>
        <w:tc>
          <w:tcPr>
            <w:tcW w:w="280" w:type="dxa"/>
            <w:vAlign w:val="bottom"/>
          </w:tcPr>
          <w:p>
            <w:pPr>
              <w:spacing w:after="0"/>
              <w:rPr>
                <w:sz w:val="14"/>
                <w:szCs w:val="14"/>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8,324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62,726</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96,940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50,667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35,839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175,464</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103,344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80"/>
              <w:spacing w:after="0"/>
              <w:rPr>
                <w:sz w:val="20"/>
                <w:szCs w:val="20"/>
                <w:color w:val="auto"/>
              </w:rPr>
            </w:pPr>
            <w:r>
              <w:rPr>
                <w:rFonts w:ascii="Arial" w:cs="Arial" w:eastAsia="Arial" w:hAnsi="Arial"/>
                <w:sz w:val="14"/>
                <w:szCs w:val="14"/>
                <w:color w:val="auto"/>
              </w:rPr>
              <w:t>Contract termination fee</w:t>
            </w:r>
          </w:p>
        </w:tc>
        <w:tc>
          <w:tcPr>
            <w:tcW w:w="2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5,000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20" w:type="dxa"/>
            <w:vAlign w:val="bottom"/>
          </w:tcPr>
          <w:p>
            <w:pPr>
              <w:ind w:left="280"/>
              <w:spacing w:after="0" w:line="159" w:lineRule="exact"/>
              <w:rPr>
                <w:sz w:val="20"/>
                <w:szCs w:val="20"/>
                <w:color w:val="auto"/>
              </w:rPr>
            </w:pPr>
            <w:r>
              <w:rPr>
                <w:rFonts w:ascii="Arial" w:cs="Arial" w:eastAsia="Arial" w:hAnsi="Arial"/>
                <w:sz w:val="14"/>
                <w:szCs w:val="14"/>
                <w:color w:val="auto"/>
              </w:rPr>
              <w:t>Property charges and other</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32"/>
              <w:spacing w:after="0" w:line="159" w:lineRule="exact"/>
              <w:rPr>
                <w:sz w:val="20"/>
                <w:szCs w:val="20"/>
                <w:color w:val="auto"/>
              </w:rPr>
            </w:pPr>
            <w:r>
              <w:rPr>
                <w:rFonts w:ascii="Arial" w:cs="Arial" w:eastAsia="Arial" w:hAnsi="Arial"/>
                <w:sz w:val="14"/>
                <w:szCs w:val="14"/>
                <w:color w:val="auto"/>
              </w:rPr>
              <w:t>11,996</w:t>
            </w: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2"/>
              <w:spacing w:after="0" w:line="159" w:lineRule="exact"/>
              <w:rPr>
                <w:sz w:val="20"/>
                <w:szCs w:val="20"/>
                <w:color w:val="auto"/>
              </w:rPr>
            </w:pPr>
            <w:r>
              <w:rPr>
                <w:rFonts w:ascii="Arial" w:cs="Arial" w:eastAsia="Arial" w:hAnsi="Arial"/>
                <w:sz w:val="14"/>
                <w:szCs w:val="14"/>
                <w:color w:val="auto"/>
              </w:rPr>
              <w:t>8,136</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12"/>
              <w:spacing w:after="0" w:line="159" w:lineRule="exact"/>
              <w:rPr>
                <w:sz w:val="20"/>
                <w:szCs w:val="20"/>
                <w:color w:val="auto"/>
              </w:rPr>
            </w:pPr>
            <w:r>
              <w:rPr>
                <w:rFonts w:ascii="Arial" w:cs="Arial" w:eastAsia="Arial" w:hAnsi="Arial"/>
                <w:sz w:val="14"/>
                <w:szCs w:val="14"/>
                <w:color w:val="auto"/>
              </w:rPr>
              <w:t>25,060</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2"/>
              <w:spacing w:after="0" w:line="159" w:lineRule="exact"/>
              <w:rPr>
                <w:sz w:val="20"/>
                <w:szCs w:val="20"/>
                <w:color w:val="auto"/>
              </w:rPr>
            </w:pPr>
            <w:r>
              <w:rPr>
                <w:rFonts w:ascii="Arial" w:cs="Arial" w:eastAsia="Arial" w:hAnsi="Arial"/>
                <w:sz w:val="14"/>
                <w:szCs w:val="14"/>
                <w:color w:val="auto"/>
              </w:rPr>
              <w:t>14,297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20" w:type="dxa"/>
            <w:vAlign w:val="bottom"/>
          </w:tcPr>
          <w:p>
            <w:pPr>
              <w:ind w:left="400"/>
              <w:spacing w:after="0"/>
              <w:rPr>
                <w:sz w:val="20"/>
                <w:szCs w:val="20"/>
                <w:color w:val="auto"/>
              </w:rPr>
            </w:pPr>
            <w:r>
              <w:rPr>
                <w:rFonts w:ascii="Arial" w:cs="Arial" w:eastAsia="Arial" w:hAnsi="Arial"/>
                <w:sz w:val="14"/>
                <w:szCs w:val="14"/>
                <w:color w:val="auto"/>
              </w:rPr>
              <w:t>Total operating costs and expenses</w:t>
            </w:r>
          </w:p>
        </w:tc>
        <w:tc>
          <w:tcPr>
            <w:tcW w:w="2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486,086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250,399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1,363,641</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747,868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3120" w:type="dxa"/>
            <w:vAlign w:val="bottom"/>
          </w:tcPr>
          <w:p>
            <w:pPr>
              <w:spacing w:after="0"/>
              <w:rPr>
                <w:sz w:val="20"/>
                <w:szCs w:val="20"/>
                <w:color w:val="auto"/>
              </w:rPr>
            </w:pPr>
            <w:r>
              <w:rPr>
                <w:rFonts w:ascii="Arial" w:cs="Arial" w:eastAsia="Arial" w:hAnsi="Arial"/>
                <w:sz w:val="14"/>
                <w:szCs w:val="14"/>
                <w:color w:val="auto"/>
              </w:rPr>
              <w:t>Equity in income from unconsolidated affiliates</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617</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2,283</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1,331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120" w:type="dxa"/>
            <w:vAlign w:val="bottom"/>
          </w:tcPr>
          <w:p>
            <w:pPr>
              <w:spacing w:after="0"/>
              <w:rPr>
                <w:sz w:val="20"/>
                <w:szCs w:val="20"/>
                <w:color w:val="auto"/>
              </w:rPr>
            </w:pPr>
            <w:r>
              <w:rPr>
                <w:rFonts w:ascii="Arial" w:cs="Arial" w:eastAsia="Arial" w:hAnsi="Arial"/>
                <w:sz w:val="14"/>
                <w:szCs w:val="14"/>
                <w:color w:val="auto"/>
              </w:rPr>
              <w:t>Operating income (loss)</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78,193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19,630</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70,899</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(24,556)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120" w:type="dxa"/>
            <w:vAlign w:val="bottom"/>
          </w:tcPr>
          <w:p>
            <w:pPr>
              <w:spacing w:after="0"/>
              <w:rPr>
                <w:sz w:val="20"/>
                <w:szCs w:val="20"/>
                <w:color w:val="auto"/>
              </w:rPr>
            </w:pPr>
            <w:r>
              <w:rPr>
                <w:rFonts w:ascii="Arial" w:cs="Arial" w:eastAsia="Arial" w:hAnsi="Arial"/>
                <w:sz w:val="14"/>
                <w:szCs w:val="14"/>
                <w:color w:val="auto"/>
              </w:rPr>
              <w:t>Other income (expense):</w:t>
            </w:r>
          </w:p>
        </w:tc>
        <w:tc>
          <w:tcPr>
            <w:tcW w:w="280" w:type="dxa"/>
            <w:vAlign w:val="bottom"/>
          </w:tcPr>
          <w:p>
            <w:pPr>
              <w:spacing w:after="0"/>
              <w:rPr>
                <w:sz w:val="24"/>
                <w:szCs w:val="2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16,868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7,635</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46,752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28,267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Interest and other income</w:t>
            </w:r>
          </w:p>
        </w:tc>
        <w:tc>
          <w:tcPr>
            <w:tcW w:w="280" w:type="dxa"/>
            <w:vAlign w:val="bottom"/>
          </w:tcPr>
          <w:p>
            <w:pPr>
              <w:spacing w:after="0"/>
              <w:rPr>
                <w:sz w:val="14"/>
                <w:szCs w:val="14"/>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(39,799)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(37,269)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(148,017)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w w:val="96"/>
              </w:rPr>
              <w:t>(102,699)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Interest expense, net of capitalized interest</w:t>
            </w:r>
          </w:p>
        </w:tc>
        <w:tc>
          <w:tcPr>
            <w:tcW w:w="280" w:type="dxa"/>
            <w:vAlign w:val="bottom"/>
          </w:tcPr>
          <w:p>
            <w:pPr>
              <w:spacing w:after="0"/>
              <w:rPr>
                <w:sz w:val="14"/>
                <w:szCs w:val="14"/>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(58,477)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(58,477)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Distribution to convertible debenture holders</w:t>
            </w:r>
          </w:p>
        </w:tc>
        <w:tc>
          <w:tcPr>
            <w:tcW w:w="280" w:type="dxa"/>
            <w:vAlign w:val="bottom"/>
          </w:tcPr>
          <w:p>
            <w:pPr>
              <w:spacing w:after="0"/>
              <w:rPr>
                <w:sz w:val="14"/>
                <w:szCs w:val="14"/>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119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1,196</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8,152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Increase (decrease) in swap fair value</w:t>
            </w:r>
          </w:p>
        </w:tc>
        <w:tc>
          <w:tcPr>
            <w:tcW w:w="2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899,409</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Gain on sale of subconcession right, net</w:t>
            </w:r>
          </w:p>
        </w:tc>
        <w:tc>
          <w:tcPr>
            <w:tcW w:w="280" w:type="dxa"/>
            <w:vAlign w:val="bottom"/>
          </w:tcPr>
          <w:p>
            <w:pPr>
              <w:spacing w:after="0"/>
              <w:rPr>
                <w:sz w:val="14"/>
                <w:szCs w:val="14"/>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(1,775)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(12,533)</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Loss from extinguishment of debt</w:t>
            </w:r>
          </w:p>
        </w:tc>
        <w:tc>
          <w:tcPr>
            <w:tcW w:w="280" w:type="dxa"/>
            <w:vAlign w:val="bottom"/>
          </w:tcPr>
          <w:p>
            <w:pPr>
              <w:spacing w:after="0"/>
              <w:rPr>
                <w:sz w:val="14"/>
                <w:szCs w:val="14"/>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(83,822)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(29,515)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728,330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(66,280)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tcPr>
          <w:p>
            <w:pPr>
              <w:ind w:left="260"/>
              <w:spacing w:after="0"/>
              <w:rPr>
                <w:sz w:val="20"/>
                <w:szCs w:val="20"/>
                <w:color w:val="auto"/>
              </w:rPr>
            </w:pPr>
            <w:r>
              <w:rPr>
                <w:rFonts w:ascii="Arial" w:cs="Arial" w:eastAsia="Arial" w:hAnsi="Arial"/>
                <w:sz w:val="14"/>
                <w:szCs w:val="14"/>
                <w:color w:val="auto"/>
              </w:rPr>
              <w:t>Other income (expense), net</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12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28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(5,629)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(9,885)</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799,229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(90,836)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120" w:type="dxa"/>
            <w:vAlign w:val="bottom"/>
          </w:tcPr>
          <w:p>
            <w:pPr>
              <w:ind w:left="26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49,795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170,501</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120" w:type="dxa"/>
            <w:vAlign w:val="bottom"/>
          </w:tcPr>
          <w:p>
            <w:pPr>
              <w:spacing w:after="0"/>
              <w:rPr>
                <w:sz w:val="20"/>
                <w:szCs w:val="20"/>
                <w:color w:val="auto"/>
              </w:rPr>
            </w:pPr>
            <w:r>
              <w:rPr>
                <w:rFonts w:ascii="Arial" w:cs="Arial" w:eastAsia="Arial" w:hAnsi="Arial"/>
                <w:sz w:val="14"/>
                <w:szCs w:val="14"/>
                <w:color w:val="auto"/>
              </w:rPr>
              <w:t>Net Income (loss)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(55,424)</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(9,885)</w:t>
            </w:r>
          </w:p>
        </w:tc>
        <w:tc>
          <w:tcPr>
            <w:tcW w:w="260" w:type="dxa"/>
            <w:vAlign w:val="bottom"/>
          </w:tcPr>
          <w:p>
            <w:pPr>
              <w:spacing w:after="0"/>
              <w:rPr>
                <w:sz w:val="24"/>
                <w:szCs w:val="24"/>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628,728</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(90,836)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4"/>
                <w:szCs w:val="14"/>
                <w:color w:val="auto"/>
                <w:w w:val="97"/>
              </w:rPr>
              <w:t>Basic and diluted income (loss) per common share:</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340"/>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14"/>
                <w:szCs w:val="14"/>
                <w:color w:val="auto"/>
              </w:rPr>
            </w:pPr>
          </w:p>
        </w:tc>
        <w:tc>
          <w:tcPr>
            <w:tcW w:w="38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(0.10)</w:t>
            </w:r>
          </w:p>
        </w:tc>
        <w:tc>
          <w:tcPr>
            <w:tcW w:w="260" w:type="dxa"/>
            <w:vAlign w:val="bottom"/>
          </w:tcPr>
          <w:p>
            <w:pPr>
              <w:spacing w:after="0"/>
              <w:rPr>
                <w:sz w:val="14"/>
                <w:szCs w:val="14"/>
                <w:color w:val="auto"/>
              </w:rPr>
            </w:pP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6.29</w:t>
            </w:r>
          </w:p>
        </w:tc>
        <w:tc>
          <w:tcPr>
            <w:tcW w:w="220" w:type="dxa"/>
            <w:vAlign w:val="bottom"/>
          </w:tcPr>
          <w:p>
            <w:pPr>
              <w:spacing w:after="0"/>
              <w:rPr>
                <w:sz w:val="14"/>
                <w:szCs w:val="14"/>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(0.92)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34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14"/>
                <w:szCs w:val="14"/>
                <w:color w:val="auto"/>
              </w:rPr>
            </w:pPr>
          </w:p>
        </w:tc>
        <w:tc>
          <w:tcPr>
            <w:tcW w:w="38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(0.10)</w:t>
            </w:r>
          </w:p>
        </w:tc>
        <w:tc>
          <w:tcPr>
            <w:tcW w:w="260" w:type="dxa"/>
            <w:vAlign w:val="bottom"/>
          </w:tcPr>
          <w:p>
            <w:pPr>
              <w:spacing w:after="0"/>
              <w:rPr>
                <w:sz w:val="14"/>
                <w:szCs w:val="14"/>
                <w:color w:val="auto"/>
              </w:rPr>
            </w:pP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6.24</w:t>
            </w:r>
          </w:p>
        </w:tc>
        <w:tc>
          <w:tcPr>
            <w:tcW w:w="220" w:type="dxa"/>
            <w:vAlign w:val="bottom"/>
          </w:tcPr>
          <w:p>
            <w:pPr>
              <w:spacing w:after="0"/>
              <w:rPr>
                <w:sz w:val="14"/>
                <w:szCs w:val="14"/>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(0.92)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340"/>
              <w:spacing w:after="0"/>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340"/>
              <w:spacing w:after="0"/>
              <w:rPr>
                <w:sz w:val="20"/>
                <w:szCs w:val="20"/>
                <w:color w:val="auto"/>
              </w:rPr>
            </w:pPr>
            <w:r>
              <w:rPr>
                <w:rFonts w:ascii="Arial" w:cs="Arial" w:eastAsia="Arial" w:hAnsi="Arial"/>
                <w:sz w:val="14"/>
                <w:szCs w:val="14"/>
                <w:color w:val="auto"/>
                <w:w w:val="92"/>
              </w:rPr>
              <w:t>Weighted average common shares outstanding:</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340"/>
              <w:spacing w:after="0"/>
              <w:rPr>
                <w:sz w:val="20"/>
                <w:szCs w:val="20"/>
                <w:color w:val="auto"/>
              </w:rPr>
            </w:pPr>
            <w:r>
              <w:rPr>
                <w:rFonts w:ascii="Arial" w:cs="Arial" w:eastAsia="Arial" w:hAnsi="Arial"/>
                <w:sz w:val="14"/>
                <w:szCs w:val="14"/>
                <w:color w:val="auto"/>
              </w:rPr>
              <w:t>Basic</w:t>
            </w:r>
          </w:p>
        </w:tc>
        <w:tc>
          <w:tcPr>
            <w:tcW w:w="2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100,918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98,494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99,998</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98,308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tcPr>
          <w:p>
            <w:pPr>
              <w:ind w:left="340"/>
              <w:spacing w:after="0"/>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100,918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98,494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111,627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98,308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2"/>
          <w:szCs w:val="12"/>
          <w:color w:val="auto"/>
        </w:rPr>
        <w:t>Note: * Diluted earnings per share for the twelve months ended December 31, 2006 includes the assumption that the convertible subordinated</w:t>
      </w:r>
    </w:p>
    <w:p>
      <w:pPr>
        <w:sectPr>
          <w:pgSz w:w="11900" w:h="16838" w:orient="portrait"/>
          <w:cols w:equalWidth="0" w:num="1">
            <w:col w:w="10219"/>
          </w:cols>
          <w:pgMar w:left="240" w:top="131" w:right="1440" w:bottom="0" w:gutter="0" w:footer="0" w:header="0"/>
        </w:sectPr>
      </w:pPr>
    </w:p>
    <w:bookmarkStart w:id="8" w:name="page9"/>
    <w:bookmarkEnd w:id="8"/>
    <w:p>
      <w:pPr>
        <w:jc w:val="both"/>
        <w:ind w:right="2219"/>
        <w:spacing w:after="0" w:line="233" w:lineRule="auto"/>
        <w:rPr>
          <w:sz w:val="20"/>
          <w:szCs w:val="20"/>
          <w:color w:val="auto"/>
        </w:rPr>
      </w:pPr>
      <w:r>
        <w:rPr>
          <w:rFonts w:ascii="Arial" w:cs="Arial" w:eastAsia="Arial" w:hAnsi="Arial"/>
          <w:sz w:val="14"/>
          <w:szCs w:val="14"/>
          <w:color w:val="auto"/>
        </w:rPr>
        <w:t>debentures were converted into shares of common stock. Accordingly, net income used in the computation of diluted earnings per share is increased by approximately $9.4 million, of interest attributable to these debentures for the year ended December 31, 2006 and the special cash distribution of $58.5 million.</w:t>
      </w:r>
    </w:p>
    <w:p>
      <w:pPr>
        <w:spacing w:after="0" w:line="34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39"/>
        <w:spacing w:after="0"/>
        <w:rPr>
          <w:sz w:val="20"/>
          <w:szCs w:val="20"/>
          <w:color w:val="auto"/>
        </w:rPr>
      </w:pPr>
      <w:r>
        <w:rPr>
          <w:rFonts w:ascii="Arial" w:cs="Arial" w:eastAsia="Arial" w:hAnsi="Arial"/>
          <w:sz w:val="18"/>
          <w:szCs w:val="18"/>
          <w:b w:val="1"/>
          <w:bCs w:val="1"/>
          <w:color w:val="auto"/>
        </w:rPr>
        <w:t>RECONCILIATION OF NET INCOME (LOSS)</w:t>
      </w:r>
    </w:p>
    <w:p>
      <w:pPr>
        <w:spacing w:after="0" w:line="9" w:lineRule="exact"/>
        <w:rPr>
          <w:sz w:val="20"/>
          <w:szCs w:val="20"/>
          <w:color w:val="auto"/>
        </w:rPr>
      </w:pPr>
    </w:p>
    <w:p>
      <w:pPr>
        <w:jc w:val="center"/>
        <w:ind w:right="1939"/>
        <w:spacing w:after="0"/>
        <w:rPr>
          <w:sz w:val="20"/>
          <w:szCs w:val="20"/>
          <w:color w:val="auto"/>
        </w:rPr>
      </w:pPr>
      <w:r>
        <w:rPr>
          <w:rFonts w:ascii="Arial" w:cs="Arial" w:eastAsia="Arial" w:hAnsi="Arial"/>
          <w:sz w:val="18"/>
          <w:szCs w:val="18"/>
          <w:b w:val="1"/>
          <w:bCs w:val="1"/>
          <w:color w:val="auto"/>
        </w:rPr>
        <w:t>TO ADJUSTED NET INCOME (LOSS)</w:t>
      </w:r>
    </w:p>
    <w:p>
      <w:pPr>
        <w:spacing w:after="0" w:line="9" w:lineRule="exact"/>
        <w:rPr>
          <w:sz w:val="20"/>
          <w:szCs w:val="20"/>
          <w:color w:val="auto"/>
        </w:rPr>
      </w:pPr>
    </w:p>
    <w:p>
      <w:pPr>
        <w:jc w:val="center"/>
        <w:ind w:right="193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939"/>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3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r>
      <w:tr>
        <w:trPr>
          <w:trHeight w:val="161"/>
        </w:trPr>
        <w:tc>
          <w:tcPr>
            <w:tcW w:w="3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r>
      <w:tr>
        <w:trPr>
          <w:trHeight w:val="156"/>
        </w:trPr>
        <w:tc>
          <w:tcPr>
            <w:tcW w:w="3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w w:val="96"/>
              </w:rPr>
              <w:t>2005</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2005</w:t>
            </w:r>
          </w:p>
        </w:tc>
      </w:tr>
      <w:tr>
        <w:trPr>
          <w:trHeight w:val="307"/>
        </w:trPr>
        <w:tc>
          <w:tcPr>
            <w:tcW w:w="3240" w:type="dxa"/>
            <w:vAlign w:val="bottom"/>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(55,424)</w:t>
            </w:r>
          </w:p>
        </w:tc>
        <w:tc>
          <w:tcPr>
            <w:tcW w:w="12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(9,885)</w:t>
            </w:r>
          </w:p>
        </w:tc>
        <w:tc>
          <w:tcPr>
            <w:tcW w:w="160" w:type="dxa"/>
            <w:vAlign w:val="bottom"/>
          </w:tcPr>
          <w:p>
            <w:pPr>
              <w:spacing w:after="0"/>
              <w:rPr>
                <w:sz w:val="24"/>
                <w:szCs w:val="24"/>
                <w:color w:val="auto"/>
              </w:rPr>
            </w:pPr>
          </w:p>
        </w:tc>
        <w:tc>
          <w:tcPr>
            <w:tcW w:w="3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628,728</w:t>
            </w:r>
          </w:p>
        </w:tc>
        <w:tc>
          <w:tcPr>
            <w:tcW w:w="140" w:type="dxa"/>
            <w:vAlign w:val="bottom"/>
          </w:tcPr>
          <w:p>
            <w:pPr>
              <w:spacing w:after="0"/>
              <w:rPr>
                <w:sz w:val="24"/>
                <w:szCs w:val="24"/>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(90,836)</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Gain on sale of subconcession right, net</w:t>
            </w:r>
          </w:p>
        </w:tc>
        <w:tc>
          <w:tcPr>
            <w:tcW w:w="280" w:type="dxa"/>
            <w:vAlign w:val="bottom"/>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(899,409)</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Interest income on subconcession proceeds</w:t>
            </w:r>
          </w:p>
        </w:tc>
        <w:tc>
          <w:tcPr>
            <w:tcW w:w="280" w:type="dxa"/>
            <w:vAlign w:val="bottom"/>
          </w:tcPr>
          <w:p>
            <w:pPr>
              <w:spacing w:after="0"/>
              <w:rPr>
                <w:sz w:val="14"/>
                <w:szCs w:val="14"/>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(9,946)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(12,489)</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Pre-opening costs</w:t>
            </w:r>
          </w:p>
        </w:tc>
        <w:tc>
          <w:tcPr>
            <w:tcW w:w="280" w:type="dxa"/>
            <w:vAlign w:val="bottom"/>
          </w:tcPr>
          <w:p>
            <w:pPr>
              <w:spacing w:after="0"/>
              <w:rPr>
                <w:sz w:val="14"/>
                <w:szCs w:val="14"/>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8,324</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62,726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96,940</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Loss from the extinguishment of debt</w:t>
            </w:r>
          </w:p>
        </w:tc>
        <w:tc>
          <w:tcPr>
            <w:tcW w:w="280" w:type="dxa"/>
            <w:vAlign w:val="bottom"/>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color w:val="auto"/>
              </w:rPr>
              <w:t>1,775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12,533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(Increase) decrease in swap fair value</w:t>
            </w:r>
          </w:p>
        </w:tc>
        <w:tc>
          <w:tcPr>
            <w:tcW w:w="280" w:type="dxa"/>
            <w:vAlign w:val="bottom"/>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(119)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(1,196)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(8,152)</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Property charges and other</w:t>
            </w:r>
          </w:p>
        </w:tc>
        <w:tc>
          <w:tcPr>
            <w:tcW w:w="280" w:type="dxa"/>
            <w:vAlign w:val="bottom"/>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color w:val="auto"/>
              </w:rPr>
              <w:t>11,996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8,136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25,060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14,297</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Distribution to convertible debenture holders</w:t>
            </w:r>
          </w:p>
        </w:tc>
        <w:tc>
          <w:tcPr>
            <w:tcW w:w="280" w:type="dxa"/>
            <w:vAlign w:val="bottom"/>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color w:val="auto"/>
              </w:rPr>
              <w:t>58,477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58,477</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Avenue Q contract termination fee</w:t>
            </w:r>
          </w:p>
        </w:tc>
        <w:tc>
          <w:tcPr>
            <w:tcW w:w="280" w:type="dxa"/>
            <w:vAlign w:val="bottom"/>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5,000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w:t>
            </w:r>
          </w:p>
        </w:tc>
      </w:tr>
      <w:tr>
        <w:trPr>
          <w:trHeight w:val="159"/>
        </w:trPr>
        <w:tc>
          <w:tcPr>
            <w:tcW w:w="3240" w:type="dxa"/>
            <w:vAlign w:val="bottom"/>
          </w:tcPr>
          <w:p>
            <w:pPr>
              <w:spacing w:after="0" w:line="159" w:lineRule="exact"/>
              <w:rPr>
                <w:sz w:val="20"/>
                <w:szCs w:val="20"/>
                <w:color w:val="auto"/>
              </w:rPr>
            </w:pPr>
            <w:r>
              <w:rPr>
                <w:rFonts w:ascii="Arial" w:cs="Arial" w:eastAsia="Arial" w:hAnsi="Arial"/>
                <w:sz w:val="14"/>
                <w:szCs w:val="14"/>
                <w:color w:val="auto"/>
              </w:rPr>
              <w:t>Adjustment for income taxes</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2"/>
              <w:spacing w:after="0" w:line="159" w:lineRule="exact"/>
              <w:rPr>
                <w:sz w:val="20"/>
                <w:szCs w:val="20"/>
                <w:color w:val="auto"/>
              </w:rPr>
            </w:pPr>
            <w:r>
              <w:rPr>
                <w:rFonts w:ascii="Arial" w:cs="Arial" w:eastAsia="Arial" w:hAnsi="Arial"/>
                <w:sz w:val="14"/>
                <w:szCs w:val="14"/>
                <w:color w:val="auto"/>
              </w:rPr>
              <w:t>49,651</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32"/>
              <w:spacing w:after="0" w:line="159" w:lineRule="exact"/>
              <w:rPr>
                <w:sz w:val="20"/>
                <w:szCs w:val="20"/>
                <w:color w:val="auto"/>
              </w:rPr>
            </w:pPr>
            <w:r>
              <w:rPr>
                <w:rFonts w:ascii="Arial" w:cs="Arial" w:eastAsia="Arial" w:hAnsi="Arial"/>
                <w:sz w:val="14"/>
                <w:szCs w:val="14"/>
                <w:color w:val="auto"/>
              </w:rPr>
              <w:t>169,989</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92"/>
              <w:spacing w:after="0" w:line="159" w:lineRule="exact"/>
              <w:rPr>
                <w:sz w:val="20"/>
                <w:szCs w:val="20"/>
                <w:color w:val="auto"/>
              </w:rPr>
            </w:pPr>
            <w:r>
              <w:rPr>
                <w:rFonts w:ascii="Arial" w:cs="Arial" w:eastAsia="Arial" w:hAnsi="Arial"/>
                <w:sz w:val="14"/>
                <w:szCs w:val="14"/>
                <w:color w:val="auto"/>
              </w:rPr>
              <w:t>-</w:t>
            </w:r>
          </w:p>
        </w:tc>
      </w:tr>
      <w:tr>
        <w:trPr>
          <w:trHeight w:val="156"/>
        </w:trPr>
        <w:tc>
          <w:tcPr>
            <w:tcW w:w="3240" w:type="dxa"/>
            <w:vAlign w:val="bottom"/>
          </w:tcPr>
          <w:p>
            <w:pPr>
              <w:spacing w:after="0" w:line="155" w:lineRule="exact"/>
              <w:rPr>
                <w:sz w:val="20"/>
                <w:szCs w:val="20"/>
                <w:color w:val="auto"/>
              </w:rPr>
            </w:pPr>
            <w:r>
              <w:rPr>
                <w:rFonts w:ascii="Arial" w:cs="Arial" w:eastAsia="Arial" w:hAnsi="Arial"/>
                <w:sz w:val="14"/>
                <w:szCs w:val="14"/>
                <w:color w:val="auto"/>
              </w:rPr>
              <w:t>Adjusted net income (1)</w:t>
            </w:r>
          </w:p>
        </w:tc>
        <w:tc>
          <w:tcPr>
            <w:tcW w:w="28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57,100</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6,456</w:t>
            </w:r>
          </w:p>
        </w:tc>
        <w:tc>
          <w:tcPr>
            <w:tcW w:w="160" w:type="dxa"/>
            <w:vAlign w:val="bottom"/>
          </w:tcPr>
          <w:p>
            <w:pPr>
              <w:spacing w:after="0"/>
              <w:rPr>
                <w:sz w:val="13"/>
                <w:szCs w:val="13"/>
                <w:color w:val="auto"/>
              </w:rPr>
            </w:pPr>
          </w:p>
        </w:tc>
        <w:tc>
          <w:tcPr>
            <w:tcW w:w="30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49,419</w:t>
            </w:r>
          </w:p>
        </w:tc>
        <w:tc>
          <w:tcPr>
            <w:tcW w:w="140" w:type="dxa"/>
            <w:vAlign w:val="bottom"/>
          </w:tcPr>
          <w:p>
            <w:pPr>
              <w:spacing w:after="0"/>
              <w:rPr>
                <w:sz w:val="13"/>
                <w:szCs w:val="13"/>
                <w:color w:val="auto"/>
              </w:rPr>
            </w:pPr>
          </w:p>
        </w:tc>
        <w:tc>
          <w:tcPr>
            <w:tcW w:w="34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12,249</w:t>
            </w: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05"/>
        </w:trPr>
        <w:tc>
          <w:tcPr>
            <w:tcW w:w="3240" w:type="dxa"/>
            <w:vAlign w:val="bottom"/>
          </w:tcPr>
          <w:p>
            <w:pPr>
              <w:spacing w:after="0"/>
              <w:rPr>
                <w:sz w:val="20"/>
                <w:szCs w:val="20"/>
                <w:color w:val="auto"/>
              </w:rPr>
            </w:pPr>
            <w:r>
              <w:rPr>
                <w:rFonts w:ascii="Arial" w:cs="Arial" w:eastAsia="Arial" w:hAnsi="Arial"/>
                <w:sz w:val="14"/>
                <w:szCs w:val="14"/>
                <w:color w:val="auto"/>
              </w:rPr>
              <w:t>Adjusted net income per diluted share*</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0.53</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0.08</w:t>
            </w:r>
          </w:p>
        </w:tc>
        <w:tc>
          <w:tcPr>
            <w:tcW w:w="160" w:type="dxa"/>
            <w:vAlign w:val="bottom"/>
          </w:tcPr>
          <w:p>
            <w:pPr>
              <w:spacing w:after="0"/>
              <w:rPr>
                <w:sz w:val="24"/>
                <w:szCs w:val="24"/>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0.53</w:t>
            </w:r>
          </w:p>
        </w:tc>
        <w:tc>
          <w:tcPr>
            <w:tcW w:w="140" w:type="dxa"/>
            <w:vAlign w:val="bottom"/>
          </w:tcPr>
          <w:p>
            <w:pPr>
              <w:spacing w:after="0"/>
              <w:rPr>
                <w:sz w:val="24"/>
                <w:szCs w:val="24"/>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0.20</w:t>
            </w: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right="2099"/>
        <w:spacing w:after="0" w:line="228" w:lineRule="auto"/>
        <w:rPr>
          <w:sz w:val="20"/>
          <w:szCs w:val="20"/>
          <w:color w:val="auto"/>
        </w:rPr>
      </w:pPr>
      <w:r>
        <w:rPr>
          <w:rFonts w:ascii="Arial" w:cs="Arial" w:eastAsia="Arial" w:hAnsi="Arial"/>
          <w:sz w:val="14"/>
          <w:szCs w:val="14"/>
          <w:color w:val="auto"/>
        </w:rPr>
        <w:t>Note: * Adjusted net income per diluted share for the three months ended December 31, 2006 and 2005 and the years ended December 31, 2006 and 2005, includes the assumption that the convertible debentures were converted into shares of common stock. Accordingly, adjusted net income used in the computation of diluted adjusted net income per share for the three months ended December 31, 2006 and 2005 and the years ended December 31, 2006 and 2005, is increased by approximately $3.5 million, $3.9 million, $14.5 million and $15.7 million, respectively, of interest attributable to these debentures.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399"/>
        <w:spacing w:after="0"/>
        <w:rPr>
          <w:sz w:val="20"/>
          <w:szCs w:val="20"/>
          <w:color w:val="auto"/>
        </w:rPr>
      </w:pPr>
      <w:r>
        <w:rPr>
          <w:rFonts w:ascii="Arial" w:cs="Arial" w:eastAsia="Arial" w:hAnsi="Arial"/>
          <w:sz w:val="18"/>
          <w:szCs w:val="18"/>
          <w:b w:val="1"/>
          <w:bCs w:val="1"/>
          <w:color w:val="auto"/>
        </w:rPr>
        <w:t>RECONCILIATION OF OPERATING INCOME (LOSS) TO ADJUSTED EBITDA</w:t>
      </w:r>
    </w:p>
    <w:p>
      <w:pPr>
        <w:spacing w:after="0" w:line="9" w:lineRule="exact"/>
        <w:rPr>
          <w:sz w:val="20"/>
          <w:szCs w:val="20"/>
          <w:color w:val="auto"/>
        </w:rPr>
      </w:pPr>
    </w:p>
    <w:p>
      <w:pPr>
        <w:jc w:val="center"/>
        <w:ind w:right="1399"/>
        <w:spacing w:after="0"/>
        <w:rPr>
          <w:sz w:val="20"/>
          <w:szCs w:val="20"/>
          <w:color w:val="auto"/>
        </w:rPr>
      </w:pPr>
      <w:r>
        <w:rPr>
          <w:rFonts w:ascii="Arial" w:cs="Arial" w:eastAsia="Arial" w:hAnsi="Arial"/>
          <w:sz w:val="18"/>
          <w:szCs w:val="18"/>
          <w:b w:val="1"/>
          <w:bCs w:val="1"/>
          <w:color w:val="auto"/>
        </w:rPr>
        <w:t>AND ADJUSTED EBITDA TO NET INCOME (LOSS)</w:t>
      </w:r>
    </w:p>
    <w:p>
      <w:pPr>
        <w:spacing w:after="0" w:line="9" w:lineRule="exact"/>
        <w:rPr>
          <w:sz w:val="20"/>
          <w:szCs w:val="20"/>
          <w:color w:val="auto"/>
        </w:rPr>
      </w:pPr>
    </w:p>
    <w:p>
      <w:pPr>
        <w:jc w:val="center"/>
        <w:ind w:right="13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399"/>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2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14"/>
                <w:szCs w:val="14"/>
                <w:b w:val="1"/>
                <w:bCs w:val="1"/>
                <w:color w:val="auto"/>
                <w:w w:val="87"/>
              </w:rPr>
              <w:t>Three Months Ended December 31, 2006</w:t>
            </w: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b w:val="1"/>
                <w:bCs w:val="1"/>
                <w:color w:val="auto"/>
              </w:rPr>
              <w:t>Wynn</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9"/>
              </w:rPr>
              <w:t>Wynn Las Vegas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Macau</w:t>
            </w:r>
          </w:p>
        </w:tc>
        <w:tc>
          <w:tcPr>
            <w:tcW w:w="20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Corporate and Other</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37"/>
        </w:trPr>
        <w:tc>
          <w:tcPr>
            <w:tcW w:w="296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49,628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22,685</w:t>
            </w:r>
          </w:p>
        </w:tc>
        <w:tc>
          <w:tcPr>
            <w:tcW w:w="700" w:type="dxa"/>
            <w:vAlign w:val="bottom"/>
            <w:gridSpan w:val="2"/>
          </w:tcPr>
          <w:p>
            <w:pPr>
              <w:jc w:val="right"/>
              <w:ind w:right="37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5,880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78,193</w:t>
            </w:r>
          </w:p>
        </w:tc>
        <w:tc>
          <w:tcPr>
            <w:tcW w:w="0" w:type="dxa"/>
            <w:vAlign w:val="bottom"/>
          </w:tcPr>
          <w:p>
            <w:pPr>
              <w:spacing w:after="0"/>
              <w:rPr>
                <w:sz w:val="1"/>
                <w:szCs w:val="1"/>
                <w:color w:val="auto"/>
              </w:rPr>
            </w:pPr>
          </w:p>
        </w:tc>
      </w:tr>
      <w:tr>
        <w:trPr>
          <w:trHeight w:val="314"/>
        </w:trPr>
        <w:tc>
          <w:tcPr>
            <w:tcW w:w="2960" w:type="dxa"/>
            <w:vAlign w:val="bottom"/>
          </w:tcPr>
          <w:p>
            <w:pPr>
              <w:ind w:left="320"/>
              <w:spacing w:after="0"/>
              <w:rPr>
                <w:sz w:val="20"/>
                <w:szCs w:val="20"/>
                <w:color w:val="auto"/>
              </w:rPr>
            </w:pPr>
            <w:r>
              <w:rPr>
                <w:rFonts w:ascii="Arial" w:cs="Arial" w:eastAsia="Arial" w:hAnsi="Arial"/>
                <w:sz w:val="14"/>
                <w:szCs w:val="14"/>
                <w:color w:val="auto"/>
              </w:rPr>
              <w:t>Preopening costs</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844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(949)</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2"/>
        </w:trPr>
        <w:tc>
          <w:tcPr>
            <w:tcW w:w="2960" w:type="dxa"/>
            <w:vAlign w:val="bottom"/>
          </w:tcPr>
          <w:p>
            <w:pPr>
              <w:ind w:left="3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34,814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15,038</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815</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50,667</w:t>
            </w:r>
          </w:p>
        </w:tc>
        <w:tc>
          <w:tcPr>
            <w:tcW w:w="0" w:type="dxa"/>
            <w:vAlign w:val="bottom"/>
          </w:tcPr>
          <w:p>
            <w:pPr>
              <w:spacing w:after="0"/>
              <w:rPr>
                <w:sz w:val="1"/>
                <w:szCs w:val="1"/>
                <w:color w:val="auto"/>
              </w:rPr>
            </w:pPr>
          </w:p>
        </w:tc>
      </w:tr>
      <w:tr>
        <w:trPr>
          <w:trHeight w:val="162"/>
        </w:trPr>
        <w:tc>
          <w:tcPr>
            <w:tcW w:w="2960" w:type="dxa"/>
            <w:vAlign w:val="bottom"/>
          </w:tcPr>
          <w:p>
            <w:pPr>
              <w:ind w:left="320"/>
              <w:spacing w:after="0"/>
              <w:rPr>
                <w:sz w:val="20"/>
                <w:szCs w:val="20"/>
                <w:color w:val="auto"/>
              </w:rPr>
            </w:pPr>
            <w:r>
              <w:rPr>
                <w:rFonts w:ascii="Arial" w:cs="Arial" w:eastAsia="Arial" w:hAnsi="Arial"/>
                <w:sz w:val="14"/>
                <w:szCs w:val="14"/>
                <w:color w:val="auto"/>
              </w:rPr>
              <w:t>Property charges and other</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1,335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10,661</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11,996</w:t>
            </w:r>
          </w:p>
        </w:tc>
        <w:tc>
          <w:tcPr>
            <w:tcW w:w="0" w:type="dxa"/>
            <w:vAlign w:val="bottom"/>
          </w:tcPr>
          <w:p>
            <w:pPr>
              <w:spacing w:after="0"/>
              <w:rPr>
                <w:sz w:val="1"/>
                <w:szCs w:val="1"/>
                <w:color w:val="auto"/>
              </w:rPr>
            </w:pPr>
          </w:p>
        </w:tc>
      </w:tr>
      <w:tr>
        <w:trPr>
          <w:trHeight w:val="162"/>
        </w:trPr>
        <w:tc>
          <w:tcPr>
            <w:tcW w:w="2960" w:type="dxa"/>
            <w:vAlign w:val="bottom"/>
          </w:tcPr>
          <w:p>
            <w:pPr>
              <w:ind w:left="320"/>
              <w:spacing w:after="0"/>
              <w:rPr>
                <w:sz w:val="20"/>
                <w:szCs w:val="20"/>
                <w:color w:val="auto"/>
              </w:rPr>
            </w:pPr>
            <w:r>
              <w:rPr>
                <w:rFonts w:ascii="Arial" w:cs="Arial" w:eastAsia="Arial" w:hAnsi="Arial"/>
                <w:sz w:val="14"/>
                <w:szCs w:val="14"/>
                <w:color w:val="auto"/>
              </w:rPr>
              <w:t>Management fees and royalties</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3,024</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(7,738)</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320"/>
              <w:spacing w:after="0"/>
              <w:rPr>
                <w:sz w:val="20"/>
                <w:szCs w:val="20"/>
                <w:color w:val="auto"/>
              </w:rPr>
            </w:pPr>
            <w:r>
              <w:rPr>
                <w:rFonts w:ascii="Arial" w:cs="Arial" w:eastAsia="Arial" w:hAnsi="Arial"/>
                <w:sz w:val="14"/>
                <w:szCs w:val="14"/>
                <w:color w:val="auto"/>
              </w:rPr>
              <w:t>Corporate expenses and other</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7,636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8,196</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(657)</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15,175</w:t>
            </w:r>
          </w:p>
        </w:tc>
        <w:tc>
          <w:tcPr>
            <w:tcW w:w="0" w:type="dxa"/>
            <w:vAlign w:val="bottom"/>
          </w:tcPr>
          <w:p>
            <w:pPr>
              <w:spacing w:after="0"/>
              <w:rPr>
                <w:sz w:val="1"/>
                <w:szCs w:val="1"/>
                <w:color w:val="auto"/>
              </w:rPr>
            </w:pPr>
          </w:p>
        </w:tc>
      </w:tr>
      <w:tr>
        <w:trPr>
          <w:trHeight w:val="172"/>
        </w:trPr>
        <w:tc>
          <w:tcPr>
            <w:tcW w:w="2960" w:type="dxa"/>
            <w:vAlign w:val="bottom"/>
          </w:tcPr>
          <w:p>
            <w:pPr>
              <w:ind w:left="32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2,215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1,663</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3,767</w:t>
            </w:r>
          </w:p>
        </w:tc>
        <w:tc>
          <w:tcPr>
            <w:tcW w:w="0" w:type="dxa"/>
            <w:vAlign w:val="bottom"/>
          </w:tcPr>
          <w:p>
            <w:pPr>
              <w:spacing w:after="0"/>
              <w:rPr>
                <w:sz w:val="1"/>
                <w:szCs w:val="1"/>
                <w:color w:val="auto"/>
              </w:rPr>
            </w:pPr>
          </w:p>
        </w:tc>
      </w:tr>
      <w:tr>
        <w:trPr>
          <w:trHeight w:val="163"/>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Adjusted EBITDA </w:t>
            </w:r>
            <w:r>
              <w:rPr>
                <w:rFonts w:ascii="Arial" w:cs="Arial" w:eastAsia="Arial" w:hAnsi="Arial"/>
                <w:sz w:val="22"/>
                <w:szCs w:val="22"/>
                <w:b w:val="1"/>
                <w:bCs w:val="1"/>
                <w:color w:val="auto"/>
                <w:vertAlign w:val="superscript"/>
              </w:rPr>
              <w:t>(2)</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6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101,186</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color w:val="auto"/>
              </w:rPr>
              <w:t>58,544</w:t>
            </w:r>
          </w:p>
        </w:tc>
        <w:tc>
          <w:tcPr>
            <w:tcW w:w="700" w:type="dxa"/>
            <w:vAlign w:val="bottom"/>
            <w:gridSpan w:val="2"/>
          </w:tcPr>
          <w:p>
            <w:pPr>
              <w:jc w:val="right"/>
              <w:ind w:right="37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159,730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2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w w:val="87"/>
              </w:rPr>
              <w:t>Three Months Ended December 31, 2005</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352"/>
              <w:spacing w:after="0"/>
              <w:rPr>
                <w:sz w:val="20"/>
                <w:szCs w:val="20"/>
                <w:color w:val="auto"/>
              </w:rPr>
            </w:pPr>
            <w:r>
              <w:rPr>
                <w:rFonts w:ascii="Arial" w:cs="Arial" w:eastAsia="Arial" w:hAnsi="Arial"/>
                <w:sz w:val="14"/>
                <w:szCs w:val="14"/>
                <w:b w:val="1"/>
                <w:bCs w:val="1"/>
                <w:color w:val="auto"/>
              </w:rPr>
              <w:t>Wynn</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9"/>
              </w:rPr>
              <w:t>Wynn Las Vegas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Macau</w:t>
            </w:r>
          </w:p>
        </w:tc>
        <w:tc>
          <w:tcPr>
            <w:tcW w:w="200" w:type="dxa"/>
            <w:vAlign w:val="bottom"/>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Corporate and Other</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04"/>
        </w:trPr>
        <w:tc>
          <w:tcPr>
            <w:tcW w:w="2960" w:type="dxa"/>
            <w:vAlign w:val="bottom"/>
          </w:tcPr>
          <w:p>
            <w:pPr>
              <w:spacing w:after="0"/>
              <w:rPr>
                <w:sz w:val="20"/>
                <w:szCs w:val="20"/>
                <w:color w:val="auto"/>
              </w:rPr>
            </w:pPr>
            <w:r>
              <w:rPr>
                <w:rFonts w:ascii="Arial" w:cs="Arial" w:eastAsia="Arial" w:hAnsi="Arial"/>
                <w:sz w:val="14"/>
                <w:szCs w:val="14"/>
                <w:b w:val="1"/>
                <w:bCs w:val="1"/>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29,936</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(11,666)</w:t>
            </w:r>
          </w:p>
        </w:tc>
        <w:tc>
          <w:tcPr>
            <w:tcW w:w="700" w:type="dxa"/>
            <w:vAlign w:val="bottom"/>
            <w:gridSpan w:val="2"/>
          </w:tcPr>
          <w:p>
            <w:pPr>
              <w:jc w:val="right"/>
              <w:ind w:right="37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1,360</w:t>
            </w: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19,630</w:t>
            </w:r>
          </w:p>
        </w:tc>
        <w:tc>
          <w:tcPr>
            <w:tcW w:w="0" w:type="dxa"/>
            <w:vAlign w:val="bottom"/>
          </w:tcPr>
          <w:p>
            <w:pPr>
              <w:spacing w:after="0"/>
              <w:rPr>
                <w:sz w:val="1"/>
                <w:szCs w:val="1"/>
                <w:color w:val="auto"/>
              </w:rPr>
            </w:pPr>
          </w:p>
        </w:tc>
      </w:tr>
      <w:tr>
        <w:trPr>
          <w:trHeight w:val="300"/>
        </w:trPr>
        <w:tc>
          <w:tcPr>
            <w:tcW w:w="2960" w:type="dxa"/>
            <w:vAlign w:val="bottom"/>
          </w:tcPr>
          <w:p>
            <w:pPr>
              <w:ind w:left="320"/>
              <w:spacing w:after="0"/>
              <w:rPr>
                <w:sz w:val="20"/>
                <w:szCs w:val="20"/>
                <w:color w:val="auto"/>
              </w:rPr>
            </w:pPr>
            <w:r>
              <w:rPr>
                <w:rFonts w:ascii="Arial" w:cs="Arial" w:eastAsia="Arial" w:hAnsi="Arial"/>
                <w:sz w:val="14"/>
                <w:szCs w:val="14"/>
                <w:color w:val="auto"/>
              </w:rPr>
              <w:t>Pre-opening costs</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8,197</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8,324</w:t>
            </w:r>
          </w:p>
        </w:tc>
        <w:tc>
          <w:tcPr>
            <w:tcW w:w="0" w:type="dxa"/>
            <w:vAlign w:val="bottom"/>
          </w:tcPr>
          <w:p>
            <w:pPr>
              <w:spacing w:after="0"/>
              <w:rPr>
                <w:sz w:val="1"/>
                <w:szCs w:val="1"/>
                <w:color w:val="auto"/>
              </w:rPr>
            </w:pPr>
          </w:p>
        </w:tc>
      </w:tr>
      <w:tr>
        <w:trPr>
          <w:trHeight w:val="162"/>
        </w:trPr>
        <w:tc>
          <w:tcPr>
            <w:tcW w:w="2960" w:type="dxa"/>
            <w:vAlign w:val="bottom"/>
          </w:tcPr>
          <w:p>
            <w:pPr>
              <w:ind w:left="3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33,115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1,969</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35,839</w:t>
            </w:r>
          </w:p>
        </w:tc>
        <w:tc>
          <w:tcPr>
            <w:tcW w:w="0" w:type="dxa"/>
            <w:vAlign w:val="bottom"/>
          </w:tcPr>
          <w:p>
            <w:pPr>
              <w:spacing w:after="0"/>
              <w:rPr>
                <w:sz w:val="1"/>
                <w:szCs w:val="1"/>
                <w:color w:val="auto"/>
              </w:rPr>
            </w:pPr>
          </w:p>
        </w:tc>
      </w:tr>
      <w:tr>
        <w:trPr>
          <w:trHeight w:val="162"/>
        </w:trPr>
        <w:tc>
          <w:tcPr>
            <w:tcW w:w="2960" w:type="dxa"/>
            <w:vAlign w:val="bottom"/>
          </w:tcPr>
          <w:p>
            <w:pPr>
              <w:ind w:left="320"/>
              <w:spacing w:after="0"/>
              <w:rPr>
                <w:sz w:val="20"/>
                <w:szCs w:val="20"/>
                <w:color w:val="auto"/>
              </w:rPr>
            </w:pPr>
            <w:r>
              <w:rPr>
                <w:rFonts w:ascii="Arial" w:cs="Arial" w:eastAsia="Arial" w:hAnsi="Arial"/>
                <w:sz w:val="14"/>
                <w:szCs w:val="14"/>
                <w:color w:val="auto"/>
              </w:rPr>
              <w:t>Property charges and other</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8,136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8,136</w:t>
            </w:r>
          </w:p>
        </w:tc>
        <w:tc>
          <w:tcPr>
            <w:tcW w:w="0" w:type="dxa"/>
            <w:vAlign w:val="bottom"/>
          </w:tcPr>
          <w:p>
            <w:pPr>
              <w:spacing w:after="0"/>
              <w:rPr>
                <w:sz w:val="1"/>
                <w:szCs w:val="1"/>
                <w:color w:val="auto"/>
              </w:rPr>
            </w:pPr>
          </w:p>
        </w:tc>
      </w:tr>
      <w:tr>
        <w:trPr>
          <w:trHeight w:val="162"/>
        </w:trPr>
        <w:tc>
          <w:tcPr>
            <w:tcW w:w="2960" w:type="dxa"/>
            <w:vAlign w:val="bottom"/>
          </w:tcPr>
          <w:p>
            <w:pPr>
              <w:ind w:left="320"/>
              <w:spacing w:after="0"/>
              <w:rPr>
                <w:sz w:val="20"/>
                <w:szCs w:val="20"/>
                <w:color w:val="auto"/>
              </w:rPr>
            </w:pPr>
            <w:r>
              <w:rPr>
                <w:rFonts w:ascii="Arial" w:cs="Arial" w:eastAsia="Arial" w:hAnsi="Arial"/>
                <w:sz w:val="14"/>
                <w:szCs w:val="14"/>
                <w:color w:val="auto"/>
              </w:rPr>
              <w:t>Management fees and royalties</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4,052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1,500</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(5,552)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320"/>
              <w:spacing w:after="0"/>
              <w:rPr>
                <w:sz w:val="20"/>
                <w:szCs w:val="20"/>
                <w:color w:val="auto"/>
              </w:rPr>
            </w:pPr>
            <w:r>
              <w:rPr>
                <w:rFonts w:ascii="Arial" w:cs="Arial" w:eastAsia="Arial" w:hAnsi="Arial"/>
                <w:sz w:val="14"/>
                <w:szCs w:val="14"/>
                <w:color w:val="auto"/>
              </w:rPr>
              <w:t>Corporate expenses and other</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4,801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2,326</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7,127</w:t>
            </w:r>
          </w:p>
        </w:tc>
        <w:tc>
          <w:tcPr>
            <w:tcW w:w="0" w:type="dxa"/>
            <w:vAlign w:val="bottom"/>
          </w:tcPr>
          <w:p>
            <w:pPr>
              <w:spacing w:after="0"/>
              <w:rPr>
                <w:sz w:val="1"/>
                <w:szCs w:val="1"/>
                <w:color w:val="auto"/>
              </w:rPr>
            </w:pPr>
          </w:p>
        </w:tc>
      </w:tr>
      <w:tr>
        <w:trPr>
          <w:trHeight w:val="172"/>
        </w:trPr>
        <w:tc>
          <w:tcPr>
            <w:tcW w:w="2960" w:type="dxa"/>
            <w:vAlign w:val="bottom"/>
          </w:tcPr>
          <w:p>
            <w:pPr>
              <w:ind w:left="32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163"/>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29"/>
                <w:szCs w:val="29"/>
                <w:b w:val="1"/>
                <w:bCs w:val="1"/>
                <w:color w:val="auto"/>
                <w:vertAlign w:val="superscript"/>
              </w:rPr>
              <w:t>(2)</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96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80,067</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7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80,067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129" w:right="1440" w:bottom="0" w:gutter="0" w:footer="0" w:header="0"/>
        </w:sectPr>
      </w:pPr>
    </w:p>
    <w:bookmarkStart w:id="9" w:name="page10"/>
    <w:bookmarkEnd w:id="9"/>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2"/>
              <w:spacing w:after="0" w:line="149"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92"/>
              <w:spacing w:after="0" w:line="149" w:lineRule="exact"/>
              <w:rPr>
                <w:sz w:val="20"/>
                <w:szCs w:val="20"/>
                <w:color w:val="auto"/>
              </w:rPr>
            </w:pPr>
            <w:r>
              <w:rPr>
                <w:rFonts w:ascii="Arial" w:cs="Arial" w:eastAsia="Arial" w:hAnsi="Arial"/>
                <w:sz w:val="14"/>
                <w:szCs w:val="14"/>
                <w:b w:val="1"/>
                <w:bCs w:val="1"/>
                <w:color w:val="auto"/>
                <w:w w:val="83"/>
              </w:rPr>
              <w:t>2005</w:t>
            </w:r>
          </w:p>
        </w:tc>
        <w:tc>
          <w:tcPr>
            <w:tcW w:w="0" w:type="dxa"/>
            <w:vAlign w:val="bottom"/>
          </w:tcPr>
          <w:p>
            <w:pPr>
              <w:spacing w:after="0"/>
              <w:rPr>
                <w:sz w:val="1"/>
                <w:szCs w:val="1"/>
                <w:color w:val="auto"/>
              </w:rPr>
            </w:pPr>
          </w:p>
        </w:tc>
      </w:tr>
      <w:tr>
        <w:trPr>
          <w:trHeight w:val="536"/>
        </w:trPr>
        <w:tc>
          <w:tcPr>
            <w:tcW w:w="5880" w:type="dxa"/>
            <w:vAlign w:val="bottom"/>
          </w:tcPr>
          <w:p>
            <w:pPr>
              <w:spacing w:after="0"/>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29"/>
                <w:szCs w:val="29"/>
                <w:b w:val="1"/>
                <w:bCs w:val="1"/>
                <w:color w:val="auto"/>
                <w:vertAlign w:val="superscript"/>
              </w:rPr>
              <w:t>(2)</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159,730</w:t>
            </w:r>
          </w:p>
        </w:tc>
        <w:tc>
          <w:tcPr>
            <w:tcW w:w="660" w:type="dxa"/>
            <w:vAlign w:val="bottom"/>
            <w:gridSpan w:val="2"/>
          </w:tcPr>
          <w:p>
            <w:pPr>
              <w:jc w:val="right"/>
              <w:ind w:right="34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80,067</w:t>
            </w:r>
          </w:p>
        </w:tc>
        <w:tc>
          <w:tcPr>
            <w:tcW w:w="0" w:type="dxa"/>
            <w:vAlign w:val="bottom"/>
          </w:tcPr>
          <w:p>
            <w:pPr>
              <w:spacing w:after="0"/>
              <w:rPr>
                <w:sz w:val="1"/>
                <w:szCs w:val="1"/>
                <w:color w:val="auto"/>
              </w:rPr>
            </w:pPr>
          </w:p>
        </w:tc>
      </w:tr>
      <w:tr>
        <w:trPr>
          <w:trHeight w:val="162"/>
        </w:trPr>
        <w:tc>
          <w:tcPr>
            <w:tcW w:w="5880" w:type="dxa"/>
            <w:vAlign w:val="bottom"/>
          </w:tcPr>
          <w:p>
            <w:pPr>
              <w:ind w:left="300"/>
              <w:spacing w:after="0"/>
              <w:rPr>
                <w:sz w:val="20"/>
                <w:szCs w:val="20"/>
                <w:color w:val="auto"/>
              </w:rPr>
            </w:pPr>
            <w:r>
              <w:rPr>
                <w:rFonts w:ascii="Arial" w:cs="Arial" w:eastAsia="Arial" w:hAnsi="Arial"/>
                <w:sz w:val="14"/>
                <w:szCs w:val="14"/>
                <w:color w:val="auto"/>
              </w:rPr>
              <w:t>Pre-opening costs</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(8,324)</w:t>
            </w:r>
          </w:p>
        </w:tc>
        <w:tc>
          <w:tcPr>
            <w:tcW w:w="0" w:type="dxa"/>
            <w:vAlign w:val="bottom"/>
          </w:tcPr>
          <w:p>
            <w:pPr>
              <w:spacing w:after="0"/>
              <w:rPr>
                <w:sz w:val="1"/>
                <w:szCs w:val="1"/>
                <w:color w:val="auto"/>
              </w:rPr>
            </w:pPr>
          </w:p>
        </w:tc>
      </w:tr>
      <w:tr>
        <w:trPr>
          <w:trHeight w:val="162"/>
        </w:trPr>
        <w:tc>
          <w:tcPr>
            <w:tcW w:w="588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(50,667)</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(35,839)</w:t>
            </w:r>
          </w:p>
        </w:tc>
        <w:tc>
          <w:tcPr>
            <w:tcW w:w="0" w:type="dxa"/>
            <w:vAlign w:val="bottom"/>
          </w:tcPr>
          <w:p>
            <w:pPr>
              <w:spacing w:after="0"/>
              <w:rPr>
                <w:sz w:val="1"/>
                <w:szCs w:val="1"/>
                <w:color w:val="auto"/>
              </w:rPr>
            </w:pPr>
          </w:p>
        </w:tc>
      </w:tr>
      <w:tr>
        <w:trPr>
          <w:trHeight w:val="162"/>
        </w:trPr>
        <w:tc>
          <w:tcPr>
            <w:tcW w:w="5880" w:type="dxa"/>
            <w:vAlign w:val="bottom"/>
          </w:tcPr>
          <w:p>
            <w:pPr>
              <w:ind w:left="300"/>
              <w:spacing w:after="0"/>
              <w:rPr>
                <w:sz w:val="20"/>
                <w:szCs w:val="20"/>
                <w:color w:val="auto"/>
              </w:rPr>
            </w:pPr>
            <w:r>
              <w:rPr>
                <w:rFonts w:ascii="Arial" w:cs="Arial" w:eastAsia="Arial" w:hAnsi="Arial"/>
                <w:sz w:val="14"/>
                <w:szCs w:val="14"/>
                <w:color w:val="auto"/>
              </w:rPr>
              <w:t>Property charges and other</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(11,996)</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(8,136)</w:t>
            </w:r>
          </w:p>
        </w:tc>
        <w:tc>
          <w:tcPr>
            <w:tcW w:w="0" w:type="dxa"/>
            <w:vAlign w:val="bottom"/>
          </w:tcPr>
          <w:p>
            <w:pPr>
              <w:spacing w:after="0"/>
              <w:rPr>
                <w:sz w:val="1"/>
                <w:szCs w:val="1"/>
                <w:color w:val="auto"/>
              </w:rPr>
            </w:pPr>
          </w:p>
        </w:tc>
      </w:tr>
      <w:tr>
        <w:trPr>
          <w:trHeight w:val="162"/>
        </w:trPr>
        <w:tc>
          <w:tcPr>
            <w:tcW w:w="5880" w:type="dxa"/>
            <w:vAlign w:val="bottom"/>
          </w:tcPr>
          <w:p>
            <w:pPr>
              <w:ind w:left="300"/>
              <w:spacing w:after="0"/>
              <w:rPr>
                <w:sz w:val="20"/>
                <w:szCs w:val="20"/>
                <w:color w:val="auto"/>
              </w:rPr>
            </w:pPr>
            <w:r>
              <w:rPr>
                <w:rFonts w:ascii="Arial" w:cs="Arial" w:eastAsia="Arial" w:hAnsi="Arial"/>
                <w:sz w:val="14"/>
                <w:szCs w:val="14"/>
                <w:color w:val="auto"/>
              </w:rPr>
              <w:t>Corporate expenses and other</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(15,175)</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(7,127)</w:t>
            </w:r>
          </w:p>
        </w:tc>
        <w:tc>
          <w:tcPr>
            <w:tcW w:w="0" w:type="dxa"/>
            <w:vAlign w:val="bottom"/>
          </w:tcPr>
          <w:p>
            <w:pPr>
              <w:spacing w:after="0"/>
              <w:rPr>
                <w:sz w:val="1"/>
                <w:szCs w:val="1"/>
                <w:color w:val="auto"/>
              </w:rPr>
            </w:pPr>
          </w:p>
        </w:tc>
      </w:tr>
      <w:tr>
        <w:trPr>
          <w:trHeight w:val="162"/>
        </w:trPr>
        <w:tc>
          <w:tcPr>
            <w:tcW w:w="5880" w:type="dxa"/>
            <w:vAlign w:val="bottom"/>
          </w:tcPr>
          <w:p>
            <w:pPr>
              <w:ind w:left="30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(3,767)</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162"/>
        </w:trPr>
        <w:tc>
          <w:tcPr>
            <w:tcW w:w="5880" w:type="dxa"/>
            <w:vAlign w:val="bottom"/>
          </w:tcPr>
          <w:p>
            <w:pPr>
              <w:ind w:left="300"/>
              <w:spacing w:after="0"/>
              <w:rPr>
                <w:sz w:val="20"/>
                <w:szCs w:val="20"/>
                <w:color w:val="auto"/>
              </w:rPr>
            </w:pPr>
            <w:r>
              <w:rPr>
                <w:rFonts w:ascii="Arial" w:cs="Arial" w:eastAsia="Arial" w:hAnsi="Arial"/>
                <w:sz w:val="14"/>
                <w:szCs w:val="14"/>
                <w:color w:val="auto"/>
              </w:rPr>
              <w:t>Interest and other income</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16,868</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7,635</w:t>
            </w:r>
          </w:p>
        </w:tc>
        <w:tc>
          <w:tcPr>
            <w:tcW w:w="0" w:type="dxa"/>
            <w:vAlign w:val="bottom"/>
          </w:tcPr>
          <w:p>
            <w:pPr>
              <w:spacing w:after="0"/>
              <w:rPr>
                <w:sz w:val="1"/>
                <w:szCs w:val="1"/>
                <w:color w:val="auto"/>
              </w:rPr>
            </w:pPr>
          </w:p>
        </w:tc>
      </w:tr>
      <w:tr>
        <w:trPr>
          <w:trHeight w:val="162"/>
        </w:trPr>
        <w:tc>
          <w:tcPr>
            <w:tcW w:w="588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(39,799)</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(37,269)</w:t>
            </w:r>
          </w:p>
        </w:tc>
        <w:tc>
          <w:tcPr>
            <w:tcW w:w="0" w:type="dxa"/>
            <w:vAlign w:val="bottom"/>
          </w:tcPr>
          <w:p>
            <w:pPr>
              <w:spacing w:after="0"/>
              <w:rPr>
                <w:sz w:val="1"/>
                <w:szCs w:val="1"/>
                <w:color w:val="auto"/>
              </w:rPr>
            </w:pPr>
          </w:p>
        </w:tc>
      </w:tr>
      <w:tr>
        <w:trPr>
          <w:trHeight w:val="162"/>
        </w:trPr>
        <w:tc>
          <w:tcPr>
            <w:tcW w:w="5880" w:type="dxa"/>
            <w:vAlign w:val="bottom"/>
          </w:tcPr>
          <w:p>
            <w:pPr>
              <w:ind w:left="300"/>
              <w:spacing w:after="0"/>
              <w:rPr>
                <w:sz w:val="20"/>
                <w:szCs w:val="20"/>
                <w:color w:val="auto"/>
              </w:rPr>
            </w:pPr>
            <w:r>
              <w:rPr>
                <w:rFonts w:ascii="Arial" w:cs="Arial" w:eastAsia="Arial" w:hAnsi="Arial"/>
                <w:sz w:val="14"/>
                <w:szCs w:val="14"/>
                <w:color w:val="auto"/>
              </w:rPr>
              <w:t>Increase (decrease) in swap fair value</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(639)</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62"/>
        </w:trPr>
        <w:tc>
          <w:tcPr>
            <w:tcW w:w="5880" w:type="dxa"/>
            <w:vAlign w:val="bottom"/>
          </w:tcPr>
          <w:p>
            <w:pPr>
              <w:ind w:left="300"/>
              <w:spacing w:after="0"/>
              <w:rPr>
                <w:sz w:val="20"/>
                <w:szCs w:val="20"/>
                <w:color w:val="auto"/>
              </w:rPr>
            </w:pPr>
            <w:r>
              <w:rPr>
                <w:rFonts w:ascii="Arial" w:cs="Arial" w:eastAsia="Arial" w:hAnsi="Arial"/>
                <w:sz w:val="14"/>
                <w:szCs w:val="14"/>
                <w:color w:val="auto"/>
              </w:rPr>
              <w:t>Loss on extinguishment of debt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(1,775)</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80" w:type="dxa"/>
            <w:vAlign w:val="bottom"/>
          </w:tcPr>
          <w:p>
            <w:pPr>
              <w:ind w:left="300"/>
              <w:spacing w:after="0"/>
              <w:rPr>
                <w:sz w:val="20"/>
                <w:szCs w:val="20"/>
                <w:color w:val="auto"/>
              </w:rPr>
            </w:pPr>
            <w:r>
              <w:rPr>
                <w:rFonts w:ascii="Arial" w:cs="Arial" w:eastAsia="Arial" w:hAnsi="Arial"/>
                <w:sz w:val="14"/>
                <w:szCs w:val="14"/>
                <w:color w:val="auto"/>
              </w:rPr>
              <w:t>Distribution to convertible debenture holders</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(58,477)</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5880" w:type="dxa"/>
            <w:vAlign w:val="bottom"/>
          </w:tcPr>
          <w:p>
            <w:pPr>
              <w:ind w:left="300"/>
              <w:spacing w:after="0"/>
              <w:rPr>
                <w:sz w:val="20"/>
                <w:szCs w:val="20"/>
                <w:color w:val="auto"/>
              </w:rPr>
            </w:pPr>
            <w:r>
              <w:rPr>
                <w:rFonts w:ascii="Arial" w:cs="Arial" w:eastAsia="Arial" w:hAnsi="Arial"/>
                <w:sz w:val="14"/>
                <w:szCs w:val="14"/>
                <w:color w:val="auto"/>
              </w:rPr>
              <w:t>Provision for income taxes</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(49,795)</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5880" w:type="dxa"/>
            <w:vAlign w:val="bottom"/>
            <w:vMerge w:val="restart"/>
          </w:tcPr>
          <w:p>
            <w:pPr>
              <w:spacing w:after="0"/>
              <w:rPr>
                <w:sz w:val="20"/>
                <w:szCs w:val="20"/>
                <w:color w:val="auto"/>
              </w:rPr>
            </w:pPr>
            <w:r>
              <w:rPr>
                <w:rFonts w:ascii="Arial" w:cs="Arial" w:eastAsia="Arial" w:hAnsi="Arial"/>
                <w:sz w:val="14"/>
                <w:szCs w:val="14"/>
                <w:b w:val="1"/>
                <w:bCs w:val="1"/>
                <w:color w:val="auto"/>
              </w:rPr>
              <w:t>Net Loss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(55,424)</w:t>
            </w:r>
          </w:p>
        </w:tc>
        <w:tc>
          <w:tcPr>
            <w:tcW w:w="2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(9,885)</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619"/>
        <w:spacing w:after="0"/>
        <w:rPr>
          <w:sz w:val="20"/>
          <w:szCs w:val="20"/>
          <w:color w:val="auto"/>
        </w:rPr>
      </w:pPr>
      <w:r>
        <w:rPr>
          <w:rFonts w:ascii="Arial" w:cs="Arial" w:eastAsia="Arial" w:hAnsi="Arial"/>
          <w:sz w:val="18"/>
          <w:szCs w:val="18"/>
          <w:b w:val="1"/>
          <w:bCs w:val="1"/>
          <w:color w:val="auto"/>
        </w:rPr>
        <w:t>RECONCILIATION OF OPERATING INCOME (LOSS) TO ADJUSTED EBITDA</w:t>
      </w:r>
    </w:p>
    <w:p>
      <w:pPr>
        <w:spacing w:after="0" w:line="9" w:lineRule="exact"/>
        <w:rPr>
          <w:sz w:val="20"/>
          <w:szCs w:val="20"/>
          <w:color w:val="auto"/>
        </w:rPr>
      </w:pPr>
    </w:p>
    <w:p>
      <w:pPr>
        <w:jc w:val="center"/>
        <w:ind w:right="1619"/>
        <w:spacing w:after="0"/>
        <w:rPr>
          <w:sz w:val="20"/>
          <w:szCs w:val="20"/>
          <w:color w:val="auto"/>
        </w:rPr>
      </w:pPr>
      <w:r>
        <w:rPr>
          <w:rFonts w:ascii="Arial" w:cs="Arial" w:eastAsia="Arial" w:hAnsi="Arial"/>
          <w:sz w:val="18"/>
          <w:szCs w:val="18"/>
          <w:b w:val="1"/>
          <w:bCs w:val="1"/>
          <w:color w:val="auto"/>
        </w:rPr>
        <w:t>AND ADJUSTED EBITDA TO NET INCOME (LOSS)</w:t>
      </w:r>
    </w:p>
    <w:p>
      <w:pPr>
        <w:spacing w:after="0" w:line="9" w:lineRule="exact"/>
        <w:rPr>
          <w:sz w:val="20"/>
          <w:szCs w:val="20"/>
          <w:color w:val="auto"/>
        </w:rPr>
      </w:pPr>
    </w:p>
    <w:p>
      <w:pPr>
        <w:jc w:val="center"/>
        <w:ind w:right="161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619"/>
        <w:spacing w:after="0"/>
        <w:rPr>
          <w:sz w:val="20"/>
          <w:szCs w:val="20"/>
          <w:color w:val="auto"/>
        </w:rPr>
      </w:pPr>
      <w:r>
        <w:rPr>
          <w:rFonts w:ascii="Arial" w:cs="Arial" w:eastAsia="Arial" w:hAnsi="Arial"/>
          <w:sz w:val="18"/>
          <w:szCs w:val="18"/>
          <w:b w:val="1"/>
          <w:bCs w:val="1"/>
          <w:color w:val="auto"/>
        </w:rPr>
        <w:t>(unaudited)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December 31, 2006</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Wynn Las</w:t>
            </w:r>
          </w:p>
        </w:tc>
        <w:tc>
          <w:tcPr>
            <w:tcW w:w="280" w:type="dxa"/>
            <w:vAlign w:val="bottom"/>
          </w:tcPr>
          <w:p>
            <w:pPr>
              <w:spacing w:after="0"/>
              <w:rPr>
                <w:sz w:val="11"/>
                <w:szCs w:val="11"/>
                <w:color w:val="auto"/>
              </w:rPr>
            </w:pPr>
          </w:p>
        </w:tc>
        <w:tc>
          <w:tcPr>
            <w:tcW w:w="118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Wynn</w:t>
            </w:r>
          </w:p>
        </w:tc>
        <w:tc>
          <w:tcPr>
            <w:tcW w:w="240" w:type="dxa"/>
            <w:vAlign w:val="bottom"/>
          </w:tcPr>
          <w:p>
            <w:pPr>
              <w:spacing w:after="0"/>
              <w:rPr>
                <w:sz w:val="11"/>
                <w:szCs w:val="11"/>
                <w:color w:val="auto"/>
              </w:rPr>
            </w:pPr>
          </w:p>
        </w:tc>
        <w:tc>
          <w:tcPr>
            <w:tcW w:w="11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7"/>
              </w:rPr>
              <w:t>Vegas</w:t>
            </w:r>
          </w:p>
        </w:tc>
        <w:tc>
          <w:tcPr>
            <w:tcW w:w="28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Macau</w:t>
            </w:r>
          </w:p>
        </w:tc>
        <w:tc>
          <w:tcPr>
            <w:tcW w:w="24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3340" w:type="dxa"/>
            <w:vAlign w:val="bottom"/>
          </w:tcPr>
          <w:p>
            <w:pPr>
              <w:spacing w:after="0"/>
              <w:rPr>
                <w:sz w:val="20"/>
                <w:szCs w:val="20"/>
                <w:color w:val="auto"/>
              </w:rPr>
            </w:pPr>
            <w:r>
              <w:rPr>
                <w:rFonts w:ascii="Arial" w:cs="Arial" w:eastAsia="Arial" w:hAnsi="Arial"/>
                <w:sz w:val="14"/>
                <w:szCs w:val="14"/>
                <w:b w:val="1"/>
                <w:bCs w:val="1"/>
                <w:color w:val="auto"/>
              </w:rPr>
              <w:t>Operating income (loss)</w:t>
            </w: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116,456</w:t>
            </w:r>
          </w:p>
        </w:tc>
        <w:tc>
          <w:tcPr>
            <w:tcW w:w="120" w:type="dxa"/>
            <w:vAlign w:val="bottom"/>
          </w:tcPr>
          <w:p>
            <w:pPr>
              <w:spacing w:after="0"/>
              <w:rPr>
                <w:sz w:val="24"/>
                <w:szCs w:val="24"/>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(53,385)</w:t>
            </w:r>
          </w:p>
        </w:tc>
        <w:tc>
          <w:tcPr>
            <w:tcW w:w="220" w:type="dxa"/>
            <w:vAlign w:val="bottom"/>
          </w:tcPr>
          <w:p>
            <w:pPr>
              <w:spacing w:after="0"/>
              <w:rPr>
                <w:sz w:val="24"/>
                <w:szCs w:val="24"/>
                <w:color w:val="auto"/>
              </w:rPr>
            </w:pPr>
          </w:p>
        </w:tc>
        <w:tc>
          <w:tcPr>
            <w:tcW w:w="2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7,828</w:t>
            </w:r>
          </w:p>
        </w:tc>
        <w:tc>
          <w:tcPr>
            <w:tcW w:w="140" w:type="dxa"/>
            <w:vAlign w:val="bottom"/>
          </w:tcPr>
          <w:p>
            <w:pPr>
              <w:spacing w:after="0"/>
              <w:rPr>
                <w:sz w:val="24"/>
                <w:szCs w:val="24"/>
                <w:color w:val="auto"/>
              </w:rPr>
            </w:pPr>
          </w:p>
        </w:tc>
        <w:tc>
          <w:tcPr>
            <w:tcW w:w="2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70,899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340" w:type="dxa"/>
            <w:vAlign w:val="bottom"/>
          </w:tcPr>
          <w:p>
            <w:pPr>
              <w:ind w:left="280"/>
              <w:spacing w:after="0"/>
              <w:rPr>
                <w:sz w:val="20"/>
                <w:szCs w:val="20"/>
                <w:color w:val="auto"/>
              </w:rPr>
            </w:pPr>
            <w:r>
              <w:rPr>
                <w:rFonts w:ascii="Arial" w:cs="Arial" w:eastAsia="Arial" w:hAnsi="Arial"/>
                <w:sz w:val="14"/>
                <w:szCs w:val="14"/>
                <w:color w:val="auto"/>
              </w:rPr>
              <w:t>Preopening costs</w:t>
            </w:r>
          </w:p>
        </w:tc>
        <w:tc>
          <w:tcPr>
            <w:tcW w:w="20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60,543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163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62,726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147,607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24,679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3178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175,464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280"/>
              <w:spacing w:after="0"/>
              <w:rPr>
                <w:sz w:val="20"/>
                <w:szCs w:val="20"/>
                <w:color w:val="auto"/>
              </w:rPr>
            </w:pPr>
            <w:r>
              <w:rPr>
                <w:rFonts w:ascii="Arial" w:cs="Arial" w:eastAsia="Arial" w:hAnsi="Arial"/>
                <w:sz w:val="14"/>
                <w:szCs w:val="14"/>
                <w:color w:val="auto"/>
              </w:rPr>
              <w:t>Property charges and other</w:t>
            </w:r>
          </w:p>
        </w:tc>
        <w:tc>
          <w:tcPr>
            <w:tcW w:w="20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14,399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10,661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25,060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280"/>
              <w:spacing w:after="0"/>
              <w:rPr>
                <w:sz w:val="20"/>
                <w:szCs w:val="20"/>
                <w:color w:val="auto"/>
              </w:rPr>
            </w:pPr>
            <w:r>
              <w:rPr>
                <w:rFonts w:ascii="Arial" w:cs="Arial" w:eastAsia="Arial" w:hAnsi="Arial"/>
                <w:sz w:val="14"/>
                <w:szCs w:val="14"/>
                <w:color w:val="auto"/>
              </w:rPr>
              <w:t>Contract termination fee</w:t>
            </w:r>
          </w:p>
        </w:tc>
        <w:tc>
          <w:tcPr>
            <w:tcW w:w="20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280"/>
              <w:spacing w:after="0"/>
              <w:rPr>
                <w:sz w:val="20"/>
                <w:szCs w:val="20"/>
                <w:color w:val="auto"/>
              </w:rPr>
            </w:pPr>
            <w:r>
              <w:rPr>
                <w:rFonts w:ascii="Arial" w:cs="Arial" w:eastAsia="Arial" w:hAnsi="Arial"/>
                <w:sz w:val="14"/>
                <w:szCs w:val="14"/>
                <w:color w:val="auto"/>
              </w:rPr>
              <w:t>Management fees and royalties</w:t>
            </w:r>
          </w:p>
        </w:tc>
        <w:tc>
          <w:tcPr>
            <w:tcW w:w="20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17,091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7,621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(24,712)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280"/>
              <w:spacing w:after="0"/>
              <w:rPr>
                <w:sz w:val="20"/>
                <w:szCs w:val="20"/>
                <w:color w:val="auto"/>
              </w:rPr>
            </w:pPr>
            <w:r>
              <w:rPr>
                <w:rFonts w:ascii="Arial" w:cs="Arial" w:eastAsia="Arial" w:hAnsi="Arial"/>
                <w:sz w:val="14"/>
                <w:szCs w:val="14"/>
                <w:color w:val="auto"/>
              </w:rPr>
              <w:t>Corporate expenses and other</w:t>
            </w:r>
          </w:p>
        </w:tc>
        <w:tc>
          <w:tcPr>
            <w:tcW w:w="20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22,047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10,046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6,943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39,036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8,133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672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6,600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15,405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29"/>
                <w:szCs w:val="29"/>
                <w:b w:val="1"/>
                <w:bCs w:val="1"/>
                <w:color w:val="auto"/>
                <w:vertAlign w:val="superscript"/>
              </w:rPr>
              <w:t>(2)</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34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332,753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60,837</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393,590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Year Ended December 31, 2005</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0"/>
              </w:rPr>
              <w:t>Wynn Las</w:t>
            </w:r>
          </w:p>
        </w:tc>
        <w:tc>
          <w:tcPr>
            <w:tcW w:w="280" w:type="dxa"/>
            <w:vAlign w:val="bottom"/>
          </w:tcPr>
          <w:p>
            <w:pPr>
              <w:spacing w:after="0"/>
              <w:rPr>
                <w:sz w:val="12"/>
                <w:szCs w:val="12"/>
                <w:color w:val="auto"/>
              </w:rPr>
            </w:pPr>
          </w:p>
        </w:tc>
        <w:tc>
          <w:tcPr>
            <w:tcW w:w="11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w w:val="89"/>
              </w:rPr>
              <w:t>Wynn</w:t>
            </w:r>
          </w:p>
        </w:tc>
        <w:tc>
          <w:tcPr>
            <w:tcW w:w="240" w:type="dxa"/>
            <w:vAlign w:val="bottom"/>
          </w:tcPr>
          <w:p>
            <w:pPr>
              <w:spacing w:after="0"/>
              <w:rPr>
                <w:sz w:val="12"/>
                <w:szCs w:val="12"/>
                <w:color w:val="auto"/>
              </w:rPr>
            </w:pPr>
          </w:p>
        </w:tc>
        <w:tc>
          <w:tcPr>
            <w:tcW w:w="116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7"/>
              </w:rPr>
              <w:t>Vegas</w:t>
            </w:r>
          </w:p>
        </w:tc>
        <w:tc>
          <w:tcPr>
            <w:tcW w:w="28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Macau</w:t>
            </w:r>
          </w:p>
        </w:tc>
        <w:tc>
          <w:tcPr>
            <w:tcW w:w="24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04"/>
        </w:trPr>
        <w:tc>
          <w:tcPr>
            <w:tcW w:w="3340" w:type="dxa"/>
            <w:vAlign w:val="bottom"/>
          </w:tcPr>
          <w:p>
            <w:pPr>
              <w:spacing w:after="0"/>
              <w:rPr>
                <w:sz w:val="20"/>
                <w:szCs w:val="20"/>
                <w:color w:val="auto"/>
              </w:rPr>
            </w:pPr>
            <w:r>
              <w:rPr>
                <w:rFonts w:ascii="Arial" w:cs="Arial" w:eastAsia="Arial" w:hAnsi="Arial"/>
                <w:sz w:val="14"/>
                <w:szCs w:val="14"/>
                <w:b w:val="1"/>
                <w:bCs w:val="1"/>
                <w:color w:val="auto"/>
              </w:rPr>
              <w:t>Operating income (loss)</w:t>
            </w: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12,709</w:t>
            </w:r>
          </w:p>
        </w:tc>
        <w:tc>
          <w:tcPr>
            <w:tcW w:w="120" w:type="dxa"/>
            <w:vAlign w:val="bottom"/>
          </w:tcPr>
          <w:p>
            <w:pPr>
              <w:spacing w:after="0"/>
              <w:rPr>
                <w:sz w:val="24"/>
                <w:szCs w:val="24"/>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(32,831)</w:t>
            </w:r>
          </w:p>
        </w:tc>
        <w:tc>
          <w:tcPr>
            <w:tcW w:w="220" w:type="dxa"/>
            <w:vAlign w:val="bottom"/>
          </w:tcPr>
          <w:p>
            <w:pPr>
              <w:spacing w:after="0"/>
              <w:rPr>
                <w:sz w:val="24"/>
                <w:szCs w:val="24"/>
                <w:color w:val="auto"/>
              </w:rPr>
            </w:pPr>
          </w:p>
        </w:tc>
        <w:tc>
          <w:tcPr>
            <w:tcW w:w="2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(4,434)</w:t>
            </w:r>
          </w:p>
        </w:tc>
        <w:tc>
          <w:tcPr>
            <w:tcW w:w="140" w:type="dxa"/>
            <w:vAlign w:val="bottom"/>
          </w:tcPr>
          <w:p>
            <w:pPr>
              <w:spacing w:after="0"/>
              <w:rPr>
                <w:sz w:val="24"/>
                <w:szCs w:val="24"/>
                <w:color w:val="auto"/>
              </w:rPr>
            </w:pPr>
          </w:p>
        </w:tc>
        <w:tc>
          <w:tcPr>
            <w:tcW w:w="2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(24,556)</w:t>
            </w:r>
          </w:p>
        </w:tc>
        <w:tc>
          <w:tcPr>
            <w:tcW w:w="0" w:type="dxa"/>
            <w:vAlign w:val="bottom"/>
          </w:tcPr>
          <w:p>
            <w:pPr>
              <w:spacing w:after="0"/>
              <w:rPr>
                <w:sz w:val="1"/>
                <w:szCs w:val="1"/>
                <w:color w:val="auto"/>
              </w:rPr>
            </w:pPr>
          </w:p>
        </w:tc>
      </w:tr>
      <w:tr>
        <w:trPr>
          <w:trHeight w:val="300"/>
        </w:trPr>
        <w:tc>
          <w:tcPr>
            <w:tcW w:w="3340" w:type="dxa"/>
            <w:vAlign w:val="bottom"/>
          </w:tcPr>
          <w:p>
            <w:pPr>
              <w:ind w:left="280"/>
              <w:spacing w:after="0"/>
              <w:rPr>
                <w:sz w:val="20"/>
                <w:szCs w:val="20"/>
                <w:color w:val="auto"/>
              </w:rPr>
            </w:pPr>
            <w:r>
              <w:rPr>
                <w:rFonts w:ascii="Arial" w:cs="Arial" w:eastAsia="Arial" w:hAnsi="Arial"/>
                <w:sz w:val="14"/>
                <w:szCs w:val="14"/>
                <w:color w:val="auto"/>
              </w:rPr>
              <w:t>Pre-opening costs</w:t>
            </w:r>
          </w:p>
        </w:tc>
        <w:tc>
          <w:tcPr>
            <w:tcW w:w="20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67,454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20,402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9,084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96,940</w:t>
            </w:r>
          </w:p>
        </w:tc>
        <w:tc>
          <w:tcPr>
            <w:tcW w:w="0" w:type="dxa"/>
            <w:vAlign w:val="bottom"/>
          </w:tcPr>
          <w:p>
            <w:pPr>
              <w:spacing w:after="0"/>
              <w:rPr>
                <w:sz w:val="1"/>
                <w:szCs w:val="1"/>
                <w:color w:val="auto"/>
              </w:rPr>
            </w:pPr>
          </w:p>
        </w:tc>
      </w:tr>
      <w:tr>
        <w:trPr>
          <w:trHeight w:val="162"/>
        </w:trPr>
        <w:tc>
          <w:tcPr>
            <w:tcW w:w="33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94,297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6,429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2,618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103,344</w:t>
            </w:r>
          </w:p>
        </w:tc>
        <w:tc>
          <w:tcPr>
            <w:tcW w:w="0" w:type="dxa"/>
            <w:vAlign w:val="bottom"/>
          </w:tcPr>
          <w:p>
            <w:pPr>
              <w:spacing w:after="0"/>
              <w:rPr>
                <w:sz w:val="1"/>
                <w:szCs w:val="1"/>
                <w:color w:val="auto"/>
              </w:rPr>
            </w:pPr>
          </w:p>
        </w:tc>
      </w:tr>
      <w:tr>
        <w:trPr>
          <w:trHeight w:val="162"/>
        </w:trPr>
        <w:tc>
          <w:tcPr>
            <w:tcW w:w="3340" w:type="dxa"/>
            <w:vAlign w:val="bottom"/>
          </w:tcPr>
          <w:p>
            <w:pPr>
              <w:ind w:left="280"/>
              <w:spacing w:after="0"/>
              <w:rPr>
                <w:sz w:val="20"/>
                <w:szCs w:val="20"/>
                <w:color w:val="auto"/>
              </w:rPr>
            </w:pPr>
            <w:r>
              <w:rPr>
                <w:rFonts w:ascii="Arial" w:cs="Arial" w:eastAsia="Arial" w:hAnsi="Arial"/>
                <w:sz w:val="14"/>
                <w:szCs w:val="14"/>
                <w:color w:val="auto"/>
              </w:rPr>
              <w:t>Property charges and other</w:t>
            </w:r>
          </w:p>
        </w:tc>
        <w:tc>
          <w:tcPr>
            <w:tcW w:w="20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14,183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114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14,297</w:t>
            </w:r>
          </w:p>
        </w:tc>
        <w:tc>
          <w:tcPr>
            <w:tcW w:w="0" w:type="dxa"/>
            <w:vAlign w:val="bottom"/>
          </w:tcPr>
          <w:p>
            <w:pPr>
              <w:spacing w:after="0"/>
              <w:rPr>
                <w:sz w:val="1"/>
                <w:szCs w:val="1"/>
                <w:color w:val="auto"/>
              </w:rPr>
            </w:pPr>
          </w:p>
        </w:tc>
      </w:tr>
      <w:tr>
        <w:trPr>
          <w:trHeight w:val="162"/>
        </w:trPr>
        <w:tc>
          <w:tcPr>
            <w:tcW w:w="3340" w:type="dxa"/>
            <w:vAlign w:val="bottom"/>
          </w:tcPr>
          <w:p>
            <w:pPr>
              <w:ind w:left="280"/>
              <w:spacing w:after="0"/>
              <w:rPr>
                <w:sz w:val="20"/>
                <w:szCs w:val="20"/>
                <w:color w:val="auto"/>
              </w:rPr>
            </w:pPr>
            <w:r>
              <w:rPr>
                <w:rFonts w:ascii="Arial" w:cs="Arial" w:eastAsia="Arial" w:hAnsi="Arial"/>
                <w:sz w:val="14"/>
                <w:szCs w:val="14"/>
                <w:color w:val="auto"/>
              </w:rPr>
              <w:t>Management fees and royalties</w:t>
            </w:r>
          </w:p>
        </w:tc>
        <w:tc>
          <w:tcPr>
            <w:tcW w:w="20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10,836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6,000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(16,836)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40" w:type="dxa"/>
            <w:vAlign w:val="bottom"/>
          </w:tcPr>
          <w:p>
            <w:pPr>
              <w:ind w:left="280"/>
              <w:spacing w:after="0"/>
              <w:rPr>
                <w:sz w:val="20"/>
                <w:szCs w:val="20"/>
                <w:color w:val="auto"/>
              </w:rPr>
            </w:pPr>
            <w:r>
              <w:rPr>
                <w:rFonts w:ascii="Arial" w:cs="Arial" w:eastAsia="Arial" w:hAnsi="Arial"/>
                <w:sz w:val="14"/>
                <w:szCs w:val="14"/>
                <w:color w:val="auto"/>
              </w:rPr>
              <w:t>Corporate expenses and other</w:t>
            </w:r>
          </w:p>
        </w:tc>
        <w:tc>
          <w:tcPr>
            <w:tcW w:w="20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12,528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6,511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19,039</w:t>
            </w:r>
          </w:p>
        </w:tc>
        <w:tc>
          <w:tcPr>
            <w:tcW w:w="0" w:type="dxa"/>
            <w:vAlign w:val="bottom"/>
          </w:tcPr>
          <w:p>
            <w:pPr>
              <w:spacing w:after="0"/>
              <w:rPr>
                <w:sz w:val="1"/>
                <w:szCs w:val="1"/>
                <w:color w:val="auto"/>
              </w:rPr>
            </w:pPr>
          </w:p>
        </w:tc>
      </w:tr>
      <w:tr>
        <w:trPr>
          <w:trHeight w:val="172"/>
        </w:trPr>
        <w:tc>
          <w:tcPr>
            <w:tcW w:w="334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2,943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2,943</w:t>
            </w:r>
          </w:p>
        </w:tc>
        <w:tc>
          <w:tcPr>
            <w:tcW w:w="0" w:type="dxa"/>
            <w:vAlign w:val="bottom"/>
          </w:tcPr>
          <w:p>
            <w:pPr>
              <w:spacing w:after="0"/>
              <w:rPr>
                <w:sz w:val="1"/>
                <w:szCs w:val="1"/>
                <w:color w:val="auto"/>
              </w:rPr>
            </w:pPr>
          </w:p>
        </w:tc>
      </w:tr>
      <w:tr>
        <w:trPr>
          <w:trHeight w:val="149"/>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29"/>
                <w:szCs w:val="29"/>
                <w:b w:val="1"/>
                <w:bCs w:val="1"/>
                <w:color w:val="auto"/>
                <w:vertAlign w:val="superscript"/>
              </w:rPr>
              <w:t>(2)</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34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212,007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212,007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r>
      <w:tr>
        <w:trPr>
          <w:trHeight w:val="161"/>
        </w:trPr>
        <w:tc>
          <w:tcPr>
            <w:tcW w:w="6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r>
      <w:tr>
        <w:trPr>
          <w:trHeight w:val="156"/>
        </w:trPr>
        <w:tc>
          <w:tcPr>
            <w:tcW w:w="60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2005</w:t>
            </w:r>
          </w:p>
        </w:tc>
      </w:tr>
      <w:tr>
        <w:trPr>
          <w:trHeight w:val="557"/>
        </w:trPr>
        <w:tc>
          <w:tcPr>
            <w:tcW w:w="6080" w:type="dxa"/>
            <w:vAlign w:val="bottom"/>
          </w:tcPr>
          <w:p>
            <w:pPr>
              <w:spacing w:after="0"/>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29"/>
                <w:szCs w:val="29"/>
                <w:b w:val="1"/>
                <w:bCs w:val="1"/>
                <w:color w:val="auto"/>
                <w:vertAlign w:val="superscript"/>
              </w:rPr>
              <w:t>(2)</w:t>
            </w:r>
          </w:p>
        </w:tc>
        <w:tc>
          <w:tcPr>
            <w:tcW w:w="3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393,590</w:t>
            </w:r>
          </w:p>
        </w:tc>
        <w:tc>
          <w:tcPr>
            <w:tcW w:w="140" w:type="dxa"/>
            <w:vAlign w:val="bottom"/>
          </w:tcPr>
          <w:p>
            <w:pPr>
              <w:spacing w:after="0"/>
              <w:rPr>
                <w:sz w:val="24"/>
                <w:szCs w:val="24"/>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212,007</w:t>
            </w:r>
          </w:p>
        </w:tc>
      </w:tr>
      <w:tr>
        <w:trPr>
          <w:trHeight w:val="168"/>
        </w:trPr>
        <w:tc>
          <w:tcPr>
            <w:tcW w:w="6080" w:type="dxa"/>
            <w:vAlign w:val="bottom"/>
          </w:tcPr>
          <w:p>
            <w:pPr>
              <w:ind w:left="280"/>
              <w:spacing w:after="0"/>
              <w:rPr>
                <w:sz w:val="20"/>
                <w:szCs w:val="20"/>
                <w:color w:val="auto"/>
              </w:rPr>
            </w:pPr>
            <w:r>
              <w:rPr>
                <w:rFonts w:ascii="Arial" w:cs="Arial" w:eastAsia="Arial" w:hAnsi="Arial"/>
                <w:sz w:val="14"/>
                <w:szCs w:val="14"/>
                <w:color w:val="auto"/>
              </w:rPr>
              <w:t>Pre-opening costs</w:t>
            </w:r>
          </w:p>
        </w:tc>
        <w:tc>
          <w:tcPr>
            <w:tcW w:w="32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(62,726)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(96,940)</w:t>
            </w:r>
          </w:p>
        </w:tc>
      </w:tr>
      <w:tr>
        <w:trPr>
          <w:trHeight w:val="162"/>
        </w:trPr>
        <w:tc>
          <w:tcPr>
            <w:tcW w:w="608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(175,464)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(103,344)</w:t>
            </w:r>
          </w:p>
        </w:tc>
      </w:tr>
      <w:tr>
        <w:trPr>
          <w:trHeight w:val="162"/>
        </w:trPr>
        <w:tc>
          <w:tcPr>
            <w:tcW w:w="6080" w:type="dxa"/>
            <w:vAlign w:val="bottom"/>
          </w:tcPr>
          <w:p>
            <w:pPr>
              <w:ind w:left="280"/>
              <w:spacing w:after="0"/>
              <w:rPr>
                <w:sz w:val="20"/>
                <w:szCs w:val="20"/>
                <w:color w:val="auto"/>
              </w:rPr>
            </w:pPr>
            <w:r>
              <w:rPr>
                <w:rFonts w:ascii="Arial" w:cs="Arial" w:eastAsia="Arial" w:hAnsi="Arial"/>
                <w:sz w:val="14"/>
                <w:szCs w:val="14"/>
                <w:color w:val="auto"/>
              </w:rPr>
              <w:t>Property charges and other</w:t>
            </w:r>
          </w:p>
        </w:tc>
        <w:tc>
          <w:tcPr>
            <w:tcW w:w="32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(25,060)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(14,297)</w:t>
            </w:r>
          </w:p>
        </w:tc>
      </w:tr>
      <w:tr>
        <w:trPr>
          <w:trHeight w:val="162"/>
        </w:trPr>
        <w:tc>
          <w:tcPr>
            <w:tcW w:w="6080" w:type="dxa"/>
            <w:vAlign w:val="bottom"/>
          </w:tcPr>
          <w:p>
            <w:pPr>
              <w:ind w:left="280"/>
              <w:spacing w:after="0"/>
              <w:rPr>
                <w:sz w:val="20"/>
                <w:szCs w:val="20"/>
                <w:color w:val="auto"/>
              </w:rPr>
            </w:pPr>
            <w:r>
              <w:rPr>
                <w:rFonts w:ascii="Arial" w:cs="Arial" w:eastAsia="Arial" w:hAnsi="Arial"/>
                <w:sz w:val="14"/>
                <w:szCs w:val="14"/>
                <w:color w:val="auto"/>
              </w:rPr>
              <w:t>Contract termination fee</w:t>
            </w:r>
          </w:p>
        </w:tc>
        <w:tc>
          <w:tcPr>
            <w:tcW w:w="32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(5,000)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w:t>
            </w:r>
          </w:p>
        </w:tc>
      </w:tr>
      <w:tr>
        <w:trPr>
          <w:trHeight w:val="162"/>
        </w:trPr>
        <w:tc>
          <w:tcPr>
            <w:tcW w:w="6080" w:type="dxa"/>
            <w:vAlign w:val="bottom"/>
          </w:tcPr>
          <w:p>
            <w:pPr>
              <w:ind w:left="280"/>
              <w:spacing w:after="0"/>
              <w:rPr>
                <w:sz w:val="20"/>
                <w:szCs w:val="20"/>
                <w:color w:val="auto"/>
              </w:rPr>
            </w:pPr>
            <w:r>
              <w:rPr>
                <w:rFonts w:ascii="Arial" w:cs="Arial" w:eastAsia="Arial" w:hAnsi="Arial"/>
                <w:sz w:val="14"/>
                <w:szCs w:val="14"/>
                <w:color w:val="auto"/>
              </w:rPr>
              <w:t>Corporate expenses and other</w:t>
            </w:r>
          </w:p>
        </w:tc>
        <w:tc>
          <w:tcPr>
            <w:tcW w:w="32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(39,036)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(19,039))</w:t>
            </w:r>
          </w:p>
        </w:tc>
      </w:tr>
      <w:tr>
        <w:trPr>
          <w:trHeight w:val="162"/>
        </w:trPr>
        <w:tc>
          <w:tcPr>
            <w:tcW w:w="608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(15,405)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(2,943))</w:t>
            </w:r>
          </w:p>
        </w:tc>
      </w:tr>
      <w:tr>
        <w:trPr>
          <w:trHeight w:val="162"/>
        </w:trPr>
        <w:tc>
          <w:tcPr>
            <w:tcW w:w="6080" w:type="dxa"/>
            <w:vAlign w:val="bottom"/>
          </w:tcPr>
          <w:p>
            <w:pPr>
              <w:ind w:left="280"/>
              <w:spacing w:after="0"/>
              <w:rPr>
                <w:sz w:val="20"/>
                <w:szCs w:val="20"/>
                <w:color w:val="auto"/>
              </w:rPr>
            </w:pPr>
            <w:r>
              <w:rPr>
                <w:rFonts w:ascii="Arial" w:cs="Arial" w:eastAsia="Arial" w:hAnsi="Arial"/>
                <w:sz w:val="14"/>
                <w:szCs w:val="14"/>
                <w:color w:val="auto"/>
              </w:rPr>
              <w:t>Interes and other income</w:t>
            </w:r>
          </w:p>
        </w:tc>
        <w:tc>
          <w:tcPr>
            <w:tcW w:w="32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46,752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28,267</w:t>
            </w:r>
          </w:p>
        </w:tc>
      </w:tr>
      <w:tr>
        <w:trPr>
          <w:trHeight w:val="162"/>
        </w:trPr>
        <w:tc>
          <w:tcPr>
            <w:tcW w:w="608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(148,017)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(102,699))</w:t>
            </w:r>
          </w:p>
        </w:tc>
      </w:tr>
      <w:tr>
        <w:trPr>
          <w:trHeight w:val="162"/>
        </w:trPr>
        <w:tc>
          <w:tcPr>
            <w:tcW w:w="6080" w:type="dxa"/>
            <w:vAlign w:val="bottom"/>
          </w:tcPr>
          <w:p>
            <w:pPr>
              <w:ind w:left="280"/>
              <w:spacing w:after="0"/>
              <w:rPr>
                <w:sz w:val="20"/>
                <w:szCs w:val="20"/>
                <w:color w:val="auto"/>
              </w:rPr>
            </w:pPr>
            <w:r>
              <w:rPr>
                <w:rFonts w:ascii="Arial" w:cs="Arial" w:eastAsia="Arial" w:hAnsi="Arial"/>
                <w:sz w:val="14"/>
                <w:szCs w:val="14"/>
                <w:color w:val="auto"/>
              </w:rPr>
              <w:t>Increase (decrease ) in swap fair value</w:t>
            </w:r>
          </w:p>
        </w:tc>
        <w:tc>
          <w:tcPr>
            <w:tcW w:w="32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1,196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8,152</w:t>
            </w:r>
          </w:p>
        </w:tc>
      </w:tr>
      <w:tr>
        <w:trPr>
          <w:trHeight w:val="162"/>
        </w:trPr>
        <w:tc>
          <w:tcPr>
            <w:tcW w:w="6080" w:type="dxa"/>
            <w:vAlign w:val="bottom"/>
          </w:tcPr>
          <w:p>
            <w:pPr>
              <w:ind w:left="280"/>
              <w:spacing w:after="0"/>
              <w:rPr>
                <w:sz w:val="20"/>
                <w:szCs w:val="20"/>
                <w:color w:val="auto"/>
              </w:rPr>
            </w:pPr>
            <w:r>
              <w:rPr>
                <w:rFonts w:ascii="Arial" w:cs="Arial" w:eastAsia="Arial" w:hAnsi="Arial"/>
                <w:sz w:val="14"/>
                <w:szCs w:val="14"/>
                <w:color w:val="auto"/>
              </w:rPr>
              <w:t>Loss on extinguishment of debt</w:t>
            </w:r>
          </w:p>
        </w:tc>
        <w:tc>
          <w:tcPr>
            <w:tcW w:w="32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(12,533)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w:t>
            </w:r>
          </w:p>
        </w:tc>
      </w:tr>
      <w:tr>
        <w:trPr>
          <w:trHeight w:val="162"/>
        </w:trPr>
        <w:tc>
          <w:tcPr>
            <w:tcW w:w="6080" w:type="dxa"/>
            <w:vAlign w:val="bottom"/>
          </w:tcPr>
          <w:p>
            <w:pPr>
              <w:ind w:left="280"/>
              <w:spacing w:after="0"/>
              <w:rPr>
                <w:sz w:val="20"/>
                <w:szCs w:val="20"/>
                <w:color w:val="auto"/>
              </w:rPr>
            </w:pPr>
            <w:r>
              <w:rPr>
                <w:rFonts w:ascii="Arial" w:cs="Arial" w:eastAsia="Arial" w:hAnsi="Arial"/>
                <w:sz w:val="14"/>
                <w:szCs w:val="14"/>
                <w:color w:val="auto"/>
              </w:rPr>
              <w:t>Gain on sale of subconcession right, net</w:t>
            </w:r>
          </w:p>
        </w:tc>
        <w:tc>
          <w:tcPr>
            <w:tcW w:w="32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899,409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w:t>
            </w:r>
          </w:p>
        </w:tc>
      </w:tr>
      <w:tr>
        <w:trPr>
          <w:trHeight w:val="162"/>
        </w:trPr>
        <w:tc>
          <w:tcPr>
            <w:tcW w:w="6080" w:type="dxa"/>
            <w:vAlign w:val="bottom"/>
          </w:tcPr>
          <w:p>
            <w:pPr>
              <w:ind w:left="280"/>
              <w:spacing w:after="0"/>
              <w:rPr>
                <w:sz w:val="20"/>
                <w:szCs w:val="20"/>
                <w:color w:val="auto"/>
              </w:rPr>
            </w:pPr>
            <w:r>
              <w:rPr>
                <w:rFonts w:ascii="Arial" w:cs="Arial" w:eastAsia="Arial" w:hAnsi="Arial"/>
                <w:sz w:val="14"/>
                <w:szCs w:val="14"/>
                <w:color w:val="auto"/>
              </w:rPr>
              <w:t>Distribution to convertible debenture holders</w:t>
            </w:r>
          </w:p>
        </w:tc>
        <w:tc>
          <w:tcPr>
            <w:tcW w:w="32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(58,477)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6080" w:type="dxa"/>
            <w:vAlign w:val="bottom"/>
          </w:tcPr>
          <w:p>
            <w:pPr>
              <w:ind w:left="280"/>
              <w:spacing w:after="0"/>
              <w:rPr>
                <w:sz w:val="20"/>
                <w:szCs w:val="20"/>
                <w:color w:val="auto"/>
              </w:rPr>
            </w:pPr>
            <w:r>
              <w:rPr>
                <w:rFonts w:ascii="Arial" w:cs="Arial" w:eastAsia="Arial" w:hAnsi="Arial"/>
                <w:sz w:val="14"/>
                <w:szCs w:val="14"/>
                <w:color w:val="auto"/>
              </w:rPr>
              <w:t>Provision for income taxes</w:t>
            </w:r>
          </w:p>
        </w:tc>
        <w:tc>
          <w:tcPr>
            <w:tcW w:w="32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(170,501)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w:t>
            </w:r>
          </w:p>
        </w:tc>
      </w:tr>
      <w:tr>
        <w:trPr>
          <w:trHeight w:val="149"/>
        </w:trPr>
        <w:tc>
          <w:tcPr>
            <w:tcW w:w="60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r>
      <w:tr>
        <w:trPr>
          <w:trHeight w:val="156"/>
        </w:trPr>
        <w:tc>
          <w:tcPr>
            <w:tcW w:w="6080" w:type="dxa"/>
            <w:vAlign w:val="bottom"/>
          </w:tcPr>
          <w:p>
            <w:pPr>
              <w:spacing w:after="0"/>
              <w:rPr>
                <w:sz w:val="13"/>
                <w:szCs w:val="13"/>
                <w:color w:val="auto"/>
              </w:rPr>
            </w:pPr>
          </w:p>
        </w:tc>
        <w:tc>
          <w:tcPr>
            <w:tcW w:w="32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628,728</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(90,836)</w:t>
            </w:r>
          </w:p>
        </w:tc>
      </w:tr>
      <w:tr>
        <w:trPr>
          <w:trHeight w:val="20"/>
        </w:trPr>
        <w:tc>
          <w:tcPr>
            <w:tcW w:w="6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14" w:right="1440" w:bottom="0" w:gutter="0" w:footer="0" w:header="0"/>
        </w:sectPr>
      </w:pPr>
    </w:p>
    <w:p>
      <w:pPr>
        <w:spacing w:after="0" w:line="372" w:lineRule="exact"/>
        <w:rPr>
          <w:sz w:val="20"/>
          <w:szCs w:val="20"/>
          <w:color w:val="auto"/>
        </w:rPr>
      </w:pPr>
    </w:p>
    <w:p>
      <w:pPr>
        <w:ind w:left="40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219"/>
          </w:cols>
          <w:pgMar w:left="240" w:top="114" w:right="1440" w:bottom="0" w:gutter="0" w:footer="0" w:header="0"/>
          <w:type w:val="continuous"/>
        </w:sectPr>
      </w:pPr>
    </w:p>
    <w:bookmarkStart w:id="10" w:name="page11"/>
    <w:bookmarkEnd w:id="10"/>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jc w:val="center"/>
        <w:ind w:right="10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SUPPLEMENTAL DATA SCHEDULE</w:t>
      </w:r>
    </w:p>
    <w:p>
      <w:pPr>
        <w:spacing w:after="0" w:line="200" w:lineRule="exact"/>
        <w:rPr>
          <w:sz w:val="20"/>
          <w:szCs w:val="20"/>
          <w:color w:val="auto"/>
        </w:rPr>
      </w:pPr>
    </w:p>
    <w:p>
      <w:pPr>
        <w:spacing w:after="0" w:line="283"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252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242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Twelve Months Ended</w:t>
            </w:r>
          </w:p>
        </w:tc>
      </w:tr>
      <w:tr>
        <w:trPr>
          <w:trHeight w:val="28"/>
        </w:trPr>
        <w:tc>
          <w:tcPr>
            <w:tcW w:w="38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8"/>
        </w:trPr>
        <w:tc>
          <w:tcPr>
            <w:tcW w:w="3880" w:type="dxa"/>
            <w:vAlign w:val="bottom"/>
          </w:tcPr>
          <w:p>
            <w:pPr>
              <w:spacing w:after="0"/>
              <w:rPr>
                <w:sz w:val="15"/>
                <w:szCs w:val="15"/>
                <w:color w:val="auto"/>
              </w:rPr>
            </w:pPr>
          </w:p>
        </w:tc>
        <w:tc>
          <w:tcPr>
            <w:tcW w:w="130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rPr>
              <w:t>December 31,</w:t>
            </w:r>
          </w:p>
        </w:tc>
      </w:tr>
      <w:tr>
        <w:trPr>
          <w:trHeight w:val="247"/>
        </w:trPr>
        <w:tc>
          <w:tcPr>
            <w:tcW w:w="3880" w:type="dxa"/>
            <w:vAlign w:val="bottom"/>
          </w:tcPr>
          <w:p>
            <w:pPr>
              <w:spacing w:after="0"/>
              <w:rPr>
                <w:sz w:val="21"/>
                <w:szCs w:val="21"/>
                <w:color w:val="auto"/>
              </w:rPr>
            </w:pP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2006</w:t>
            </w:r>
          </w:p>
        </w:tc>
        <w:tc>
          <w:tcPr>
            <w:tcW w:w="1220" w:type="dxa"/>
            <w:vAlign w:val="bottom"/>
            <w:tcBorders>
              <w:bottom w:val="single" w:sz="8" w:color="auto"/>
            </w:tcBorders>
          </w:tcPr>
          <w:p>
            <w:pPr>
              <w:jc w:val="right"/>
              <w:ind w:right="392"/>
              <w:spacing w:after="0" w:line="247" w:lineRule="exact"/>
              <w:rPr>
                <w:sz w:val="20"/>
                <w:szCs w:val="20"/>
                <w:color w:val="auto"/>
              </w:rPr>
            </w:pPr>
            <w:r>
              <w:rPr>
                <w:rFonts w:ascii="Arial" w:cs="Arial" w:eastAsia="Arial" w:hAnsi="Arial"/>
                <w:sz w:val="14"/>
                <w:szCs w:val="14"/>
                <w:b w:val="1"/>
                <w:bCs w:val="1"/>
                <w:color w:val="auto"/>
              </w:rPr>
              <w:t>2005</w:t>
            </w:r>
            <w:r>
              <w:rPr>
                <w:rFonts w:ascii="Arial" w:cs="Arial" w:eastAsia="Arial" w:hAnsi="Arial"/>
                <w:sz w:val="22"/>
                <w:szCs w:val="22"/>
                <w:b w:val="1"/>
                <w:bCs w:val="1"/>
                <w:color w:val="auto"/>
                <w:vertAlign w:val="superscript"/>
              </w:rPr>
              <w:t>(6)</w:t>
            </w:r>
          </w:p>
        </w:tc>
        <w:tc>
          <w:tcPr>
            <w:tcW w:w="1240" w:type="dxa"/>
            <w:vAlign w:val="bottom"/>
            <w:tcBorders>
              <w:bottom w:val="single" w:sz="8" w:color="auto"/>
            </w:tcBorders>
          </w:tcPr>
          <w:p>
            <w:pPr>
              <w:jc w:val="right"/>
              <w:ind w:right="412"/>
              <w:spacing w:after="0" w:line="247" w:lineRule="exact"/>
              <w:rPr>
                <w:sz w:val="20"/>
                <w:szCs w:val="20"/>
                <w:color w:val="auto"/>
              </w:rPr>
            </w:pPr>
            <w:r>
              <w:rPr>
                <w:rFonts w:ascii="Arial" w:cs="Arial" w:eastAsia="Arial" w:hAnsi="Arial"/>
                <w:sz w:val="14"/>
                <w:szCs w:val="14"/>
                <w:b w:val="1"/>
                <w:bCs w:val="1"/>
                <w:color w:val="auto"/>
              </w:rPr>
              <w:t>2006</w:t>
            </w:r>
            <w:r>
              <w:rPr>
                <w:rFonts w:ascii="Arial" w:cs="Arial" w:eastAsia="Arial" w:hAnsi="Arial"/>
                <w:sz w:val="22"/>
                <w:szCs w:val="22"/>
                <w:b w:val="1"/>
                <w:bCs w:val="1"/>
                <w:color w:val="auto"/>
                <w:vertAlign w:val="superscript"/>
              </w:rPr>
              <w:t>(6)</w:t>
            </w:r>
          </w:p>
        </w:tc>
        <w:tc>
          <w:tcPr>
            <w:tcW w:w="1180" w:type="dxa"/>
            <w:vAlign w:val="bottom"/>
            <w:tcBorders>
              <w:bottom w:val="single" w:sz="8" w:color="auto"/>
            </w:tcBorders>
          </w:tcPr>
          <w:p>
            <w:pPr>
              <w:jc w:val="right"/>
              <w:ind w:right="352"/>
              <w:spacing w:after="0" w:line="247" w:lineRule="exact"/>
              <w:rPr>
                <w:sz w:val="20"/>
                <w:szCs w:val="20"/>
                <w:color w:val="auto"/>
              </w:rPr>
            </w:pPr>
            <w:r>
              <w:rPr>
                <w:rFonts w:ascii="Arial" w:cs="Arial" w:eastAsia="Arial" w:hAnsi="Arial"/>
                <w:sz w:val="14"/>
                <w:szCs w:val="14"/>
                <w:b w:val="1"/>
                <w:bCs w:val="1"/>
                <w:color w:val="auto"/>
              </w:rPr>
              <w:t>2005</w:t>
            </w:r>
            <w:r>
              <w:rPr>
                <w:rFonts w:ascii="Arial" w:cs="Arial" w:eastAsia="Arial" w:hAnsi="Arial"/>
                <w:sz w:val="22"/>
                <w:szCs w:val="22"/>
                <w:b w:val="1"/>
                <w:bCs w:val="1"/>
                <w:color w:val="auto"/>
                <w:vertAlign w:val="superscript"/>
              </w:rPr>
              <w:t>(6)</w:t>
            </w:r>
          </w:p>
        </w:tc>
      </w:tr>
      <w:tr>
        <w:trPr>
          <w:trHeight w:val="196"/>
        </w:trPr>
        <w:tc>
          <w:tcPr>
            <w:tcW w:w="3880" w:type="dxa"/>
            <w:vAlign w:val="bottom"/>
          </w:tcPr>
          <w:p>
            <w:pPr>
              <w:spacing w:after="0"/>
              <w:rPr>
                <w:sz w:val="20"/>
                <w:szCs w:val="20"/>
                <w:color w:val="auto"/>
              </w:rPr>
            </w:pPr>
            <w:r>
              <w:rPr>
                <w:rFonts w:ascii="Arial" w:cs="Arial" w:eastAsia="Arial" w:hAnsi="Arial"/>
                <w:sz w:val="14"/>
                <w:szCs w:val="14"/>
                <w:color w:val="auto"/>
              </w:rPr>
              <w:t>Room Statistics for Wynn Las Vegas:</w:t>
            </w: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3880" w:type="dxa"/>
            <w:vAlign w:val="bottom"/>
          </w:tcPr>
          <w:p>
            <w:pPr>
              <w:ind w:left="480"/>
              <w:spacing w:after="0"/>
              <w:rPr>
                <w:sz w:val="20"/>
                <w:szCs w:val="20"/>
                <w:color w:val="auto"/>
              </w:rPr>
            </w:pPr>
            <w:r>
              <w:rPr>
                <w:rFonts w:ascii="Arial" w:cs="Arial" w:eastAsia="Arial" w:hAnsi="Arial"/>
                <w:sz w:val="14"/>
                <w:szCs w:val="14"/>
                <w:color w:val="auto"/>
              </w:rPr>
              <w:t>Occupancy %</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91.6%</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92.5%</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94.4%</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NM</w:t>
            </w:r>
          </w:p>
        </w:tc>
      </w:tr>
      <w:tr>
        <w:trPr>
          <w:trHeight w:val="255"/>
        </w:trPr>
        <w:tc>
          <w:tcPr>
            <w:tcW w:w="3880" w:type="dxa"/>
            <w:vAlign w:val="bottom"/>
          </w:tcPr>
          <w:p>
            <w:pPr>
              <w:ind w:left="480"/>
              <w:spacing w:after="0"/>
              <w:rPr>
                <w:sz w:val="20"/>
                <w:szCs w:val="20"/>
                <w:color w:val="auto"/>
              </w:rPr>
            </w:pPr>
            <w:r>
              <w:rPr>
                <w:rFonts w:ascii="Arial" w:cs="Arial" w:eastAsia="Arial" w:hAnsi="Arial"/>
                <w:sz w:val="14"/>
                <w:szCs w:val="14"/>
                <w:color w:val="auto"/>
              </w:rPr>
              <w:t>Average Daily Room Rate (ADR)</w:t>
            </w:r>
            <w:r>
              <w:rPr>
                <w:rFonts w:ascii="Arial" w:cs="Arial" w:eastAsia="Arial" w:hAnsi="Arial"/>
                <w:sz w:val="22"/>
                <w:szCs w:val="22"/>
                <w:color w:val="auto"/>
                <w:vertAlign w:val="superscript"/>
              </w:rPr>
              <w:t>1</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$291</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$278</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$287</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$274</w:t>
            </w:r>
          </w:p>
        </w:tc>
      </w:tr>
      <w:tr>
        <w:trPr>
          <w:trHeight w:val="230"/>
        </w:trPr>
        <w:tc>
          <w:tcPr>
            <w:tcW w:w="3880" w:type="dxa"/>
            <w:vAlign w:val="bottom"/>
          </w:tcPr>
          <w:p>
            <w:pPr>
              <w:ind w:left="480"/>
              <w:spacing w:after="0" w:line="229" w:lineRule="exact"/>
              <w:rPr>
                <w:sz w:val="20"/>
                <w:szCs w:val="20"/>
                <w:color w:val="auto"/>
              </w:rPr>
            </w:pPr>
            <w:r>
              <w:rPr>
                <w:rFonts w:ascii="Arial" w:cs="Arial" w:eastAsia="Arial" w:hAnsi="Arial"/>
                <w:sz w:val="14"/>
                <w:szCs w:val="14"/>
                <w:color w:val="auto"/>
              </w:rPr>
              <w:t>Average Paying Rate (APR)</w:t>
            </w:r>
            <w:r>
              <w:rPr>
                <w:rFonts w:ascii="Arial" w:cs="Arial" w:eastAsia="Arial" w:hAnsi="Arial"/>
                <w:sz w:val="22"/>
                <w:szCs w:val="22"/>
                <w:color w:val="auto"/>
                <w:vertAlign w:val="superscript"/>
              </w:rPr>
              <w:t>2</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$279</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$273</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$272</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$264</w:t>
            </w:r>
          </w:p>
        </w:tc>
      </w:tr>
      <w:tr>
        <w:trPr>
          <w:trHeight w:val="293"/>
        </w:trPr>
        <w:tc>
          <w:tcPr>
            <w:tcW w:w="3880" w:type="dxa"/>
            <w:vAlign w:val="bottom"/>
          </w:tcPr>
          <w:p>
            <w:pPr>
              <w:ind w:left="480"/>
              <w:spacing w:after="0"/>
              <w:rPr>
                <w:sz w:val="20"/>
                <w:szCs w:val="20"/>
                <w:color w:val="auto"/>
              </w:rPr>
            </w:pPr>
            <w:r>
              <w:rPr>
                <w:rFonts w:ascii="Arial" w:cs="Arial" w:eastAsia="Arial" w:hAnsi="Arial"/>
                <w:sz w:val="14"/>
                <w:szCs w:val="14"/>
                <w:color w:val="auto"/>
              </w:rPr>
              <w:t>Revenue per available room (REVPAR)</w:t>
            </w:r>
            <w:r>
              <w:rPr>
                <w:rFonts w:ascii="Arial" w:cs="Arial" w:eastAsia="Arial" w:hAnsi="Arial"/>
                <w:sz w:val="22"/>
                <w:szCs w:val="22"/>
                <w:color w:val="auto"/>
                <w:vertAlign w:val="superscript"/>
              </w:rPr>
              <w:t>3</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$266</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$258</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$271</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$253</w:t>
            </w:r>
          </w:p>
        </w:tc>
      </w:tr>
      <w:tr>
        <w:trPr>
          <w:trHeight w:val="519"/>
        </w:trPr>
        <w:tc>
          <w:tcPr>
            <w:tcW w:w="3880" w:type="dxa"/>
            <w:vAlign w:val="bottom"/>
          </w:tcPr>
          <w:p>
            <w:pPr>
              <w:spacing w:after="0"/>
              <w:rPr>
                <w:sz w:val="20"/>
                <w:szCs w:val="20"/>
                <w:color w:val="auto"/>
              </w:rPr>
            </w:pPr>
            <w:r>
              <w:rPr>
                <w:rFonts w:ascii="Arial" w:cs="Arial" w:eastAsia="Arial" w:hAnsi="Arial"/>
                <w:sz w:val="14"/>
                <w:szCs w:val="14"/>
                <w:color w:val="auto"/>
              </w:rPr>
              <w:t>Other information for Wynn Las Vegas:</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0"/>
        </w:trPr>
        <w:tc>
          <w:tcPr>
            <w:tcW w:w="3880" w:type="dxa"/>
            <w:vAlign w:val="bottom"/>
          </w:tcPr>
          <w:p>
            <w:pPr>
              <w:ind w:left="480"/>
              <w:spacing w:after="0"/>
              <w:rPr>
                <w:sz w:val="20"/>
                <w:szCs w:val="20"/>
                <w:color w:val="auto"/>
              </w:rPr>
            </w:pPr>
            <w:r>
              <w:rPr>
                <w:rFonts w:ascii="Arial" w:cs="Arial" w:eastAsia="Arial" w:hAnsi="Arial"/>
                <w:sz w:val="14"/>
                <w:szCs w:val="14"/>
                <w:color w:val="auto"/>
              </w:rPr>
              <w:t>Table games win per unit per day</w:t>
            </w:r>
            <w:r>
              <w:rPr>
                <w:rFonts w:ascii="Arial" w:cs="Arial" w:eastAsia="Arial" w:hAnsi="Arial"/>
                <w:sz w:val="22"/>
                <w:szCs w:val="22"/>
                <w:color w:val="auto"/>
                <w:vertAlign w:val="superscript"/>
              </w:rPr>
              <w:t>4</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$10,803</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$8,842</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$8,269</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NM</w:t>
            </w:r>
          </w:p>
        </w:tc>
      </w:tr>
      <w:tr>
        <w:trPr>
          <w:trHeight w:val="172"/>
        </w:trPr>
        <w:tc>
          <w:tcPr>
            <w:tcW w:w="3880" w:type="dxa"/>
            <w:vAlign w:val="bottom"/>
          </w:tcPr>
          <w:p>
            <w:pPr>
              <w:ind w:left="480"/>
              <w:spacing w:after="0"/>
              <w:rPr>
                <w:sz w:val="20"/>
                <w:szCs w:val="20"/>
                <w:color w:val="auto"/>
              </w:rPr>
            </w:pPr>
            <w:r>
              <w:rPr>
                <w:rFonts w:ascii="Arial" w:cs="Arial" w:eastAsia="Arial" w:hAnsi="Arial"/>
                <w:sz w:val="14"/>
                <w:szCs w:val="14"/>
                <w:color w:val="auto"/>
              </w:rPr>
              <w:t>Table Hold %</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26.3%</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21.3%</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22.1%</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NM</w:t>
            </w:r>
          </w:p>
        </w:tc>
      </w:tr>
      <w:tr>
        <w:trPr>
          <w:trHeight w:val="260"/>
        </w:trPr>
        <w:tc>
          <w:tcPr>
            <w:tcW w:w="3880" w:type="dxa"/>
            <w:vAlign w:val="bottom"/>
          </w:tcPr>
          <w:p>
            <w:pPr>
              <w:ind w:left="480"/>
              <w:spacing w:after="0"/>
              <w:rPr>
                <w:sz w:val="20"/>
                <w:szCs w:val="20"/>
                <w:color w:val="auto"/>
              </w:rPr>
            </w:pPr>
            <w:r>
              <w:rPr>
                <w:rFonts w:ascii="Arial" w:cs="Arial" w:eastAsia="Arial" w:hAnsi="Arial"/>
                <w:sz w:val="14"/>
                <w:szCs w:val="14"/>
                <w:color w:val="auto"/>
              </w:rPr>
              <w:t>Slot machine win per unit per day</w:t>
            </w:r>
            <w:r>
              <w:rPr>
                <w:rFonts w:ascii="Arial" w:cs="Arial" w:eastAsia="Arial" w:hAnsi="Arial"/>
                <w:sz w:val="22"/>
                <w:szCs w:val="22"/>
                <w:color w:val="auto"/>
                <w:vertAlign w:val="superscript"/>
              </w:rPr>
              <w:t>5</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$256</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$252</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$251</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NM</w:t>
            </w:r>
          </w:p>
        </w:tc>
      </w:tr>
      <w:tr>
        <w:trPr>
          <w:trHeight w:val="172"/>
        </w:trPr>
        <w:tc>
          <w:tcPr>
            <w:tcW w:w="3880" w:type="dxa"/>
            <w:vAlign w:val="bottom"/>
          </w:tcPr>
          <w:p>
            <w:pPr>
              <w:ind w:left="480"/>
              <w:spacing w:after="0"/>
              <w:rPr>
                <w:sz w:val="20"/>
                <w:szCs w:val="20"/>
                <w:color w:val="auto"/>
              </w:rPr>
            </w:pPr>
            <w:r>
              <w:rPr>
                <w:rFonts w:ascii="Arial" w:cs="Arial" w:eastAsia="Arial" w:hAnsi="Arial"/>
                <w:sz w:val="14"/>
                <w:szCs w:val="14"/>
                <w:color w:val="auto"/>
              </w:rPr>
              <w:t>Average number of table games</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137</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131</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142</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NM</w:t>
            </w:r>
          </w:p>
        </w:tc>
      </w:tr>
      <w:tr>
        <w:trPr>
          <w:trHeight w:val="203"/>
        </w:trPr>
        <w:tc>
          <w:tcPr>
            <w:tcW w:w="3880" w:type="dxa"/>
            <w:vAlign w:val="bottom"/>
          </w:tcPr>
          <w:p>
            <w:pPr>
              <w:ind w:left="480"/>
              <w:spacing w:after="0"/>
              <w:rPr>
                <w:sz w:val="20"/>
                <w:szCs w:val="20"/>
                <w:color w:val="auto"/>
              </w:rPr>
            </w:pPr>
            <w:r>
              <w:rPr>
                <w:rFonts w:ascii="Arial" w:cs="Arial" w:eastAsia="Arial" w:hAnsi="Arial"/>
                <w:sz w:val="14"/>
                <w:szCs w:val="14"/>
                <w:color w:val="auto"/>
              </w:rPr>
              <w:t>Average number of slot machines</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1,974</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1,950</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1,963</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NM</w:t>
            </w:r>
          </w:p>
        </w:tc>
      </w:tr>
      <w:tr>
        <w:trPr>
          <w:trHeight w:val="608"/>
        </w:trPr>
        <w:tc>
          <w:tcPr>
            <w:tcW w:w="3880" w:type="dxa"/>
            <w:vAlign w:val="bottom"/>
          </w:tcPr>
          <w:p>
            <w:pPr>
              <w:spacing w:after="0"/>
              <w:rPr>
                <w:sz w:val="20"/>
                <w:szCs w:val="20"/>
                <w:color w:val="auto"/>
              </w:rPr>
            </w:pPr>
            <w:r>
              <w:rPr>
                <w:rFonts w:ascii="Arial" w:cs="Arial" w:eastAsia="Arial" w:hAnsi="Arial"/>
                <w:sz w:val="14"/>
                <w:szCs w:val="14"/>
                <w:color w:val="auto"/>
              </w:rPr>
              <w:t>Wynn Macau:</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5"/>
        </w:trPr>
        <w:tc>
          <w:tcPr>
            <w:tcW w:w="3880" w:type="dxa"/>
            <w:vAlign w:val="bottom"/>
          </w:tcPr>
          <w:p>
            <w:pPr>
              <w:ind w:left="480"/>
              <w:spacing w:after="0"/>
              <w:rPr>
                <w:sz w:val="20"/>
                <w:szCs w:val="20"/>
                <w:color w:val="auto"/>
              </w:rPr>
            </w:pPr>
            <w:r>
              <w:rPr>
                <w:rFonts w:ascii="Arial" w:cs="Arial" w:eastAsia="Arial" w:hAnsi="Arial"/>
                <w:sz w:val="14"/>
                <w:szCs w:val="14"/>
                <w:color w:val="auto"/>
              </w:rPr>
              <w:t>Table games win per unit per day</w:t>
            </w:r>
            <w:r>
              <w:rPr>
                <w:rFonts w:ascii="Arial" w:cs="Arial" w:eastAsia="Arial" w:hAnsi="Arial"/>
                <w:sz w:val="22"/>
                <w:szCs w:val="22"/>
                <w:color w:val="auto"/>
                <w:vertAlign w:val="superscript"/>
              </w:rPr>
              <w:t>4</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$12,954</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NM</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NM</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NM</w:t>
            </w:r>
          </w:p>
        </w:tc>
      </w:tr>
      <w:tr>
        <w:trPr>
          <w:trHeight w:val="235"/>
        </w:trPr>
        <w:tc>
          <w:tcPr>
            <w:tcW w:w="3880" w:type="dxa"/>
            <w:vAlign w:val="bottom"/>
          </w:tcPr>
          <w:p>
            <w:pPr>
              <w:ind w:left="480"/>
              <w:spacing w:after="0" w:line="234" w:lineRule="exact"/>
              <w:rPr>
                <w:sz w:val="20"/>
                <w:szCs w:val="20"/>
                <w:color w:val="auto"/>
              </w:rPr>
            </w:pPr>
            <w:r>
              <w:rPr>
                <w:rFonts w:ascii="Arial" w:cs="Arial" w:eastAsia="Arial" w:hAnsi="Arial"/>
                <w:sz w:val="14"/>
                <w:szCs w:val="14"/>
                <w:color w:val="auto"/>
              </w:rPr>
              <w:t>Slot machine win per unit per day</w:t>
            </w:r>
            <w:r>
              <w:rPr>
                <w:rFonts w:ascii="Arial" w:cs="Arial" w:eastAsia="Arial" w:hAnsi="Arial"/>
                <w:sz w:val="22"/>
                <w:szCs w:val="22"/>
                <w:color w:val="auto"/>
                <w:vertAlign w:val="superscript"/>
              </w:rPr>
              <w:t>5</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$418</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NM</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NM</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NM</w:t>
            </w:r>
          </w:p>
        </w:tc>
      </w:tr>
      <w:tr>
        <w:trPr>
          <w:trHeight w:val="172"/>
        </w:trPr>
        <w:tc>
          <w:tcPr>
            <w:tcW w:w="3880" w:type="dxa"/>
            <w:vAlign w:val="bottom"/>
          </w:tcPr>
          <w:p>
            <w:pPr>
              <w:ind w:left="480"/>
              <w:spacing w:after="0"/>
              <w:rPr>
                <w:sz w:val="20"/>
                <w:szCs w:val="20"/>
                <w:color w:val="auto"/>
              </w:rPr>
            </w:pPr>
            <w:r>
              <w:rPr>
                <w:rFonts w:ascii="Arial" w:cs="Arial" w:eastAsia="Arial" w:hAnsi="Arial"/>
                <w:sz w:val="14"/>
                <w:szCs w:val="14"/>
                <w:color w:val="auto"/>
              </w:rPr>
              <w:t>Average number of table games</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219</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NM</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NM</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NM</w:t>
            </w:r>
          </w:p>
        </w:tc>
      </w:tr>
      <w:tr>
        <w:trPr>
          <w:trHeight w:val="203"/>
        </w:trPr>
        <w:tc>
          <w:tcPr>
            <w:tcW w:w="3880" w:type="dxa"/>
            <w:vAlign w:val="bottom"/>
          </w:tcPr>
          <w:p>
            <w:pPr>
              <w:ind w:left="480"/>
              <w:spacing w:after="0"/>
              <w:rPr>
                <w:sz w:val="20"/>
                <w:szCs w:val="20"/>
                <w:color w:val="auto"/>
              </w:rPr>
            </w:pPr>
            <w:r>
              <w:rPr>
                <w:rFonts w:ascii="Arial" w:cs="Arial" w:eastAsia="Arial" w:hAnsi="Arial"/>
                <w:sz w:val="14"/>
                <w:szCs w:val="14"/>
                <w:color w:val="auto"/>
              </w:rPr>
              <w:t>Average number of slot machines</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366</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NM</w:t>
            </w: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NM</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NM</w:t>
            </w:r>
          </w:p>
        </w:tc>
      </w:tr>
    </w:tbl>
    <w:p>
      <w:pPr>
        <w:spacing w:after="0" w:line="303" w:lineRule="exact"/>
        <w:rPr>
          <w:sz w:val="20"/>
          <w:szCs w:val="20"/>
          <w:color w:val="auto"/>
        </w:rPr>
      </w:pPr>
    </w:p>
    <w:p>
      <w:pPr>
        <w:ind w:right="2419" w:firstLine="8"/>
        <w:spacing w:after="0" w:line="268"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Room Rate and is calculated by dividing total room revenue (less service charges, if any) by total rooms occupied.</w:t>
      </w:r>
    </w:p>
    <w:p>
      <w:pPr>
        <w:spacing w:after="0" w:line="77"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APR is Average Paying Rate and is calculated by dividing cash room revenue by cash rooms occupied.</w:t>
      </w:r>
    </w:p>
    <w:p>
      <w:pPr>
        <w:spacing w:after="0" w:line="117" w:lineRule="exact"/>
        <w:rPr>
          <w:rFonts w:ascii="Arial" w:cs="Arial" w:eastAsia="Arial" w:hAnsi="Arial"/>
          <w:sz w:val="18"/>
          <w:szCs w:val="18"/>
          <w:color w:val="auto"/>
        </w:rPr>
      </w:pPr>
    </w:p>
    <w:p>
      <w:pPr>
        <w:ind w:right="2519" w:firstLine="8"/>
        <w:spacing w:after="0" w:line="268"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by total rooms available.</w:t>
      </w:r>
    </w:p>
    <w:p>
      <w:pPr>
        <w:spacing w:after="0" w:line="77"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net of participation fees and progressive accruals.</w:t>
      </w:r>
    </w:p>
    <w:p>
      <w:pPr>
        <w:spacing w:after="0" w:line="117" w:lineRule="exact"/>
        <w:rPr>
          <w:rFonts w:ascii="Arial" w:cs="Arial" w:eastAsia="Arial" w:hAnsi="Arial"/>
          <w:sz w:val="18"/>
          <w:szCs w:val="18"/>
          <w:color w:val="auto"/>
        </w:rPr>
      </w:pPr>
    </w:p>
    <w:p>
      <w:pPr>
        <w:ind w:right="2159" w:firstLine="8"/>
        <w:spacing w:after="0" w:line="332"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Information for the 2005 and 2006 twelve-month periods as well as 2005 three-month period is not meaningful as Wynn Macau opened on September 6, 2006 and Wynn Las Vegas was opened for 248 days in 2005.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www.wynnresorts.com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www.wynnlasvegas.com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9</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2019-12-15T07:57:06Z</dcterms:created>
  <dcterms:modified xsi:type="dcterms:W3CDTF">2019-12-15T07:57:06Z</dcterms:modified>
</cp:coreProperties>
</file>