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pPr>
      <w:r>
        <w:rPr>
          <w:color w:val="000000"/>
        </w:rPr>
        <w:t> </w:t>
      </w:r>
      <w:r>
        <w:rPr>
          <w:rFonts w:ascii="Times New Roman;sans-serif" w:hAnsi="Times New Roman;sans-serif"/>
          <w:b/>
          <w:color w:val="000000"/>
          <w:sz w:val="36"/>
        </w:rPr>
        <w:t xml:space="preserve">FORM 10-Q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w:t>
      </w:r>
      <w:r>
        <w:rPr>
          <w:color w:val="000000"/>
          <w:u w:val="single"/>
        </w:rPr>
        <w:t>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000-50028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rFonts w:ascii="Times New Roman;sans-serif" w:hAnsi="Times New Roman;sans-serif"/>
          <w:b/>
          <w:color w:val="000000"/>
          <w:sz w:val="48"/>
        </w:rPr>
        <w:t>WYNN RESORTS, LIMITED</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3131 Las Vegas Boulevard South - Las Vegas, Nevada 89109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ind w:left="0" w:right="0" w:firstLine="495"/>
        <w:jc w:val="both"/>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60" w:after="283"/>
        <w:ind w:left="0" w:right="0" w:firstLine="495"/>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231" w:type="dxa"/>
        <w:jc w:val="left"/>
        <w:tblInd w:w="0" w:type="dxa"/>
        <w:tblCellMar>
          <w:top w:w="28" w:type="dxa"/>
          <w:left w:w="28" w:type="dxa"/>
          <w:bottom w:w="28" w:type="dxa"/>
          <w:right w:w="28" w:type="dxa"/>
        </w:tblCellMar>
      </w:tblPr>
      <w:tblGrid>
        <w:gridCol w:w="973"/>
        <w:gridCol w:w="858"/>
        <w:gridCol w:w="868"/>
        <w:gridCol w:w="109"/>
        <w:gridCol w:w="109"/>
        <w:gridCol w:w="109"/>
        <w:gridCol w:w="644"/>
        <w:gridCol w:w="644"/>
        <w:gridCol w:w="917"/>
      </w:tblGrid>
      <w:tr>
        <w:trPr/>
        <w:tc>
          <w:tcPr>
            <w:tcW w:w="97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May 2, 2023</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113,797,866</w:t>
            </w:r>
          </w:p>
        </w:tc>
      </w:tr>
    </w:tbl>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3"/>
        <w:gridCol w:w="257"/>
        <w:gridCol w:w="261"/>
        <w:gridCol w:w="3034"/>
        <w:gridCol w:w="2989"/>
        <w:gridCol w:w="2998"/>
        <w:gridCol w:w="109"/>
        <w:gridCol w:w="109"/>
        <w:gridCol w:w="155"/>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034"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2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
              <w:r>
                <w:rPr>
                  <w:rStyle w:val="InternetLink"/>
                  <w:rFonts w:ascii="Times New Roman;sans-serif" w:hAnsi="Times New Roman;sans-serif"/>
                  <w:b w:val="false"/>
                  <w:color w:val="0000FF"/>
                  <w:sz w:val="20"/>
                  <w:u w:val="single"/>
                </w:rPr>
                <w:t>Item 1.</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
              <w:r>
                <w:rPr>
                  <w:rStyle w:val="InternetLink"/>
                  <w:rFonts w:ascii="Times New Roman;sans-serif" w:hAnsi="Times New Roman;sans-serif"/>
                  <w:b w:val="false"/>
                  <w:color w:val="0000FF"/>
                  <w:sz w:val="20"/>
                  <w:u w:val="single"/>
                </w:rPr>
                <w:t>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6">
              <w:r>
                <w:rPr>
                  <w:rStyle w:val="InternetLink"/>
                </w:rPr>
                <w:t xml:space="preserve">Condensed Consolidated Balance Sheets - </w:t>
              </w:r>
            </w:hyperlink>
            <w:hyperlink w:anchor="ie482299f986941e788832d910a8f0f93_16">
              <w:r>
                <w:rPr>
                  <w:rStyle w:val="InternetLink"/>
                </w:rPr>
                <w:t>March</w:t>
              </w:r>
            </w:hyperlink>
            <w:hyperlink w:anchor="ie482299f986941e788832d910a8f0f93_16">
              <w:r>
                <w:rPr>
                  <w:rStyle w:val="InternetLink"/>
                </w:rPr>
                <w:t xml:space="preserve"> 3</w:t>
              </w:r>
            </w:hyperlink>
            <w:hyperlink w:anchor="ie482299f986941e788832d910a8f0f93_16">
              <w:r>
                <w:rPr>
                  <w:rStyle w:val="InternetLink"/>
                </w:rPr>
                <w:t>1</w:t>
              </w:r>
            </w:hyperlink>
            <w:hyperlink w:anchor="ie482299f986941e788832d910a8f0f93_16">
              <w:r>
                <w:rPr>
                  <w:rStyle w:val="InternetLink"/>
                </w:rPr>
                <w:t>, 202</w:t>
              </w:r>
            </w:hyperlink>
            <w:hyperlink w:anchor="ie482299f986941e788832d910a8f0f93_16">
              <w:r>
                <w:rPr>
                  <w:rStyle w:val="InternetLink"/>
                </w:rPr>
                <w:t>3</w:t>
              </w:r>
            </w:hyperlink>
            <w:hyperlink w:anchor="ie482299f986941e788832d910a8f0f93_16">
              <w:r>
                <w:rPr>
                  <w:rStyle w:val="InternetLink"/>
                </w:rPr>
                <w:t xml:space="preserve"> (unaudited) and December 31, 20</w:t>
              </w:r>
            </w:hyperlink>
            <w:hyperlink w:anchor="ie482299f986941e788832d910a8f0f93_16">
              <w:r>
                <w:rPr>
                  <w:rStyle w:val="InternetLink"/>
                </w:rPr>
                <w:t>2</w:t>
              </w:r>
            </w:hyperlink>
            <w:hyperlink w:anchor="ie482299f986941e788832d910a8f0f93_16">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6">
              <w:r>
                <w:rPr>
                  <w:rStyle w:val="InternetLink"/>
                  <w:rFonts w:ascii="Times New Roman;sans-serif" w:hAnsi="Times New Roman;sans-serif"/>
                  <w:b w:val="false"/>
                  <w:color w:val="0000FF"/>
                  <w:sz w:val="20"/>
                  <w:u w:val="single"/>
                </w:rPr>
                <w:t>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9">
              <w:r>
                <w:rPr>
                  <w:rStyle w:val="InternetLink"/>
                </w:rPr>
                <w:t xml:space="preserve">Condensed Consolidated Statements of Operations (unaudited) - Three </w:t>
              </w:r>
            </w:hyperlink>
            <w:hyperlink w:anchor="ie482299f986941e788832d910a8f0f93_19">
              <w:r>
                <w:rPr>
                  <w:rStyle w:val="InternetLink"/>
                </w:rPr>
                <w:t xml:space="preserve">Months Ended </w:t>
              </w:r>
            </w:hyperlink>
            <w:hyperlink w:anchor="ie482299f986941e788832d910a8f0f93_19">
              <w:r>
                <w:rPr>
                  <w:rStyle w:val="InternetLink"/>
                </w:rPr>
                <w:t>March</w:t>
              </w:r>
            </w:hyperlink>
            <w:hyperlink w:anchor="ie482299f986941e788832d910a8f0f93_19">
              <w:r>
                <w:rPr>
                  <w:rStyle w:val="InternetLink"/>
                </w:rPr>
                <w:t xml:space="preserve"> 3</w:t>
              </w:r>
            </w:hyperlink>
            <w:hyperlink w:anchor="ie482299f986941e788832d910a8f0f93_19">
              <w:r>
                <w:rPr>
                  <w:rStyle w:val="InternetLink"/>
                </w:rPr>
                <w:t>1</w:t>
              </w:r>
            </w:hyperlink>
            <w:hyperlink w:anchor="ie482299f986941e788832d910a8f0f93_19">
              <w:r>
                <w:rPr>
                  <w:rStyle w:val="InternetLink"/>
                </w:rPr>
                <w:t>, 202</w:t>
              </w:r>
            </w:hyperlink>
            <w:hyperlink w:anchor="ie482299f986941e788832d910a8f0f93_19">
              <w:r>
                <w:rPr>
                  <w:rStyle w:val="InternetLink"/>
                </w:rPr>
                <w:t>3</w:t>
              </w:r>
            </w:hyperlink>
            <w:hyperlink w:anchor="ie482299f986941e788832d910a8f0f93_19">
              <w:r>
                <w:rPr>
                  <w:rStyle w:val="InternetLink"/>
                </w:rPr>
                <w:t xml:space="preserve"> and 202</w:t>
              </w:r>
            </w:hyperlink>
            <w:hyperlink w:anchor="ie482299f986941e788832d910a8f0f93_19">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9">
              <w:r>
                <w:rPr>
                  <w:rStyle w:val="InternetLink"/>
                  <w:rFonts w:ascii="Times New Roman;sans-serif" w:hAnsi="Times New Roman;sans-serif"/>
                  <w:b w:val="false"/>
                  <w:color w:val="0000FF"/>
                  <w:sz w:val="20"/>
                  <w:u w:val="singl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22">
              <w:r>
                <w:rPr>
                  <w:rStyle w:val="InternetLink"/>
                </w:rPr>
                <w:t xml:space="preserve">Condensed Consolidated Statements of Comprehensive </w:t>
              </w:r>
            </w:hyperlink>
            <w:hyperlink w:anchor="ie482299f986941e788832d910a8f0f93_22">
              <w:r>
                <w:rPr>
                  <w:rStyle w:val="InternetLink"/>
                </w:rPr>
                <w:t>Income (</w:t>
              </w:r>
            </w:hyperlink>
            <w:hyperlink w:anchor="ie482299f986941e788832d910a8f0f93_22">
              <w:r>
                <w:rPr>
                  <w:rStyle w:val="InternetLink"/>
                </w:rPr>
                <w:t>Loss</w:t>
              </w:r>
            </w:hyperlink>
            <w:hyperlink w:anchor="ie482299f986941e788832d910a8f0f93_22">
              <w:r>
                <w:rPr>
                  <w:rStyle w:val="InternetLink"/>
                </w:rPr>
                <w:t>)</w:t>
              </w:r>
            </w:hyperlink>
            <w:hyperlink w:anchor="ie482299f986941e788832d910a8f0f93_22">
              <w:r>
                <w:rPr>
                  <w:rStyle w:val="InternetLink"/>
                </w:rPr>
                <w:t xml:space="preserve"> (unaudited) - Three</w:t>
              </w:r>
            </w:hyperlink>
            <w:hyperlink w:anchor="ie482299f986941e788832d910a8f0f93_22">
              <w:r>
                <w:rPr>
                  <w:rStyle w:val="InternetLink"/>
                </w:rPr>
                <w:t xml:space="preserve"> Months Ended </w:t>
              </w:r>
            </w:hyperlink>
            <w:hyperlink w:anchor="ie482299f986941e788832d910a8f0f93_22">
              <w:r>
                <w:rPr>
                  <w:rStyle w:val="InternetLink"/>
                </w:rPr>
                <w:t>March 31</w:t>
              </w:r>
            </w:hyperlink>
            <w:hyperlink w:anchor="ie482299f986941e788832d910a8f0f93_22">
              <w:r>
                <w:rPr>
                  <w:rStyle w:val="InternetLink"/>
                </w:rPr>
                <w:t>, 202</w:t>
              </w:r>
            </w:hyperlink>
            <w:hyperlink w:anchor="ie482299f986941e788832d910a8f0f93_22">
              <w:r>
                <w:rPr>
                  <w:rStyle w:val="InternetLink"/>
                </w:rPr>
                <w:t>3</w:t>
              </w:r>
            </w:hyperlink>
            <w:hyperlink w:anchor="ie482299f986941e788832d910a8f0f93_22">
              <w:r>
                <w:rPr>
                  <w:rStyle w:val="InternetLink"/>
                </w:rPr>
                <w:t xml:space="preserve"> and 202</w:t>
              </w:r>
            </w:hyperlink>
            <w:hyperlink w:anchor="ie482299f986941e788832d910a8f0f93_22">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22">
              <w:r>
                <w:rPr>
                  <w:rStyle w:val="InternetLink"/>
                  <w:rFonts w:ascii="Times New Roman;sans-serif" w:hAnsi="Times New Roman;sans-serif"/>
                  <w:b w:val="false"/>
                  <w:color w:val="0000FF"/>
                  <w:sz w:val="20"/>
                  <w:u w:val="single"/>
                </w:rPr>
                <w:t>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25">
              <w:r>
                <w:rPr>
                  <w:rStyle w:val="InternetLink"/>
                </w:rPr>
                <w:t>Condensed Consolidated Statements of Stockholders’ Deficit (unaudited) - Three</w:t>
              </w:r>
            </w:hyperlink>
            <w:hyperlink w:anchor="ie482299f986941e788832d910a8f0f93_25">
              <w:r>
                <w:rPr>
                  <w:rStyle w:val="InternetLink"/>
                </w:rPr>
                <w:t xml:space="preserve"> Months Ended </w:t>
              </w:r>
            </w:hyperlink>
            <w:hyperlink w:anchor="ie482299f986941e788832d910a8f0f93_25">
              <w:r>
                <w:rPr>
                  <w:rStyle w:val="InternetLink"/>
                </w:rPr>
                <w:t>March</w:t>
              </w:r>
            </w:hyperlink>
            <w:hyperlink w:anchor="ie482299f986941e788832d910a8f0f93_25">
              <w:r>
                <w:rPr>
                  <w:rStyle w:val="InternetLink"/>
                </w:rPr>
                <w:t xml:space="preserve"> 3</w:t>
              </w:r>
            </w:hyperlink>
            <w:hyperlink w:anchor="ie482299f986941e788832d910a8f0f93_25">
              <w:r>
                <w:rPr>
                  <w:rStyle w:val="InternetLink"/>
                </w:rPr>
                <w:t>1</w:t>
              </w:r>
            </w:hyperlink>
            <w:hyperlink w:anchor="ie482299f986941e788832d910a8f0f93_25">
              <w:r>
                <w:rPr>
                  <w:rStyle w:val="InternetLink"/>
                </w:rPr>
                <w:t>, 202</w:t>
              </w:r>
            </w:hyperlink>
            <w:hyperlink w:anchor="ie482299f986941e788832d910a8f0f93_25">
              <w:r>
                <w:rPr>
                  <w:rStyle w:val="InternetLink"/>
                </w:rPr>
                <w:t>3</w:t>
              </w:r>
            </w:hyperlink>
            <w:hyperlink w:anchor="ie482299f986941e788832d910a8f0f93_25">
              <w:r>
                <w:rPr>
                  <w:rStyle w:val="InternetLink"/>
                </w:rPr>
                <w:t xml:space="preserve"> and 202</w:t>
              </w:r>
            </w:hyperlink>
            <w:hyperlink w:anchor="ie482299f986941e788832d910a8f0f93_25">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25">
              <w:r>
                <w:rPr>
                  <w:rStyle w:val="InternetLink"/>
                  <w:rFonts w:ascii="Times New Roman;sans-serif" w:hAnsi="Times New Roman;sans-serif"/>
                  <w:b w:val="false"/>
                  <w:color w:val="0000FF"/>
                  <w:sz w:val="20"/>
                  <w:u w:val="single"/>
                </w:rPr>
                <w:t>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28">
              <w:r>
                <w:rPr>
                  <w:rStyle w:val="InternetLink"/>
                </w:rPr>
                <w:t xml:space="preserve">Condensed Consolidated Statements of Cash Flows (unaudited) - </w:t>
              </w:r>
            </w:hyperlink>
            <w:hyperlink w:anchor="ie482299f986941e788832d910a8f0f93_28">
              <w:r>
                <w:rPr>
                  <w:rStyle w:val="InternetLink"/>
                </w:rPr>
                <w:t>M</w:t>
              </w:r>
            </w:hyperlink>
            <w:hyperlink w:anchor="ie482299f986941e788832d910a8f0f93_28">
              <w:r>
                <w:rPr>
                  <w:rStyle w:val="InternetLink"/>
                </w:rPr>
                <w:t>arch</w:t>
              </w:r>
            </w:hyperlink>
            <w:hyperlink w:anchor="ie482299f986941e788832d910a8f0f93_28">
              <w:r>
                <w:rPr>
                  <w:rStyle w:val="InternetLink"/>
                </w:rPr>
                <w:t xml:space="preserve"> 3</w:t>
              </w:r>
            </w:hyperlink>
            <w:hyperlink w:anchor="ie482299f986941e788832d910a8f0f93_28">
              <w:r>
                <w:rPr>
                  <w:rStyle w:val="InternetLink"/>
                </w:rPr>
                <w:t>1</w:t>
              </w:r>
            </w:hyperlink>
            <w:hyperlink w:anchor="ie482299f986941e788832d910a8f0f93_28">
              <w:r>
                <w:rPr>
                  <w:rStyle w:val="InternetLink"/>
                </w:rPr>
                <w:t>, 202</w:t>
              </w:r>
            </w:hyperlink>
            <w:hyperlink w:anchor="ie482299f986941e788832d910a8f0f93_28">
              <w:r>
                <w:rPr>
                  <w:rStyle w:val="InternetLink"/>
                </w:rPr>
                <w:t>3</w:t>
              </w:r>
            </w:hyperlink>
            <w:hyperlink w:anchor="ie482299f986941e788832d910a8f0f93_28">
              <w:r>
                <w:rPr>
                  <w:rStyle w:val="InternetLink"/>
                </w:rPr>
                <w:t xml:space="preserve"> and 202</w:t>
              </w:r>
            </w:hyperlink>
            <w:hyperlink w:anchor="ie482299f986941e788832d910a8f0f93_28">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28">
              <w:r>
                <w:rPr>
                  <w:rStyle w:val="InternetLink"/>
                  <w:rFonts w:ascii="Times New Roman;sans-serif" w:hAnsi="Times New Roman;sans-serif"/>
                  <w:b w:val="false"/>
                  <w:color w:val="0000FF"/>
                  <w:sz w:val="20"/>
                  <w:u w:val="single"/>
                </w:rPr>
                <w:t>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e482299f986941e788832d910a8f0f93_31">
              <w:r>
                <w:rPr>
                  <w:rStyle w:val="InternetLink"/>
                  <w:rFonts w:ascii="Times New Roman;sans-serif" w:hAnsi="Times New Roman;sans-serif"/>
                  <w:b w:val="false"/>
                  <w:color w:val="0000FF"/>
                  <w:sz w:val="20"/>
                  <w:u w:val="single"/>
                </w:rPr>
                <w:t>Notes to Condensed Consolidated Financial Statements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31">
              <w:r>
                <w:rPr>
                  <w:rStyle w:val="InternetLink"/>
                  <w:rFonts w:ascii="Times New Roman;sans-serif" w:hAnsi="Times New Roman;sans-serif"/>
                  <w:b w:val="false"/>
                  <w:color w:val="0000FF"/>
                  <w:sz w:val="20"/>
                  <w:u w:val="single"/>
                </w:rPr>
                <w:t>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91">
              <w:r>
                <w:rPr>
                  <w:rStyle w:val="InternetLink"/>
                  <w:rFonts w:ascii="Times New Roman;sans-serif" w:hAnsi="Times New Roman;sans-serif"/>
                  <w:b w:val="false"/>
                  <w:color w:val="0000FF"/>
                  <w:sz w:val="20"/>
                  <w:u w:val="single"/>
                </w:rPr>
                <w:t>Item 2.</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91">
              <w:r>
                <w:rPr>
                  <w:rStyle w:val="InternetLink"/>
                  <w:rFonts w:ascii="Times New Roman;sans-serif" w:hAnsi="Times New Roman;sans-serif"/>
                  <w:b w:val="false"/>
                  <w:color w:val="0000FF"/>
                  <w:sz w:val="20"/>
                  <w:u w:val="single"/>
                </w:rPr>
                <w:t>24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18">
              <w:r>
                <w:rPr>
                  <w:rStyle w:val="InternetLink"/>
                  <w:rFonts w:ascii="Times New Roman;sans-serif" w:hAnsi="Times New Roman;sans-serif"/>
                  <w:b w:val="false"/>
                  <w:color w:val="0000FF"/>
                  <w:sz w:val="20"/>
                  <w:u w:val="single"/>
                </w:rPr>
                <w:t>Item 3.</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18">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18">
              <w:r>
                <w:rPr>
                  <w:rStyle w:val="InternetLink"/>
                  <w:rFonts w:ascii="Times New Roman;sans-serif" w:hAnsi="Times New Roman;sans-serif"/>
                  <w:b w:val="false"/>
                  <w:color w:val="0000FF"/>
                  <w:sz w:val="20"/>
                  <w:u w:val="single"/>
                </w:rPr>
                <w:t>40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21">
              <w:r>
                <w:rPr>
                  <w:rStyle w:val="InternetLink"/>
                  <w:rFonts w:ascii="Times New Roman;sans-serif" w:hAnsi="Times New Roman;sans-serif"/>
                  <w:b w:val="false"/>
                  <w:color w:val="0000FF"/>
                  <w:sz w:val="20"/>
                  <w:u w:val="single"/>
                </w:rPr>
                <w:t>Item 4.</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21">
              <w:r>
                <w:rPr>
                  <w:rStyle w:val="InternetLink"/>
                  <w:rFonts w:ascii="Times New Roman;sans-serif" w:hAnsi="Times New Roman;sans-serif"/>
                  <w:b w:val="false"/>
                  <w:color w:val="0000FF"/>
                  <w:sz w:val="20"/>
                  <w:u w:val="single"/>
                </w:rPr>
                <w:t>Controls and Procedures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21">
              <w:r>
                <w:rPr>
                  <w:rStyle w:val="InternetLink"/>
                  <w:rFonts w:ascii="Times New Roman;sans-serif" w:hAnsi="Times New Roman;sans-serif"/>
                  <w:b w:val="false"/>
                  <w:color w:val="0000FF"/>
                  <w:sz w:val="20"/>
                  <w:u w:val="single"/>
                </w:rPr>
                <w:t>41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27">
              <w:r>
                <w:rPr>
                  <w:rStyle w:val="InternetLink"/>
                  <w:rFonts w:ascii="Times New Roman;sans-serif" w:hAnsi="Times New Roman;sans-serif"/>
                  <w:b w:val="false"/>
                  <w:color w:val="0000FF"/>
                  <w:sz w:val="20"/>
                  <w:u w:val="single"/>
                </w:rPr>
                <w:t>Item 1.</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27">
              <w:r>
                <w:rPr>
                  <w:rStyle w:val="InternetLink"/>
                  <w:rFonts w:ascii="Times New Roman;sans-serif" w:hAnsi="Times New Roman;sans-serif"/>
                  <w:b w:val="false"/>
                  <w:color w:val="0000FF"/>
                  <w:sz w:val="20"/>
                  <w:u w:val="single"/>
                </w:rPr>
                <w:t>Legal Proceedings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27">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0">
              <w:r>
                <w:rPr>
                  <w:rStyle w:val="InternetLink"/>
                  <w:rFonts w:ascii="Times New Roman;sans-serif" w:hAnsi="Times New Roman;sans-serif"/>
                  <w:b w:val="false"/>
                  <w:color w:val="0000FF"/>
                  <w:sz w:val="20"/>
                  <w:u w:val="single"/>
                </w:rPr>
                <w:t>Item 1A.</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0">
              <w:r>
                <w:rPr>
                  <w:rStyle w:val="InternetLink"/>
                  <w:rFonts w:ascii="Times New Roman;sans-serif" w:hAnsi="Times New Roman;sans-serif"/>
                  <w:b w:val="false"/>
                  <w:color w:val="0000FF"/>
                  <w:sz w:val="20"/>
                  <w:u w:val="single"/>
                </w:rPr>
                <w:t>Risk Factors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30">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3">
              <w:r>
                <w:rPr>
                  <w:rStyle w:val="InternetLink"/>
                  <w:rFonts w:ascii="Times New Roman;sans-serif" w:hAnsi="Times New Roman;sans-serif"/>
                  <w:b w:val="false"/>
                  <w:color w:val="0000FF"/>
                  <w:sz w:val="20"/>
                  <w:u w:val="single"/>
                </w:rPr>
                <w:t>Item 2.</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3">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33">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6">
              <w:r>
                <w:rPr>
                  <w:rStyle w:val="InternetLink"/>
                  <w:rFonts w:ascii="Times New Roman;sans-serif" w:hAnsi="Times New Roman;sans-serif"/>
                  <w:b w:val="false"/>
                  <w:color w:val="0000FF"/>
                  <w:sz w:val="20"/>
                  <w:u w:val="single"/>
                </w:rPr>
                <w:t>Item 3.</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6">
              <w:r>
                <w:rPr>
                  <w:rStyle w:val="InternetLink"/>
                  <w:rFonts w:ascii="Times New Roman;sans-serif" w:hAnsi="Times New Roman;sans-serif"/>
                  <w:b w:val="false"/>
                  <w:color w:val="0000FF"/>
                  <w:sz w:val="20"/>
                  <w:u w:val="single"/>
                </w:rPr>
                <w:t>Default Upon Senior Securities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33">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9">
              <w:r>
                <w:rPr>
                  <w:rStyle w:val="InternetLink"/>
                  <w:rFonts w:ascii="Times New Roman;sans-serif" w:hAnsi="Times New Roman;sans-serif"/>
                  <w:b w:val="false"/>
                  <w:color w:val="0000FF"/>
                  <w:sz w:val="20"/>
                  <w:u w:val="single"/>
                </w:rPr>
                <w:t>Item 4.</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39">
              <w:r>
                <w:rPr>
                  <w:rStyle w:val="InternetLink"/>
                  <w:rFonts w:ascii="Times New Roman;sans-serif" w:hAnsi="Times New Roman;sans-serif"/>
                  <w:b w:val="false"/>
                  <w:color w:val="0000FF"/>
                  <w:sz w:val="20"/>
                  <w:u w:val="single"/>
                </w:rPr>
                <w:t>Mine Safety Disclosures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33">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42">
              <w:r>
                <w:rPr>
                  <w:rStyle w:val="InternetLink"/>
                  <w:rFonts w:ascii="Times New Roman;sans-serif" w:hAnsi="Times New Roman;sans-serif"/>
                  <w:b w:val="false"/>
                  <w:color w:val="0000FF"/>
                  <w:sz w:val="20"/>
                  <w:u w:val="single"/>
                </w:rPr>
                <w:t>Item 5.</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42">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42">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45">
              <w:r>
                <w:rPr>
                  <w:rStyle w:val="InternetLink"/>
                  <w:rFonts w:ascii="Times New Roman;sans-serif" w:hAnsi="Times New Roman;sans-serif"/>
                  <w:b w:val="false"/>
                  <w:color w:val="0000FF"/>
                  <w:sz w:val="20"/>
                  <w:u w:val="single"/>
                </w:rPr>
                <w:t>Item 6.</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45">
              <w:r>
                <w:rPr>
                  <w:rStyle w:val="InternetLink"/>
                  <w:rFonts w:ascii="Times New Roman;sans-serif" w:hAnsi="Times New Roman;sans-serif"/>
                  <w:b w:val="false"/>
                  <w:color w:val="0000FF"/>
                  <w:sz w:val="20"/>
                  <w:u w:val="single"/>
                </w:rPr>
                <w:t>Exhibits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45">
              <w:r>
                <w:rPr>
                  <w:rStyle w:val="InternetLink"/>
                  <w:rFonts w:ascii="Times New Roman;sans-serif" w:hAnsi="Times New Roman;sans-serif"/>
                  <w:b w:val="false"/>
                  <w:color w:val="0000FF"/>
                  <w:sz w:val="20"/>
                  <w:u w:val="single"/>
                </w:rPr>
                <w:t>43</w:t>
              </w:r>
            </w:hyperlink>
          </w:p>
        </w:tc>
      </w:tr>
      <w:tr>
        <w:trPr/>
        <w:tc>
          <w:tcPr>
            <w:tcW w:w="983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82299f986941e788832d910a8f0f93_148">
              <w:r>
                <w:rPr>
                  <w:rStyle w:val="InternetLink"/>
                  <w:rFonts w:ascii="Times New Roman;sans-serif" w:hAnsi="Times New Roman;sans-serif"/>
                  <w:b w:val="false"/>
                  <w:color w:val="0000FF"/>
                  <w:sz w:val="20"/>
                  <w:u w:val="single"/>
                </w:rPr>
                <w:t>Signature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82299f986941e788832d910a8f0f93_148">
              <w:r>
                <w:rPr>
                  <w:rStyle w:val="InternetLink"/>
                  <w:rFonts w:ascii="Times New Roman;sans-serif" w:hAnsi="Times New Roman;sans-serif"/>
                  <w:b w:val="false"/>
                  <w:color w:val="0000FF"/>
                  <w:sz w:val="20"/>
                  <w:u w:val="single"/>
                </w:rPr>
                <w:t>44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867"/>
        <w:gridCol w:w="2139"/>
        <w:gridCol w:w="2152"/>
        <w:gridCol w:w="196"/>
        <w:gridCol w:w="976"/>
        <w:gridCol w:w="109"/>
        <w:gridCol w:w="109"/>
        <w:gridCol w:w="109"/>
        <w:gridCol w:w="109"/>
        <w:gridCol w:w="212"/>
        <w:gridCol w:w="1058"/>
        <w:gridCol w:w="169"/>
      </w:tblGrid>
      <w:tr>
        <w:trPr/>
        <w:tc>
          <w:tcPr>
            <w:tcW w:w="2867"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3,650,440 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$57,136 and $78,842</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216,033 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4,253,280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4,029,587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6,826,026 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6,896,060 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127,731 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245,253 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1,853,164 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263,305 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13,724,021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13,415,100</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197,474 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506,148 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547,543 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1,370,915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1,811,423</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12,106,970 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11,569,316 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operating lease liabilities </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1,615,157 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59,569 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15,340,391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15,055,465</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16)</w:t>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132,801,971 and 132,256,185 shares issued; 113,808,044 and 113,369,439 shares outstanding, respectively</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18,993,927 and 18,886,746 shares, respectively</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(1,634,706)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(1,623,872)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3,583,923 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(2,699,476)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(2,711,808)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(717,434)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(750,838)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(889,527)</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(1,616,370)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(1,640,365)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13,724,021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13,415,100</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0"/>
        <w:jc w:val="center"/>
        <w:rPr/>
      </w:pPr>
      <w:r>
        <w:rPr/>
      </w:r>
    </w:p>
    <w:tbl>
      <w:tblPr>
        <w:tblW w:w="7538" w:type="dxa"/>
        <w:jc w:val="center"/>
        <w:tblInd w:w="0" w:type="dxa"/>
        <w:tblCellMar>
          <w:top w:w="28" w:type="dxa"/>
          <w:left w:w="28" w:type="dxa"/>
          <w:bottom w:w="28" w:type="dxa"/>
          <w:right w:w="28" w:type="dxa"/>
        </w:tblCellMar>
      </w:tblPr>
      <w:tblGrid>
        <w:gridCol w:w="1740"/>
        <w:gridCol w:w="1524"/>
        <w:gridCol w:w="1535"/>
        <w:gridCol w:w="211"/>
        <w:gridCol w:w="826"/>
        <w:gridCol w:w="109"/>
        <w:gridCol w:w="109"/>
        <w:gridCol w:w="109"/>
        <w:gridCol w:w="109"/>
        <w:gridCol w:w="211"/>
        <w:gridCol w:w="901"/>
        <w:gridCol w:w="154"/>
      </w:tblGrid>
      <w:tr>
        <w:trPr/>
        <w:tc>
          <w:tcPr>
            <w:tcW w:w="174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1,423,679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953,334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1,254,164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1,048,199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(253,470)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(183,324)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8484" w:type="dxa"/>
        <w:jc w:val="left"/>
        <w:tblInd w:w="0" w:type="dxa"/>
        <w:tblCellMar>
          <w:top w:w="28" w:type="dxa"/>
          <w:left w:w="28" w:type="dxa"/>
          <w:bottom w:w="28" w:type="dxa"/>
          <w:right w:w="28" w:type="dxa"/>
        </w:tblCellMar>
      </w:tblPr>
      <w:tblGrid>
        <w:gridCol w:w="2113"/>
        <w:gridCol w:w="1854"/>
        <w:gridCol w:w="1868"/>
        <w:gridCol w:w="211"/>
        <w:gridCol w:w="736"/>
        <w:gridCol w:w="109"/>
        <w:gridCol w:w="109"/>
        <w:gridCol w:w="109"/>
        <w:gridCol w:w="109"/>
        <w:gridCol w:w="211"/>
        <w:gridCol w:w="901"/>
        <w:gridCol w:w="154"/>
      </w:tblGrid>
      <w:tr>
        <w:trPr/>
        <w:tc>
          <w:tcPr>
            <w:tcW w:w="2113"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16,309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(250,013)</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Wynn Resorts, Limited</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23,211</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(180,027)</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2682" w:type="dxa"/>
        <w:jc w:val="center"/>
        <w:tblInd w:w="0" w:type="dxa"/>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08"/>
        <w:gridCol w:w="657"/>
        <w:gridCol w:w="126"/>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6" w:type="dxa"/>
            <w:gridSpan w:val="5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2023</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113,369,439 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(1,623,872)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(889,527)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(1,640,365)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(11,186)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520,773 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(6,380)</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(107,181)</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6,109 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25,284 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March 31, 2023</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113,808,044</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(1,634,706)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3,604,945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10,475</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(2,699,476)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(717,434)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(898,936)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(1,616,370)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2682" w:type="dxa"/>
        <w:jc w:val="center"/>
        <w:tblInd w:w="0" w:type="dxa"/>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6"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2022</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deficit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2022</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115,714,943 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(1,436,373)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(2,288,078)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(621,797)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(836,215)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(71,286)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(254,610)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419,198 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(79,095)</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(137,085)</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 from noncontrolling interest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March 31, 2022</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115,917,961</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1,318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(1,448,040)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3,571,666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9,301</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(2,471,285)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(337,040)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(696,219)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(1,033,259)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340" w:after="340"/>
        <w:rPr/>
      </w:pPr>
      <w:r>
        <w:rPr/>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9669" w:type="dxa"/>
        <w:jc w:val="center"/>
        <w:tblInd w:w="0" w:type="dxa"/>
        <w:tblCellMar>
          <w:top w:w="28" w:type="dxa"/>
          <w:left w:w="28" w:type="dxa"/>
          <w:bottom w:w="28" w:type="dxa"/>
          <w:right w:w="28" w:type="dxa"/>
        </w:tblCellMar>
      </w:tblPr>
      <w:tblGrid>
        <w:gridCol w:w="2505"/>
        <w:gridCol w:w="2197"/>
        <w:gridCol w:w="2213"/>
        <w:gridCol w:w="196"/>
        <w:gridCol w:w="886"/>
        <w:gridCol w:w="109"/>
        <w:gridCol w:w="109"/>
        <w:gridCol w:w="109"/>
        <w:gridCol w:w="109"/>
        <w:gridCol w:w="196"/>
        <w:gridCol w:w="886"/>
        <w:gridCol w:w="154"/>
      </w:tblGrid>
      <w:tr>
        <w:trPr/>
        <w:tc>
          <w:tcPr>
            <w:tcW w:w="2505"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169,491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(117,385)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and other assets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(131,950)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(97,215)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(1,018,973)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noncontrolling interest in subsidiary</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payments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costs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121,003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10,872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exchange rate on cash, cash equivalents and restricted cash</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Increase (decrease) in cash,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155,977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(204,653)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3,782,990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2,531,067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3,938,967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2,326,414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Organization</w:t>
      </w:r>
    </w:p>
    <w:p>
      <w:pPr>
        <w:pStyle w:val="TextBody"/>
        <w:spacing w:before="0" w:after="0"/>
        <w:ind w:left="0" w:right="0" w:firstLine="22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Note 2 -</w:t>
      </w:r>
      <w:r>
        <w:rPr>
          <w:color w:val="000000"/>
        </w:rPr>
        <w:t>    </w:t>
      </w:r>
      <w:r>
        <w:rPr>
          <w:rFonts w:ascii="Times New Roman;sans-serif" w:hAnsi="Times New Roman;sans-serif"/>
          <w:b/>
          <w:color w:val="000000"/>
          <w:sz w:val="20"/>
        </w:rPr>
        <w:t>Basis of Presentation and Significant Accounting Policies</w:t>
      </w:r>
    </w:p>
    <w:p>
      <w:pPr>
        <w:pStyle w:val="TextBody"/>
        <w:spacing w:before="0" w:after="0"/>
        <w:ind w:left="0" w:right="0" w:firstLine="225"/>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2023 are not necessarily indicative of results to be expected for any other interim period or the full fiscal year ending December 31, 2023. These condensed consolidated financial statements should be read in conjunction with the consolidated financial statements and notes thereto in the Company's Annual Report on Form 10-K for the year ended December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17, "Retail Joint Venture." All significant intercompany accounts and transactions have been eliminated.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before="0" w:after="0"/>
        <w:ind w:left="0" w:right="0" w:firstLine="45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long-lived and intangible assets, valuations of derivatives, and litigation and contingency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$310.4 million and $176.9 million for the three months ended March 31, 2023 and 2022, respectively.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the recently issued, but not yet effective, accounting standards that have been issued or proposed by the Financial Accounting Standards Board or other standards-setting bodies through the filing date of these financial statements and does not believe the future adoption of any such pronouncements will have a material effect on the Company’s financial position, results of operations and cash flows.</w:t>
      </w:r>
    </w:p>
    <w:p>
      <w:pPr>
        <w:pStyle w:val="TextBody"/>
        <w:spacing w:before="0" w:after="4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Cash, Cash Equivalents and Restricted Cash</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10205" w:type="dxa"/>
        <w:jc w:val="left"/>
        <w:tblInd w:w="0" w:type="dxa"/>
        <w:tblCellMar>
          <w:top w:w="28" w:type="dxa"/>
          <w:left w:w="28" w:type="dxa"/>
          <w:bottom w:w="28" w:type="dxa"/>
          <w:right w:w="28" w:type="dxa"/>
        </w:tblCellMar>
      </w:tblPr>
      <w:tblGrid>
        <w:gridCol w:w="1723"/>
        <w:gridCol w:w="1516"/>
        <w:gridCol w:w="1525"/>
        <w:gridCol w:w="370"/>
        <w:gridCol w:w="1742"/>
        <w:gridCol w:w="191"/>
        <w:gridCol w:w="191"/>
        <w:gridCol w:w="191"/>
        <w:gridCol w:w="191"/>
        <w:gridCol w:w="397"/>
        <w:gridCol w:w="1871"/>
        <w:gridCol w:w="297"/>
      </w:tblGrid>
      <w:tr>
        <w:trPr/>
        <w:tc>
          <w:tcPr>
            <w:tcW w:w="1723"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4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23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Cash </w:t>
            </w:r>
            <w:r>
              <w:rPr>
                <w:rFonts w:ascii="Times New Roman;sans-serif" w:hAnsi="Times New Roman;sans-serif"/>
                <w:b w:val="false"/>
                <w:color w:val="000000"/>
                <w:sz w:val="16"/>
              </w:rPr>
              <w:t>(1)</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1,275,360 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1,699,583 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6"/>
              </w:rPr>
              <w:t>(2)</w:t>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2,568,168 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1,950,857 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 xml:space="preserve">Total cash and cash equivalents </w:t>
            </w:r>
          </w:p>
        </w:tc>
        <w:tc>
          <w:tcPr>
            <w:tcW w:w="2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3,843,528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3,650,440</w:t>
            </w:r>
            <w:r>
              <w:rPr>
                <w:color w:val="000000"/>
              </w:rPr>
              <w:t>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6"/>
              </w:rPr>
              <w:t>(3)</w:t>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3,938,967</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3,782,990</w:t>
            </w:r>
            <w:r>
              <w:rPr>
                <w:color w:val="000000"/>
              </w:rPr>
              <w:t>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Cash consists of cash on hand and bank deposits. </w:t>
            </w:r>
          </w:p>
          <w:p>
            <w:pPr>
              <w:pStyle w:val="TableContents"/>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Cash equivalents consist of bank time deposits and money market funds.</w:t>
            </w:r>
          </w:p>
          <w:p>
            <w:pPr>
              <w:pStyle w:val="TableContents"/>
              <w:spacing w:lineRule="auto" w:line="240"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Restricted cash consists of cash subject to certain contractual restrictions, cash collateral associated with obligations and cash held in a trust in accordance with WML's share award plan, and as of March 31, 2023 and December 31, 2022 includes $86.6 million and $124.5 million, respectively, in the form of a first demand bank guarantee in favor of the Macau government to support Wynn Resorts (Macau) S.A.'s legal and contractual obligations through the term of the Gaming Concession Contract (as defined in Note 6, "Goodwill and Intangible Assets, net"). </w:t>
            </w:r>
          </w:p>
        </w:tc>
      </w:tr>
    </w:tbl>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disclosures of the Company (in thousands):</w:t>
      </w:r>
    </w:p>
    <w:tbl>
      <w:tblPr>
        <w:tblW w:w="8528" w:type="dxa"/>
        <w:jc w:val="left"/>
        <w:tblInd w:w="0" w:type="dxa"/>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liabilities related to intangible assets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 included in accounts payable and other liabilities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For the three months ended March 31, 2023, includes $199.6 million related to the Macau gaming premium in connection with the Gaming Concession Contract. See Note 6, "Goodwill and Intangible Assets, net" for further information.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net consisted of the following (in thousands): </w:t>
      </w:r>
    </w:p>
    <w:tbl>
      <w:tblPr>
        <w:tblW w:w="5846" w:type="dxa"/>
        <w:jc w:val="left"/>
        <w:tblInd w:w="0" w:type="dxa"/>
        <w:tblCellMar>
          <w:top w:w="28" w:type="dxa"/>
          <w:left w:w="28" w:type="dxa"/>
          <w:bottom w:w="28" w:type="dxa"/>
          <w:right w:w="28" w:type="dxa"/>
        </w:tblCellMar>
      </w:tblPr>
      <w:tblGrid>
        <w:gridCol w:w="982"/>
        <w:gridCol w:w="864"/>
        <w:gridCol w:w="868"/>
        <w:gridCol w:w="229"/>
        <w:gridCol w:w="913"/>
        <w:gridCol w:w="118"/>
        <w:gridCol w:w="109"/>
        <w:gridCol w:w="109"/>
        <w:gridCol w:w="109"/>
        <w:gridCol w:w="270"/>
        <w:gridCol w:w="1078"/>
        <w:gridCol w:w="197"/>
      </w:tblGrid>
      <w:tr>
        <w:trPr/>
        <w:tc>
          <w:tcPr>
            <w:tcW w:w="9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87,328 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284,468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294,875</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(57,136)</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227,332</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216,033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approximately 63.2% and 57.6%,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allowance for casino credit losses was 35.2% and 43.2% of gross casino receivables as of March 31, 2023 and December 31, 2022, respectively. Although the Company believes that its allowance is adequate, it is possible the estimated amounts of cash collections with respect to receivables could change. The Company’s allowance for credit losses from its hotel and other receivables is not material. </w:t>
      </w:r>
    </w:p>
    <w:p>
      <w:pPr>
        <w:pStyle w:val="TextBody"/>
        <w:spacing w:before="0" w:after="0"/>
        <w:ind w:left="0" w:right="0" w:firstLine="450"/>
        <w:jc w:val="both"/>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The following table shows the movement in the Company's allowance for credit losses recognized for receivables that occurred during the periods presented (in thousands):</w:t>
      </w:r>
      <w:r>
        <w:rPr>
          <w:color w:val="000000"/>
        </w:rPr>
        <w:t> </w:t>
      </w:r>
    </w:p>
    <w:p>
      <w:pPr>
        <w:pStyle w:val="TextBody"/>
        <w:spacing w:before="0" w:after="0"/>
        <w:ind w:left="0" w:right="0" w:firstLine="495"/>
        <w:jc w:val="both"/>
        <w:rPr/>
      </w:pPr>
      <w:r>
        <w:rPr/>
      </w:r>
    </w:p>
    <w:tbl>
      <w:tblPr>
        <w:tblW w:w="6758" w:type="dxa"/>
        <w:jc w:val="left"/>
        <w:tblInd w:w="0" w:type="dxa"/>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841"/>
        <w:gridCol w:w="154"/>
      </w:tblGrid>
      <w:tr>
        <w:trPr/>
        <w:tc>
          <w:tcPr>
            <w:tcW w:w="1510"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111,319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57,136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100,101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p>
      <w:pPr>
        <w:pStyle w:val="TextBody"/>
        <w:spacing w:before="0" w:after="0"/>
        <w:ind w:left="0" w:right="0" w:firstLine="450"/>
        <w:rPr/>
      </w:pPr>
      <w:r>
        <w:rPr/>
      </w:r>
    </w:p>
    <w:tbl>
      <w:tblPr>
        <w:tblW w:w="6017" w:type="dxa"/>
        <w:jc w:val="left"/>
        <w:tblInd w:w="0" w:type="dxa"/>
        <w:tblCellMar>
          <w:top w:w="28" w:type="dxa"/>
          <w:left w:w="28" w:type="dxa"/>
          <w:bottom w:w="28" w:type="dxa"/>
          <w:right w:w="28" w:type="dxa"/>
        </w:tblCellMar>
      </w:tblPr>
      <w:tblGrid>
        <w:gridCol w:w="1027"/>
        <w:gridCol w:w="902"/>
        <w:gridCol w:w="906"/>
        <w:gridCol w:w="211"/>
        <w:gridCol w:w="991"/>
        <w:gridCol w:w="109"/>
        <w:gridCol w:w="109"/>
        <w:gridCol w:w="109"/>
        <w:gridCol w:w="109"/>
        <w:gridCol w:w="240"/>
        <w:gridCol w:w="1129"/>
        <w:gridCol w:w="175"/>
      </w:tblGrid>
      <w:tr>
        <w:trPr/>
        <w:tc>
          <w:tcPr>
            <w:tcW w:w="102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8,363,427 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1,195,717 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3,165,659 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12,992,720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12,947,460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(6,166,694)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(6,051,400)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6,826,026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6,896,060</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construction in progress consisted primarily of costs capitalized for various capital enhancements at the Company's properties.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2023 and 2022 was $154.1 million and $176.3 million, respectively.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The following table shows the movement in the Company's goodwill and intangible assets balances that occurred during the periods presented (in thousands):</w:t>
      </w:r>
      <w:r>
        <w:rPr>
          <w:color w:val="000000"/>
        </w:rPr>
        <w:t> </w:t>
      </w:r>
    </w:p>
    <w:tbl>
      <w:tblPr>
        <w:tblW w:w="6701" w:type="dxa"/>
        <w:jc w:val="left"/>
        <w:tblInd w:w="0" w:type="dxa"/>
        <w:tblCellMar>
          <w:top w:w="28" w:type="dxa"/>
          <w:left w:w="28" w:type="dxa"/>
          <w:bottom w:w="28" w:type="dxa"/>
          <w:right w:w="28" w:type="dxa"/>
        </w:tblCellMar>
      </w:tblPr>
      <w:tblGrid>
        <w:gridCol w:w="1292"/>
        <w:gridCol w:w="1136"/>
        <w:gridCol w:w="1141"/>
        <w:gridCol w:w="229"/>
        <w:gridCol w:w="913"/>
        <w:gridCol w:w="118"/>
        <w:gridCol w:w="109"/>
        <w:gridCol w:w="109"/>
        <w:gridCol w:w="109"/>
        <w:gridCol w:w="270"/>
        <w:gridCol w:w="1078"/>
        <w:gridCol w:w="197"/>
      </w:tblGrid>
      <w:tr>
        <w:trPr/>
        <w:tc>
          <w:tcPr>
            <w:tcW w:w="1292"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Macau gaming concession</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208,296 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(48,304)</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203,089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Massachusetts gaming license</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88,100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90,062</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finite-lived intangible assets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61,633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56,274</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finite-lived intangible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352,822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146,336</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Water rights and other</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indefinite-lived intangible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8,397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8,397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Balance at beginning of year </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90,520</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129,738</w:t>
            </w: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Foreign currency translation</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Impairment </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Balance at end of period </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90,520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90,520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goodwill and intangible assets, net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451,739</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245,253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Wynn Resorts (Macau) S.A. ("Wynn Macau SA"), an indirect subsidiary of Wynn Resorts, Limited,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Under the terms of the Gaming Concession Contract, Wynn Macau SA is required to pay the Macau government an annual gaming premium consisting of a fixed and a variable portion. The fixed portion of the premium is composed of an annual amount equal to MOP30.0 million (approximately $3.7 million). The variable portion is composed of an annual amount equal to MOP300,000 (approximately $37 thousand) per gaming table located in special gaming halls reserved exclusively to particular games or players, MOP150,000 (approximately $19 thousand) per gaming table that is not reserved exclusively to particular games or players, and MOP1,000 (approximately $124) per gaming machine, including slot machines, operated by Wynn Macau SA.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the Company will continue to recognize the casino areas and gaming equipment as property and equipment over their remaining estimated useful lives. In exchange for the use of such assets, Wynn Macau SA has agreed to make annual payments to the Macau government of MOP53.1 million (approximately $6.6 million) during each of the years ending December 31, 2023, 2024, and 2025, and an annual payment of MOP177.0 million (approximately $21.9 million) during each of the remaining years of the term of the Gaming Concession Contract through December 31, 2032, subject to adjustment in each year based on the average price index in Macau. Pursuant to the Gaming Concession Contract, Wynn Macau SA will revert to the Macau government the casino areas and gaming equipment, without compensation and free of encumbrance upon the rescission or termination of the gaming concession on December 31, 2032.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Wynn Macau SA is currently approved to operate by the Macau government. In the accompanying condensed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$15.6 million in the nine months ending December 31, 2023, and $20.8 million each year from 2024 to 2032.</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Interactive Goodwill</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as a result of changes in forecasts and other industry-specific factors, the Company identified interim indicators of impairment related to the goodwill assigned to the reporting units comprising Wynn Interactive. After revisiting the estimated fair value of those reporting units based on a combination of the income and market approaches, the Company recognized impairment of $30.3 million, which is recorded in Property charges and other in the accompanying Condensed Consolidated Statements of Operations.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(in thousands):</w:t>
      </w:r>
    </w:p>
    <w:p>
      <w:pPr>
        <w:pStyle w:val="TextBody"/>
        <w:spacing w:lineRule="auto" w:line="288" w:before="0" w:after="0"/>
        <w:ind w:left="0" w:right="0" w:firstLine="45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506"/>
        <w:gridCol w:w="2200"/>
        <w:gridCol w:w="2212"/>
        <w:gridCol w:w="211"/>
        <w:gridCol w:w="1096"/>
        <w:gridCol w:w="109"/>
        <w:gridCol w:w="109"/>
        <w:gridCol w:w="109"/>
        <w:gridCol w:w="109"/>
        <w:gridCol w:w="222"/>
        <w:gridCol w:w="1158"/>
        <w:gridCol w:w="164"/>
      </w:tblGrid>
      <w:tr>
        <w:trPr/>
        <w:tc>
          <w:tcPr>
            <w:tcW w:w="2506"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6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WM Cayman II Revolver, due 2025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1,500,473 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7/8% Senior Notes, due 2024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WML 4 1/2% Convertible Bonds, due 2029 </w:t>
            </w:r>
            <w:r>
              <w:rPr>
                <w:rFonts w:ascii="Times New Roman;sans-serif" w:hAnsi="Times New Roman;sans-serif"/>
                <w:b w:val="false"/>
                <w:color w:val="000000"/>
                <w:sz w:val="16"/>
              </w:rPr>
              <w:t>(2)</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WRF Credit Facilities </w:t>
            </w:r>
            <w:r>
              <w:rPr>
                <w:rFonts w:ascii="Times New Roman;sans-serif" w:hAnsi="Times New Roman;sans-serif"/>
                <w:b w:val="false"/>
                <w:color w:val="000000"/>
                <w:sz w:val="16"/>
              </w:rPr>
              <w:t>(3)</w:t>
            </w:r>
            <w:r>
              <w:rPr>
                <w:rFonts w:ascii="Times New Roman;sans-serif" w:hAnsi="Times New Roman;sans-serif"/>
                <w:b w:val="false"/>
                <w:color w:val="000000"/>
                <w:sz w:val="20"/>
              </w:rPr>
              <w:t>:</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4 1/4% Senior Notes, due 2023</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Retail Term Loan, due 2025</w:t>
            </w:r>
            <w:r>
              <w:rPr>
                <w:color w:val="000000"/>
              </w:rPr>
              <w:t xml:space="preserve"> </w:t>
            </w:r>
            <w:r>
              <w:rPr>
                <w:rFonts w:ascii="Times New Roman;sans-serif" w:hAnsi="Times New Roman;sans-serif"/>
                <w:b w:val="false"/>
                <w:color w:val="000000"/>
                <w:sz w:val="16"/>
              </w:rPr>
              <w:t>(4)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12,336,022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12,162,973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12,250,132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12,116,859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(547,543)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12,106,970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11,569,316</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borrowings under the WM Cayman II Revolver bear interest at LIBOR or HIBOR plus a margin of 1.875% to 2.875% per annum based on WM Cayman II’s leverage ratio on a consolidated basis, subject to a floor on the interest rate margin of 2.625% per annum through June 30, 2023. Approximately $312.5 million and $1.18 billion of the WM Cayman II Revolver bears interest at a rate of LIBOR plus 2.875% per year and HIBOR plus 2.875% per year, respectively. As of March 31, 2023, the weighted average interest rate was approximately 6.39%. As of March 31, 2023, the WM Cayman II Revolver was fully drawn. </w:t>
      </w:r>
    </w:p>
    <w:p>
      <w:pPr>
        <w:pStyle w:val="TextBody"/>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As of March 31, 2023, the net carrying amount of the WML Convertible Bonds was $466.4 million, with unamortized debt discount and debt issuance costs of $133.6 million. </w:t>
      </w:r>
    </w:p>
    <w:p>
      <w:pPr>
        <w:pStyle w:val="TextBody"/>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The WRF Credit Facilities bear interest at a rate of LIBOR plus 1.75% per year. As of March 31, 2023, the weighted average interest rate was approximately 6.60%. Additionally, as of March 31, 2023, the available borrowing capacity under the WRF Revolver was $837.0 million, net of $13.0 million in outstanding letters of credit. </w:t>
      </w:r>
    </w:p>
    <w:p>
      <w:pPr>
        <w:pStyle w:val="TextBody"/>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(4) The Retail Term Loan bears interest at a rate of LIBOR plus 1.70% per year. As of March 31, 2023, the interest rate was 5.45%.</w:t>
      </w:r>
    </w:p>
    <w:p>
      <w:pPr>
        <w:pStyle w:val="TextBody"/>
        <w:spacing w:before="0" w:after="0"/>
        <w:jc w:val="both"/>
        <w:rPr/>
      </w:pPr>
      <w:r>
        <w:rPr/>
      </w:r>
    </w:p>
    <w:p>
      <w:pPr>
        <w:pStyle w:val="TextBody"/>
        <w:spacing w:lineRule="auto" w:line="256"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4 1/2% Convertible Bonds, due 2029</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2023, WML completed an offering (the "Offering") of $600 million 4.50% convertible bonds due 2029 (the "WML Convertible Bonds"). The WML Convertible Bonds are constituted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$585.9 million. WML intends to use the net proceeds for general corporate purposes.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bear interest on their outstanding principal amount from and including March 7, 2023 at the rate of 4.50% per annum, payable semi-annually in arrears on March 7 and September 7 of each year. At any time on or after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April 17, 2023, the WML Convertible Bonds are convertible at the option of the holder thereof into fully paid ordinary shares of WML, each with a nominal value of HK$0.001 per share ("Ordinary Shares"), at the initial conversion price of approximately HK$10.24 (equivalent to approximately $1.30)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WML Convertible Bonds have the option to require WML to redeem all or some only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recorded at fair value each reporting period, with changes recognized in the statement of operations. For more information, see "Note 8 - WML Convertible Bond Conversion Option Derivative." As a result, the Company recognized a debt discount of $123.5 million within Long-term debt, representing the estimated fair value of the holders' conversion option upon completion of the Offering. The debt discount will be amortized to interest expense over the term of the WML Convertible Bonds using the effective interest method. As of March 31, 2023, the estimated fair value of the WML Convertible Bond Conversion Option Derivative was a liability of $98.6 million, recorded within Long-term debt within the accompanying Condensed Consolidated Balance Sheet.</w:t>
      </w:r>
    </w:p>
    <w:p>
      <w:pPr>
        <w:pStyle w:val="TextBody"/>
        <w:spacing w:before="0" w:after="0"/>
        <w:ind w:left="0" w:right="0" w:hanging="90"/>
        <w:jc w:val="both"/>
        <w:rPr/>
      </w:pPr>
      <w:r>
        <w:rPr/>
      </w:r>
    </w:p>
    <w:p>
      <w:pPr>
        <w:pStyle w:val="TextBody"/>
        <w:spacing w:lineRule="auto" w:line="288" w:before="0" w:after="0"/>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WRF Senior Notes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2023, Wynn Resorts Finance, LLC ("WRF") and its subsidiary Wynn Resorts Capital Corp. (together with WRF, the "WRF Issuers"), each an indirect wholly owned subsidiary of the Company, issued $600.0 million aggregate principal amount of 7 1/8% Senior Notes due 2031 (the "2031 WRF Senior Notes") pursuant to an indenture among the WRF Issuers, the guarantors party thereto, and U.S. Bank Trust Company, National Association, as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7 3/4% Senior Notes due 2025 (the "2025 WRF Senior Notes") and accepted for purchase valid tenders with respect to $506.4 million principal amount and paid a tender premium of $12.4 million to the holders of such tendered 2025 WRF Senior Notes. The Company used a portion of the net proceeds from the issuance of the 2031 WRF Senior Notes to purchase such tendered 2025 WRF Senior Notes and to pay the tender premium and related fees and expenses. In connection with the issuance of the 2031 WRF Senior Notes and purchase of the tendered 2025 WRF Senior Notes, we recognized a loss on debt financing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of $8.4 million within the accompanying Condensed Consolidated Statement of Operations, and we recorded debt issuance costs of $11.4 million within the accompanying Condensed Consolidated Balance Sheet.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WRF repurchased all of the outstanding 2025 WRF Senior Notes using the remaining net proceeds from the issuance of the 2031 WRF Senior Notes and cash held by WRF, at a price equal to 101.938% of the principal amount plus accrued interest under the terms of its indenture.</w:t>
      </w:r>
    </w:p>
    <w:p>
      <w:pPr>
        <w:pStyle w:val="TextBody"/>
        <w:spacing w:before="0" w:after="0"/>
        <w:ind w:left="0" w:right="0" w:hanging="270"/>
        <w:jc w:val="both"/>
        <w:rPr/>
      </w:pPr>
      <w:r>
        <w:rPr/>
      </w:r>
    </w:p>
    <w:p>
      <w:pPr>
        <w:pStyle w:val="TextBody"/>
        <w:spacing w:lineRule="auto" w:line="288" w:before="0" w:after="0"/>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WLV 4 1/4% Senior Notes, due 2023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repurchased all of its outstanding Wynn Las Vegas 4 1/4% Senior Notes due 2023, representing an aggregate principal amount of $500.0 million, using cash held by WRF, at a price equal to 100% of the principal amount plus accrued interest under the terms of its indenture. The Company recognized a loss on early extinguishment of debt of $1.0 million. </w:t>
      </w:r>
    </w:p>
    <w:p>
      <w:pPr>
        <w:pStyle w:val="TextBody"/>
        <w:spacing w:before="0" w:after="0"/>
        <w:ind w:left="0" w:right="0" w:firstLine="450"/>
        <w:jc w:val="both"/>
        <w:rPr/>
      </w:pPr>
      <w:r>
        <w:rPr/>
      </w:r>
    </w:p>
    <w:p>
      <w:pPr>
        <w:pStyle w:val="TextBody"/>
        <w:spacing w:lineRule="auto" w:line="256"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Covenant Compliance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management believes the Company was in compliance with all debt covenants.</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long-term debt as of March 31, 2023 and December 31, 2022, was approximately $11.67 billion and $11.23 billion, respectively, compared to its carrying value, excluding debt issuance costs and original issue discount and premium, of $12.34 billion and $12.16 billion, respectively. The estimated fair value of the Company's long-term debt is based on recent trades, if available, and indicative pricing from market information (Level 2 inputs).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WML Convertible Bond Conversion Option Derivative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recorded at fair value each reporting period, with changes recognized in the statement of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inputs to the lattice models that were used to value the embedded derivatives:</w:t>
      </w:r>
    </w:p>
    <w:tbl>
      <w:tblPr>
        <w:tblW w:w="5729" w:type="dxa"/>
        <w:jc w:val="left"/>
        <w:tblInd w:w="0" w:type="dxa"/>
        <w:tblCellMar>
          <w:top w:w="28" w:type="dxa"/>
          <w:left w:w="28" w:type="dxa"/>
          <w:bottom w:w="28" w:type="dxa"/>
          <w:right w:w="28" w:type="dxa"/>
        </w:tblCellMar>
      </w:tblPr>
      <w:tblGrid>
        <w:gridCol w:w="677"/>
        <w:gridCol w:w="595"/>
        <w:gridCol w:w="602"/>
        <w:gridCol w:w="481"/>
        <w:gridCol w:w="511"/>
        <w:gridCol w:w="271"/>
        <w:gridCol w:w="109"/>
        <w:gridCol w:w="109"/>
        <w:gridCol w:w="109"/>
        <w:gridCol w:w="833"/>
        <w:gridCol w:w="885"/>
        <w:gridCol w:w="547"/>
      </w:tblGrid>
      <w:tr>
        <w:trPr/>
        <w:tc>
          <w:tcPr>
            <w:tcW w:w="67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 2023 (Pricing date)</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stock price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volatility</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Offering on March 7,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March 31, 2023, the estimated fair value of the embedded derivative was a liability of $98.6 million, recorded within Long-term debt within the accompanying Condensed Consolidated Balance Sheet. In connection with the change in fair value, the Company recorded a $24.9 million gain within Change in derivatives fair value in the accompanying Condensed Consolidated Statement of Operations for the three months ended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Stockholders' Deficit</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announced a cash dividend of $0.25 per share, payable on June 6, 2023 to stockholders of record as of May 23,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spacing w:before="0" w:after="0"/>
        <w:ind w:left="0" w:right="0" w:firstLine="18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Retail Joint Venture made aggregate distributions of approximately $4.5 million and $9.3 million, respectively, to its non-controlling interest holder. For more information on the Retail Joint Venture, see Note 17, "Retail Joint Venture."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in exchange for cash consideration of $50.0 million, the Company sold to Crown Acquisitions Inc. ("Crown")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Condensed Consolidated Statement of Stockholders' Deficit for the three months ended March 31, 2022.</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Securities Lending Agreement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WML Convertible Bonds Offering, WM Cayman Holdings I Limited ("WM Cayman I"), a wholly owned subsidiary of the Company and holder of our approximately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On March 6, 2023, the WML Stock Borrower borrowed 459,774,985 ordinary shares of WML under the Securities Lending Agreement and on April 3, 2023 returned 280,000,000 of such shares to WM Cayman I. As of the date of this report, the WML Stock Borrower held 179,774,985 WML shares under the Securities Lending Agreement.</w:t>
      </w:r>
    </w:p>
    <w:p>
      <w:pPr>
        <w:pStyle w:val="TextBody"/>
        <w:spacing w:before="0" w:after="0"/>
        <w:jc w:val="both"/>
        <w:rPr/>
      </w:pPr>
      <w:r>
        <w:rPr/>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10 - Fair Value Measurements </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The following tables present assets and liabilities carried at fair value (in thousands):</w:t>
      </w:r>
      <w:r>
        <w:rPr>
          <w:color w:val="000000"/>
        </w:rPr>
        <w:t> </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1507"/>
        <w:gridCol w:w="1319"/>
        <w:gridCol w:w="1329"/>
        <w:gridCol w:w="231"/>
        <w:gridCol w:w="1087"/>
        <w:gridCol w:w="119"/>
        <w:gridCol w:w="109"/>
        <w:gridCol w:w="109"/>
        <w:gridCol w:w="109"/>
        <w:gridCol w:w="219"/>
        <w:gridCol w:w="860"/>
        <w:gridCol w:w="113"/>
        <w:gridCol w:w="109"/>
        <w:gridCol w:w="109"/>
        <w:gridCol w:w="109"/>
        <w:gridCol w:w="211"/>
        <w:gridCol w:w="976"/>
        <w:gridCol w:w="109"/>
        <w:gridCol w:w="109"/>
        <w:gridCol w:w="109"/>
        <w:gridCol w:w="109"/>
        <w:gridCol w:w="221"/>
        <w:gridCol w:w="757"/>
        <w:gridCol w:w="166"/>
      </w:tblGrid>
      <w:tr>
        <w:trPr/>
        <w:tc>
          <w:tcPr>
            <w:tcW w:w="1507"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6"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2,568,168</w:t>
            </w:r>
            <w:r>
              <w:rPr>
                <w:color w:val="000000"/>
              </w:rPr>
              <w:t>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496,277 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95,439</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8,555</w:t>
            </w:r>
            <w:r>
              <w:rPr>
                <w:color w:val="000000"/>
              </w:rPr>
              <w:t>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8)</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98,582</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1,950,857</w:t>
            </w:r>
            <w:r>
              <w:rPr>
                <w:color w:val="000000"/>
              </w:rPr>
              <w:t>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490,683 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132,550</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10,408</w:t>
            </w:r>
            <w:r>
              <w:rPr>
                <w:color w:val="000000"/>
              </w:rPr>
              <w:t>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11 - Customer Contract Liabilities </w:t>
      </w:r>
    </w:p>
    <w:p>
      <w:pPr>
        <w:pStyle w:val="TextBody"/>
        <w:spacing w:before="0" w:after="0"/>
        <w:rPr/>
      </w:pPr>
      <w:r>
        <w:rPr/>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CellMar>
          <w:top w:w="28" w:type="dxa"/>
          <w:left w:w="28" w:type="dxa"/>
          <w:bottom w:w="28" w:type="dxa"/>
          <w:right w:w="28" w:type="dxa"/>
        </w:tblCellMar>
      </w:tblPr>
      <w:tblGrid>
        <w:gridCol w:w="733"/>
        <w:gridCol w:w="438"/>
        <w:gridCol w:w="440"/>
        <w:gridCol w:w="212"/>
        <w:gridCol w:w="846"/>
        <w:gridCol w:w="109"/>
        <w:gridCol w:w="109"/>
        <w:gridCol w:w="109"/>
        <w:gridCol w:w="109"/>
        <w:gridCol w:w="215"/>
        <w:gridCol w:w="861"/>
        <w:gridCol w:w="111"/>
        <w:gridCol w:w="109"/>
        <w:gridCol w:w="109"/>
        <w:gridCol w:w="109"/>
        <w:gridCol w:w="218"/>
        <w:gridCol w:w="767"/>
        <w:gridCol w:w="112"/>
        <w:gridCol w:w="109"/>
        <w:gridCol w:w="109"/>
        <w:gridCol w:w="109"/>
        <w:gridCol w:w="212"/>
        <w:gridCol w:w="846"/>
        <w:gridCol w:w="109"/>
        <w:gridCol w:w="109"/>
        <w:gridCol w:w="109"/>
        <w:gridCol w:w="109"/>
        <w:gridCol w:w="215"/>
        <w:gridCol w:w="861"/>
        <w:gridCol w:w="111"/>
        <w:gridCol w:w="109"/>
        <w:gridCol w:w="109"/>
        <w:gridCol w:w="109"/>
        <w:gridCol w:w="217"/>
        <w:gridCol w:w="766"/>
        <w:gridCol w:w="171"/>
      </w:tblGrid>
      <w:tr>
        <w:trPr/>
        <w:tc>
          <w:tcPr>
            <w:tcW w:w="73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16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Casino outstanding chips and front money deposits </w:t>
            </w:r>
            <w:r>
              <w:rPr>
                <w:rFonts w:ascii="Times New Roman;sans-serif" w:hAnsi="Times New Roman;sans-serif"/>
                <w:b w:val="false"/>
                <w:color w:val="000000"/>
                <w:sz w:val="16"/>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Advance room deposits and ticket sales </w:t>
            </w:r>
            <w:r>
              <w:rPr>
                <w:rFonts w:ascii="Times New Roman;sans-serif" w:hAnsi="Times New Roman;sans-serif"/>
                <w:b w:val="false"/>
                <w:color w:val="000000"/>
                <w:sz w:val="16"/>
              </w:rPr>
              <w:t>(2)</w:t>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gaming-related liabilities </w:t>
            </w:r>
            <w:r>
              <w:rPr>
                <w:rFonts w:ascii="Times New Roman;sans-serif" w:hAnsi="Times New Roman;sans-serif"/>
                <w:b w:val="false"/>
                <w:color w:val="000000"/>
                <w:sz w:val="16"/>
              </w:rPr>
              <w:t>(3)</w:t>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Loyalty program and related liabilities </w:t>
            </w:r>
            <w:r>
              <w:rPr>
                <w:rFonts w:ascii="Times New Roman;sans-serif" w:hAnsi="Times New Roman;sans-serif"/>
                <w:b w:val="false"/>
                <w:color w:val="000000"/>
                <w:sz w:val="16"/>
              </w:rPr>
              <w:t>(4)</w:t>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528,306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541,898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(13,592)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458,676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469,478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spacing w:before="0" w:after="0"/>
        <w:ind w:left="0" w:right="0" w:hanging="27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 Stock-Based Compensation</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p>
      <w:pPr>
        <w:pStyle w:val="TextBody"/>
        <w:spacing w:before="0" w:after="0"/>
        <w:ind w:left="0" w:right="0" w:firstLine="450"/>
        <w:rPr/>
      </w:pPr>
      <w:r>
        <w:rPr/>
      </w:r>
    </w:p>
    <w:tbl>
      <w:tblPr>
        <w:tblW w:w="6173" w:type="dxa"/>
        <w:jc w:val="left"/>
        <w:tblInd w:w="0" w:type="dxa"/>
        <w:tblCellMar>
          <w:top w:w="28" w:type="dxa"/>
          <w:left w:w="28" w:type="dxa"/>
          <w:bottom w:w="28" w:type="dxa"/>
          <w:right w:w="28" w:type="dxa"/>
        </w:tblCellMar>
      </w:tblPr>
      <w:tblGrid>
        <w:gridCol w:w="1332"/>
        <w:gridCol w:w="1171"/>
        <w:gridCol w:w="1186"/>
        <w:gridCol w:w="211"/>
        <w:gridCol w:w="736"/>
        <w:gridCol w:w="109"/>
        <w:gridCol w:w="109"/>
        <w:gridCol w:w="109"/>
        <w:gridCol w:w="109"/>
        <w:gridCol w:w="211"/>
        <w:gridCol w:w="736"/>
        <w:gridCol w:w="154"/>
      </w:tblGrid>
      <w:tr>
        <w:trPr/>
        <w:tc>
          <w:tcPr>
            <w:tcW w:w="133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13,900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14,579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13 - Income Taxes </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Company recorded an income tax </w:t>
      </w:r>
      <w:r>
        <w:rPr>
          <w:rFonts w:ascii="Times New Roman;sans-serif" w:hAnsi="Times New Roman;sans-serif"/>
          <w:b w:val="false"/>
          <w:color w:val="000000"/>
          <w:sz w:val="20"/>
          <w:highlight w:val="white"/>
        </w:rPr>
        <w:t>expense</w:t>
      </w:r>
      <w:r>
        <w:rPr>
          <w:color w:val="000000"/>
        </w:rPr>
        <w:t xml:space="preserve"> </w:t>
      </w:r>
      <w:r>
        <w:rPr>
          <w:rFonts w:ascii="Times New Roman;sans-serif" w:hAnsi="Times New Roman;sans-serif"/>
          <w:b w:val="false"/>
          <w:color w:val="000000"/>
          <w:sz w:val="20"/>
        </w:rPr>
        <w:t xml:space="preserve">of $1.0 million and $1.1 million for the three months ended March 31, 2023 and 2022, respectively. Income tax expense in 2023 primarily relates to U.S. operating profits. Income tax expense in 2022 primarily related to the Macau dividend tax agreement that provides for an annual payment as complementary tax otherwise due by stockholders of WRM.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 Earnings Per Share</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ind w:left="0" w:right="0" w:firstLine="450"/>
        <w:jc w:val="both"/>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spacing w:before="0" w:after="0"/>
        <w:ind w:left="0" w:right="0" w:firstLine="450"/>
        <w:jc w:val="both"/>
        <w:rPr/>
      </w:pPr>
      <w:r>
        <w:rPr/>
      </w:r>
    </w:p>
    <w:tbl>
      <w:tblPr>
        <w:tblW w:w="10205" w:type="dxa"/>
        <w:jc w:val="left"/>
        <w:tblInd w:w="0" w:type="dxa"/>
        <w:tblCellMar>
          <w:top w:w="28" w:type="dxa"/>
          <w:left w:w="28" w:type="dxa"/>
          <w:bottom w:w="28" w:type="dxa"/>
          <w:right w:w="28" w:type="dxa"/>
        </w:tblCellMar>
      </w:tblPr>
      <w:tblGrid>
        <w:gridCol w:w="2783"/>
        <w:gridCol w:w="2389"/>
        <w:gridCol w:w="2404"/>
        <w:gridCol w:w="211"/>
        <w:gridCol w:w="736"/>
        <w:gridCol w:w="109"/>
        <w:gridCol w:w="109"/>
        <w:gridCol w:w="109"/>
        <w:gridCol w:w="109"/>
        <w:gridCol w:w="211"/>
        <w:gridCol w:w="879"/>
        <w:gridCol w:w="156"/>
      </w:tblGrid>
      <w:tr>
        <w:trPr/>
        <w:tc>
          <w:tcPr>
            <w:tcW w:w="2783"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(183,324)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of Wynn Resorts, Limited subsidiaries: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WML Convertible Bonds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Wynn Resorts, Limited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(183,324)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115,030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Wynn Resorts, Limited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Note 15 - Leases</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p>
      <w:pPr>
        <w:pStyle w:val="TextBody"/>
        <w:spacing w:before="0" w:after="0"/>
        <w:ind w:left="0" w:right="0" w:firstLine="450"/>
        <w:jc w:val="both"/>
        <w:rPr/>
      </w:pPr>
      <w:r>
        <w:rPr/>
      </w:r>
    </w:p>
    <w:tbl>
      <w:tblPr>
        <w:tblW w:w="4688" w:type="dxa"/>
        <w:jc w:val="left"/>
        <w:tblInd w:w="0" w:type="dxa"/>
        <w:tblCellMar>
          <w:top w:w="28" w:type="dxa"/>
          <w:left w:w="28" w:type="dxa"/>
          <w:bottom w:w="28" w:type="dxa"/>
          <w:right w:w="28" w:type="dxa"/>
        </w:tblCellMar>
      </w:tblPr>
      <w:tblGrid>
        <w:gridCol w:w="798"/>
        <w:gridCol w:w="701"/>
        <w:gridCol w:w="705"/>
        <w:gridCol w:w="211"/>
        <w:gridCol w:w="736"/>
        <w:gridCol w:w="109"/>
        <w:gridCol w:w="109"/>
        <w:gridCol w:w="109"/>
        <w:gridCol w:w="109"/>
        <w:gridCol w:w="211"/>
        <w:gridCol w:w="736"/>
        <w:gridCol w:w="154"/>
      </w:tblGrid>
      <w:tr>
        <w:trPr/>
        <w:tc>
          <w:tcPr>
            <w:tcW w:w="7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62,602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45,224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Commitments and Contingencies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Litigation Related to Dore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lawsuits are that Wynn Macau SA, as a gaming concessionaire, should be held responsible for Dore’s conduct on the basis that Wynn Macau SA is responsible for the supervision of Dore’s activities at Wynn Macau that resulted in the purported losses.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 Maddox, Stephen A. Wynn, Kimmarie Sinatra, and Steven Cootey. On March 2, 2023, the court granted the plaintiffs' motion for class certification and appointed lead counsel. The parties are now proceeding with discovery.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Investigation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 Retail Joint Venture</w:t>
      </w:r>
    </w:p>
    <w:p>
      <w:pPr>
        <w:pStyle w:val="TextBody"/>
        <w:spacing w:before="0" w:after="0"/>
        <w:ind w:left="0" w:right="0" w:firstLine="27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Retail Joint Venture had total assets of $102.2 million and $102.9 million, respectively, and total liabilities of $621.6 million and $620.9 million, respectively. As of March 31, 2023 and December 31, 2022, the Retail Joint Venture's liabilities included long-term debt of $613.6 million and $613.5 million, respectively, net of debt issuance costs, related to the outstanding borrowings under the Retail Term Loan.</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Segment Information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its reportable segments based on factors such as geography, regulatory environment, the information reviewed by its chief operating decision maker, and the Company's organizational and management reporting structure.</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p>
      <w:pPr>
        <w:pStyle w:val="TextBody"/>
        <w:spacing w:before="0" w:after="0"/>
        <w:ind w:left="0" w:right="0" w:firstLine="450"/>
        <w:jc w:val="both"/>
        <w:rPr/>
      </w:pPr>
      <w:r>
        <w:rPr/>
      </w:r>
    </w:p>
    <w:tbl>
      <w:tblPr>
        <w:tblW w:w="6129" w:type="dxa"/>
        <w:jc w:val="left"/>
        <w:tblInd w:w="0" w:type="dxa"/>
        <w:tblCellMar>
          <w:top w:w="28" w:type="dxa"/>
          <w:left w:w="28" w:type="dxa"/>
          <w:bottom w:w="28" w:type="dxa"/>
          <w:right w:w="28" w:type="dxa"/>
        </w:tblCellMar>
      </w:tblPr>
      <w:tblGrid>
        <w:gridCol w:w="1189"/>
        <w:gridCol w:w="1045"/>
        <w:gridCol w:w="1051"/>
        <w:gridCol w:w="211"/>
        <w:gridCol w:w="991"/>
        <w:gridCol w:w="109"/>
        <w:gridCol w:w="109"/>
        <w:gridCol w:w="109"/>
        <w:gridCol w:w="109"/>
        <w:gridCol w:w="211"/>
        <w:gridCol w:w="841"/>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Macau Operations: </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369,363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163,325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230,726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135,100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298,425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Las Vegas Operations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586,764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441,186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Encore Boston Harbor</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190,796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Wynn Interactive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22,927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1,423,679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953,334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7539" w:type="dxa"/>
        <w:jc w:val="center"/>
        <w:tblInd w:w="0" w:type="dxa"/>
        <w:tblCellMar>
          <w:top w:w="28" w:type="dxa"/>
          <w:left w:w="28" w:type="dxa"/>
          <w:bottom w:w="28" w:type="dxa"/>
          <w:right w:w="28" w:type="dxa"/>
        </w:tblCellMar>
      </w:tblPr>
      <w:tblGrid>
        <w:gridCol w:w="1738"/>
        <w:gridCol w:w="1525"/>
        <w:gridCol w:w="1537"/>
        <w:gridCol w:w="211"/>
        <w:gridCol w:w="826"/>
        <w:gridCol w:w="109"/>
        <w:gridCol w:w="109"/>
        <w:gridCol w:w="109"/>
        <w:gridCol w:w="109"/>
        <w:gridCol w:w="211"/>
        <w:gridCol w:w="901"/>
        <w:gridCol w:w="154"/>
      </w:tblGrid>
      <w:tr>
        <w:trPr/>
        <w:tc>
          <w:tcPr>
            <w:tcW w:w="1738"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Adjusted Property EBITDAR </w:t>
            </w:r>
            <w:r>
              <w:rPr>
                <w:rFonts w:ascii="Times New Roman;sans-serif" w:hAnsi="Times New Roman;sans-serif"/>
                <w:b/>
                <w:color w:val="000000"/>
                <w:sz w:val="16"/>
              </w:rPr>
              <w:t>(2)</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155,803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Interactive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429,746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177,581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272,446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169,515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(94,865)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of amounts capitalized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(253,470)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(183,324)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lease revenue accounted for under lease accounting guidance. For more information on leases, see Note 15, "Leases."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spacing w:before="0" w:after="0"/>
        <w:ind w:left="0" w:right="0" w:hanging="27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6332" w:type="dxa"/>
        <w:jc w:val="left"/>
        <w:tblInd w:w="0" w:type="dxa"/>
        <w:tblCellMar>
          <w:top w:w="28" w:type="dxa"/>
          <w:left w:w="28" w:type="dxa"/>
          <w:bottom w:w="28" w:type="dxa"/>
          <w:right w:w="28" w:type="dxa"/>
        </w:tblCellMar>
      </w:tblPr>
      <w:tblGrid>
        <w:gridCol w:w="1100"/>
        <w:gridCol w:w="968"/>
        <w:gridCol w:w="977"/>
        <w:gridCol w:w="211"/>
        <w:gridCol w:w="1096"/>
        <w:gridCol w:w="109"/>
        <w:gridCol w:w="109"/>
        <w:gridCol w:w="109"/>
        <w:gridCol w:w="109"/>
        <w:gridCol w:w="223"/>
        <w:gridCol w:w="1159"/>
        <w:gridCol w:w="162"/>
      </w:tblGrid>
      <w:tr>
        <w:trPr/>
        <w:tc>
          <w:tcPr>
            <w:tcW w:w="1100"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2,884,073 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1,430,051 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5,343,559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4,582,141</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3,168,597 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2,080,424 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3,370,101 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13,724,021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13,415,100</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unaudited condensed consolidated financial statements and the notes thereto included elsewhere in this Form 10-Q and the audited consolidated financial statements appearing in our Annual Report on Form 10-K for the year ended December 31, 2022.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2022 and other factors we describe from time to time in our periodic filings with the Securities and Exchange Commission ("SEC"), such as:</w:t>
      </w:r>
    </w:p>
    <w:p>
      <w:pPr>
        <w:pStyle w:val="TextBody"/>
        <w:spacing w:before="0" w:after="0"/>
        <w:ind w:left="0" w:right="0" w:firstLine="450"/>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the impact on the travel and leisure industry from factors such as an outbreak of an infectious disease, including the COVID-19 pandemic, public incidents of violence, mass shootings, riots, demonstrations, extreme weather patterns or natural disasters, military conflicts, civil unrest, and any future security alerts and/or terrorist attacks;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pending or future investigations, litigation and other disputes;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our dependence on key managers and employees;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the deterioration of the macroeconomic environment, including an economic downturn or recession or worsening geopolitical tensions that could reduce discretionary consumer spending;</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ability to maintain our gaming licenses and concessions and comply with applicable gaming law; </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public perception of our resorts and the level of service we provide; </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win rates for our gaming operations;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construction and regulatory risks associated with our current and future construction projects;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any violations by us of the anti-money laundering laws or Foreign Corrupt Practices Act;</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our compliance with environmental requirements and potential cleanup responsibility and liability as an owner or operator of property;</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changes in and compliance with the gaming laws or regulations in the various jurisdictions in which we operate;</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changes in tax laws or regulations related to taxation, including changes in the rates of taxation;</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our collection and use of personal data and our level of compliance with applicable governmental regulations, credit card industry standards and other applicable data security standards;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ability to protect our intellectual property rights; </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labor actions and other labor problems; </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current and future insurance coverage levels;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risks specifically associated with our Macau Operations; </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the level of our indebtedness and our ability to meet our debt service obligations (including sensitivity to fluctuations in interest rates); and</w:t>
      </w:r>
    </w:p>
    <w:p>
      <w:pPr>
        <w:pStyle w:val="TextBody"/>
        <w:spacing w:lineRule="auto" w:line="264" w:before="0" w:after="0"/>
        <w:ind w:left="0" w:right="0" w:hanging="720"/>
        <w:jc w:val="both"/>
        <w:rPr/>
      </w:pPr>
      <w:r>
        <w:rPr>
          <w:color w:val="000000"/>
        </w:rPr>
        <w:t>•</w:t>
      </w:r>
      <w:r>
        <w:rPr>
          <w:rFonts w:ascii="Times New Roman;sans-serif" w:hAnsi="Times New Roman;sans-serif"/>
          <w:b w:val="false"/>
          <w:color w:val="000000"/>
          <w:sz w:val="20"/>
        </w:rPr>
        <w:t>continued compliance with the covenants in our debt agreements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WynnBet, our digital sports betting and casino gaming business.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spacing w:before="0" w:after="0"/>
        <w:ind w:left="0" w:right="0" w:firstLine="720"/>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first quarter 2023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(dollars in thousands, except per share data):</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1470"/>
        <w:gridCol w:w="1291"/>
        <w:gridCol w:w="1299"/>
        <w:gridCol w:w="211"/>
        <w:gridCol w:w="976"/>
        <w:gridCol w:w="109"/>
        <w:gridCol w:w="109"/>
        <w:gridCol w:w="109"/>
        <w:gridCol w:w="109"/>
        <w:gridCol w:w="211"/>
        <w:gridCol w:w="826"/>
        <w:gridCol w:w="109"/>
        <w:gridCol w:w="109"/>
        <w:gridCol w:w="109"/>
        <w:gridCol w:w="109"/>
        <w:gridCol w:w="274"/>
        <w:gridCol w:w="1077"/>
        <w:gridCol w:w="141"/>
        <w:gridCol w:w="109"/>
        <w:gridCol w:w="109"/>
        <w:gridCol w:w="109"/>
        <w:gridCol w:w="368"/>
        <w:gridCol w:w="353"/>
        <w:gridCol w:w="509"/>
      </w:tblGrid>
      <w:tr>
        <w:trPr/>
        <w:tc>
          <w:tcPr>
            <w:tcW w:w="1470"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revenues for the three months ended March 31, 2023 was primarily driven by increases of $206.0 million, $145.6 million, $95.6 million, and $25.5 million from Wynn Palace, our Las Vegas Operations, Wynn Macau, and Encore Boston Harbor, respectively, resulting from an increase in gaming volumes, hotel occupancy, and covers at restaurants. The results of our Macau Operations for the three months ended March 31, 2022 were negatively impacted by certain travel-related restrictions and conditions, including COVID-19 testing and other mitigation procedures, related to the COVID-19 pandemic. Over the course of December 2022 and January 2023, Macau authorities relaxed or eliminated most COVID-19 related protective measures. Since then, and as of the date of this report, there are no remaining entry restrictions or mandatory quarantine requirements in place for travelers to Macau.</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income attributable to Wynn Resorts, Limited for the three months ended March 31, 2023 was primarily related to increased operating revenues at our Macau Operations, our Las Vegas Operations, and Encore Boston Harbor, partially offset by increased operating expenses associated with higher business volumes. </w:t>
      </w:r>
    </w:p>
    <w:p>
      <w:pPr>
        <w:pStyle w:val="TextBody"/>
        <w:spacing w:before="0" w:after="0"/>
        <w:ind w:left="0" w:right="0" w:firstLine="495"/>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results for the three months ended March 31, 2023 compared to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spacing w:before="0" w:after="0"/>
        <w:ind w:left="0" w:right="0" w:firstLine="27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revenues (dollars in thousands):</w:t>
      </w:r>
    </w:p>
    <w:p>
      <w:pPr>
        <w:pStyle w:val="TextBody"/>
        <w:spacing w:before="0" w:after="0"/>
        <w:ind w:left="0" w:right="0" w:firstLine="450"/>
        <w:rPr/>
      </w:pPr>
      <w:r>
        <w:rPr/>
      </w:r>
    </w:p>
    <w:tbl>
      <w:tblPr>
        <w:tblW w:w="8522" w:type="dxa"/>
        <w:jc w:val="left"/>
        <w:tblInd w:w="0" w:type="dxa"/>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841"/>
        <w:gridCol w:w="109"/>
        <w:gridCol w:w="109"/>
        <w:gridCol w:w="109"/>
        <w:gridCol w:w="109"/>
        <w:gridCol w:w="283"/>
        <w:gridCol w:w="1130"/>
        <w:gridCol w:w="146"/>
        <w:gridCol w:w="109"/>
        <w:gridCol w:w="109"/>
        <w:gridCol w:w="109"/>
        <w:gridCol w:w="381"/>
        <w:gridCol w:w="381"/>
        <w:gridCol w:w="543"/>
      </w:tblGrid>
      <w:tr>
        <w:trPr/>
        <w:tc>
          <w:tcPr>
            <w:tcW w:w="7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298,425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301,664</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1,423,679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953,334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470,345</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casino and non-casino operating revenues (dollars in thousands):</w:t>
      </w:r>
    </w:p>
    <w:p>
      <w:pPr>
        <w:pStyle w:val="TextBody"/>
        <w:spacing w:before="0" w:after="0"/>
        <w:ind w:left="0" w:right="0" w:firstLine="450"/>
        <w:rPr/>
      </w:pPr>
      <w:r>
        <w:rPr/>
      </w:r>
    </w:p>
    <w:tbl>
      <w:tblPr>
        <w:tblW w:w="9512" w:type="dxa"/>
        <w:jc w:val="left"/>
        <w:tblInd w:w="0" w:type="dxa"/>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841"/>
        <w:gridCol w:w="109"/>
        <w:gridCol w:w="109"/>
        <w:gridCol w:w="109"/>
        <w:gridCol w:w="109"/>
        <w:gridCol w:w="283"/>
        <w:gridCol w:w="1130"/>
        <w:gridCol w:w="146"/>
        <w:gridCol w:w="109"/>
        <w:gridCol w:w="109"/>
        <w:gridCol w:w="109"/>
        <w:gridCol w:w="381"/>
        <w:gridCol w:w="381"/>
        <w:gridCol w:w="543"/>
      </w:tblGrid>
      <w:tr>
        <w:trPr/>
        <w:tc>
          <w:tcPr>
            <w:tcW w:w="115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766,992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489,862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277,130</w:t>
            </w: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Non-casino revenues: </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 xml:space="preserve">Total non-casino revenues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656,687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463,472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193,215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1,423,679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953,334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470,345</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for the three months ended March 31, 2023 were 53.9% of operating revenues, compared to 51.4% for the same period of 2022. Non-casino revenues for the three months ended March 31, 2023 were 46.1% of operating revenues, compared to 48.6% for the same period of 2022.</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Casino revenues</w:t>
      </w:r>
    </w:p>
    <w:p>
      <w:pPr>
        <w:pStyle w:val="TextBody"/>
        <w:spacing w:before="0" w:after="0"/>
        <w:ind w:left="0" w:right="0" w:firstLine="36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increased primarily due to higher gaming volumes at our Macau Operations following the discontinuation of pandemic-related travel restrictions in Macau in late 2022 and early 2023. The table below sets forth our casino revenues and associated key operating measures (dollars in thousands, except for win per unit per day):  </w:t>
      </w:r>
    </w:p>
    <w:p>
      <w:pPr>
        <w:pStyle w:val="TextBody"/>
        <w:spacing w:before="0" w:after="0"/>
        <w:jc w:val="both"/>
        <w:rPr/>
      </w:pPr>
      <w:r>
        <w:rPr/>
      </w:r>
    </w:p>
    <w:tbl>
      <w:tblPr>
        <w:tblW w:w="9461" w:type="dxa"/>
        <w:jc w:val="center"/>
        <w:tblInd w:w="0" w:type="dxa"/>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826"/>
        <w:gridCol w:w="271"/>
        <w:gridCol w:w="109"/>
        <w:gridCol w:w="109"/>
        <w:gridCol w:w="109"/>
        <w:gridCol w:w="254"/>
        <w:gridCol w:w="1175"/>
        <w:gridCol w:w="131"/>
        <w:gridCol w:w="109"/>
        <w:gridCol w:w="109"/>
        <w:gridCol w:w="109"/>
        <w:gridCol w:w="381"/>
        <w:gridCol w:w="381"/>
        <w:gridCol w:w="543"/>
      </w:tblGrid>
      <w:tr>
        <w:trPr/>
        <w:tc>
          <w:tcPr>
            <w:tcW w:w="10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1,327,803 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650,139 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149,690 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295,668 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887,051 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257,173 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186,230 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tbl>
      <w:tblPr>
        <w:tblW w:w="9611" w:type="dxa"/>
        <w:jc w:val="left"/>
        <w:tblInd w:w="0" w:type="dxa"/>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1,177,985 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394,750 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113,113 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before="0" w:after="0"/>
        <w:jc w:val="both"/>
        <w:rPr/>
      </w:pPr>
      <w:r>
        <w:rPr/>
      </w:r>
    </w:p>
    <w:p>
      <w:pPr>
        <w:pStyle w:val="TextBody"/>
        <w:spacing w:before="0" w:after="0"/>
        <w:ind w:left="0" w:right="0" w:hanging="27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hanging="270"/>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room revenues and associated key operating measures:</w:t>
      </w:r>
    </w:p>
    <w:p>
      <w:pPr>
        <w:pStyle w:val="TextBody"/>
        <w:spacing w:before="0" w:after="0"/>
        <w:jc w:val="both"/>
        <w:rPr/>
      </w:pPr>
      <w:r>
        <w:rPr/>
      </w:r>
    </w:p>
    <w:tbl>
      <w:tblPr>
        <w:tblW w:w="10046" w:type="dxa"/>
        <w:jc w:val="left"/>
        <w:tblInd w:w="0" w:type="dxa"/>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16"/>
        <w:gridCol w:w="1081"/>
        <w:gridCol w:w="163"/>
        <w:gridCol w:w="109"/>
        <w:gridCol w:w="109"/>
        <w:gridCol w:w="109"/>
        <w:gridCol w:w="381"/>
        <w:gridCol w:w="381"/>
        <w:gridCol w:w="543"/>
      </w:tblGrid>
      <w:tr>
        <w:trPr/>
        <w:tc>
          <w:tcPr>
            <w:tcW w:w="129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$102.2 million, primarily due to higher occupancy and ADR at our Macau Operations and our Las Vegas Operations.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$58.6 million, primarily due to increased restaurant covers at our Las Vegas Operations.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revenues increased $32.5 million, primarily due to increased convention support services, revenues from our owned and leased retail outlets, and entertainment venue sales at our Las Vegas Operations.</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operating expenses (dollars in thousands):</w:t>
      </w:r>
    </w:p>
    <w:tbl>
      <w:tblPr>
        <w:tblW w:w="9061" w:type="dxa"/>
        <w:jc w:val="left"/>
        <w:tblInd w:w="0" w:type="dxa"/>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62,992 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5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(43,262)</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1,254,164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1,048,199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205,965</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increased $206.0 million compared to the three months ended March 31, 2022, primarily due to increased operating costs associated with higher business volumes at each of our properties, partially offset by decreased depreciation and amortization and property charges and other expenses.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increased $91.9 million, $40.4 million, $7.6 million, and $9.5 million at Wynn Palace, Wynn Macau, our Las Vegas Operations, and Encore Boston Harbor, respectively. These increases were primarily due to increased operating costs, including gaming tax expense, driven by the increase in casino revenues.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$9.1 million and $2.1 million at our Las Vegas Operations and Encore Boston Harbor, respectively. These increases were primarily a result of higher operating costs related to the increase in occupancy.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expenses increased $24.9 million and $4.3 million at our Las Vegas Operations and Encore Boston Harbor, respectively. These increases were primarily a result of increased operating costs related to an increase in food and beverage revenues at our Las Vegas Operations and Encore Boston Harbor.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increased $17.3 million at our Las Vegas operations, primarily due to higher operating costs associated with live and theatrical entertainment, partially offset by a decrease of $14.1 million at Wynn Interactive, primarily due to decreased marketing costs.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primarily due to increases of $35.3 million and $14.6 million at Encore Boston Harbor and our Las Vegas Operations, respectively. These increases were attributable to triple-net operating lease expense at Encore Boston Harbor following the sale-leaseback transaction in December 2022, and increases in payroll and other general and administrative expenses at our Las Vegas Operations required to support higher business volumes during the three months ended March 31, 2023. In addition, corporate and other general and administrative expenses increased $12.1 million, primarily due to increased development costs.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pre-opening expenses totaled $4.5 million, which primarily related to the launch of Wynn Interactive operations in Massachusetts. For the three months ended March 31, 2022, pre-opening expenses totaled $2.4 million, which primarily related to reconfiguring the theater space at Wynn Las Vegas.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$15.7 million, primarily due to the derecognition of certain real estate assets in connection with the Encore Boston Harbor sale-leaseback transaction in December 2022.</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three months ended March 31, 2023 consisted primarily of asset abandonments of $2.2 million at Wynn Palace. Our property charges and other expenses for the quarter ended March 31, 2022 consisted primarily of impairment of goodwill of $30.3 million at Wynn Interactive, asset abandonments of $1.0 million and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$2.1 million at our Las Vegas Operations and Wynn Interactive, respectively, and contract termination expenses of $9.6 million at Wynn Interactive.</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increased $35.6 million primarily due to an increase in the weighted average total debt balance and an increase in the weighted average interest rate to 5.95% for the three months ended March 31, 2023, from 5.05% for the three months ended March 31, 2022.</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$40.2 million for the three months ended March 31, 2023, primarily related to interest earned on cash and cash equivalents held at financial institutions.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loss of $30.6 million and $15.1 million for the three months ended March 31, 2023 and 2022,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$23.0 million and $7.4 million for the three months ended March 31, 2023 and 2022, respectively, from change in derivatives fair value. The change in derivatives fair value for the three months ended March 31, 2023 included a gain of $24.9 million recorded in relation to the conversion feature of the WML Convertible Bonds.</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We recorded a $12.2 million loss on debt financing transactions for the three months ended March 31, 2023, primarily related to the issuance of the 2031 WRF Senior Notes</w:t>
      </w:r>
      <w:r>
        <w:rPr>
          <w:color w:val="000000"/>
        </w:rPr>
        <w:t xml:space="preserve"> </w:t>
      </w:r>
      <w:r>
        <w:rPr>
          <w:rFonts w:ascii="Times New Roman;sans-serif" w:hAnsi="Times New Roman;sans-serif"/>
          <w:b w:val="false"/>
          <w:color w:val="000000"/>
          <w:sz w:val="20"/>
        </w:rPr>
        <w:t xml:space="preserve">and the repurchase of the tendered 2025 WRF Senior Notes. </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$1.0 million and $1.1 million for the three months ended March 31, 2023 and 2022, respectively. Income tax expense in 2023 primarily relates to U.S. operating profits. Income tax expense in 2022 primarily related to the Macau dividend tax agreement that provides for an annual payment as complementary tax otherwise due by stockholders of WRM. </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loss attributable to noncontrolling interests</w:t>
      </w:r>
    </w:p>
    <w:p>
      <w:pPr>
        <w:pStyle w:val="TextBody"/>
        <w:spacing w:before="0" w:after="0"/>
        <w:ind w:left="0" w:right="0" w:firstLine="27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noncontrolling interests was $11.2 million and $71.3 million for the three months ended March 31, 2023 and 2022, respectively. These amounts are primarily related to the noncontrolling interests' share of net loss from WML.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Item 1—"Notes to Condensed Consolidated Financial Statements," Note 18, "Segment Information," we use Adjusted Property EBITDAR to manage the operating results of our segments.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Adjusted Property EBITDAR (dollars in thousands) for Wynn Palace, Wynn Macau, Las Vegas Operations, Encore Boston Harbor, and Wynn Interactive as reviewed by management and summarized in Item 1—"Notes to Condensed Consolidated Financial Statements," Note 18, "Segment Information." That footnote also presents a reconciliation of Adjusted Property EBITDAR to net income (loss) attributable to Wynn Resorts, Limited. </w:t>
      </w:r>
    </w:p>
    <w:p>
      <w:pPr>
        <w:pStyle w:val="TextBody"/>
        <w:spacing w:before="0" w:after="0"/>
        <w:ind w:left="0" w:right="0" w:firstLine="450"/>
        <w:jc w:val="both"/>
        <w:rPr/>
      </w:pPr>
      <w:r>
        <w:rPr/>
      </w:r>
    </w:p>
    <w:tbl>
      <w:tblPr>
        <w:tblW w:w="7501" w:type="dxa"/>
        <w:jc w:val="left"/>
        <w:tblInd w:w="0" w:type="dxa"/>
        <w:tblCellMar>
          <w:top w:w="28" w:type="dxa"/>
          <w:left w:w="28" w:type="dxa"/>
          <w:bottom w:w="28" w:type="dxa"/>
          <w:right w:w="28" w:type="dxa"/>
        </w:tblCellMar>
      </w:tblPr>
      <w:tblGrid>
        <w:gridCol w:w="643"/>
        <w:gridCol w:w="561"/>
        <w:gridCol w:w="566"/>
        <w:gridCol w:w="196"/>
        <w:gridCol w:w="736"/>
        <w:gridCol w:w="109"/>
        <w:gridCol w:w="109"/>
        <w:gridCol w:w="109"/>
        <w:gridCol w:w="109"/>
        <w:gridCol w:w="228"/>
        <w:gridCol w:w="508"/>
        <w:gridCol w:w="109"/>
        <w:gridCol w:w="109"/>
        <w:gridCol w:w="109"/>
        <w:gridCol w:w="109"/>
        <w:gridCol w:w="293"/>
        <w:gridCol w:w="1103"/>
        <w:gridCol w:w="163"/>
        <w:gridCol w:w="109"/>
        <w:gridCol w:w="109"/>
        <w:gridCol w:w="109"/>
        <w:gridCol w:w="381"/>
        <w:gridCol w:w="381"/>
        <w:gridCol w:w="543"/>
      </w:tblGrid>
      <w:tr>
        <w:trPr/>
        <w:tc>
          <w:tcPr>
            <w:tcW w:w="643"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Palace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Macau</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 Operations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Encore Boston Harbor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Interactive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Times New Roman;sans-serif" w:hAnsi="Times New Roman;sans-serif"/>
          <w:b w:val="false"/>
          <w:color w:val="000000"/>
          <w:sz w:val="16"/>
        </w:rPr>
      </w:pPr>
      <w:r>
        <w:rPr>
          <w:rFonts w:ascii="Times New Roman;sans-serif" w:hAnsi="Times New Roman;sans-serif"/>
          <w:b w:val="false"/>
          <w:color w:val="000000"/>
          <w:sz w:val="16"/>
        </w:rPr>
        <w:t xml:space="preserve">NM - Not meaningful. </w:t>
      </w:r>
    </w:p>
    <w:p>
      <w:pPr>
        <w:pStyle w:val="TextBody"/>
        <w:spacing w:before="0" w:after="0"/>
        <w:ind w:left="0" w:right="0" w:hanging="27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Wynn Palace and Wynn Macau increased $111.9 million and $49.4 million for the three months ended March 31, 2023, respectively, primarily due to an increase in operating revenues, partially offset by an increase in operating expenses. In December 2022 and early January 2023, the Macau government relaxed or eliminated most of COVID-19 related protective measures, which resulted in increased business volumes at our Macau Operations for the three months ended March 31, 2023. Our Macau Operations for the three months ended March 31, 2022 were negatively impacted by certain travel-related restrictions and conditions related to the COVID-19 pandemic.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our Las Vegas Operations increased $72.2 million for the three months ended March 31, 2023, primarily due to an increase in revenues from casino, hotel, and food and beverage operations, partially offset by increased operating expenses.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Encore Boston Harbor increased $8.2 million for the three months ended March 31, 2023, primarily due to an increase in revenues from casino operations, partially offset by increased operating expenses.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Wynn Interactive increased $10.4 million for the three months ended March 31, 2023, primarily due to a decrease in marketing and promotional expenses, depreciation and amortization, and property charges and other expenses. </w:t>
      </w:r>
    </w:p>
    <w:p>
      <w:pPr>
        <w:pStyle w:val="TextBody"/>
        <w:spacing w:before="0" w:after="0"/>
        <w:ind w:left="0" w:right="0" w:firstLine="450"/>
        <w:jc w:val="both"/>
        <w:rPr/>
      </w:pPr>
      <w:r>
        <w:rPr/>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discussions above regarding the specific details of our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588" w:type="dxa"/>
        <w:jc w:val="left"/>
        <w:tblInd w:w="0" w:type="dxa"/>
        <w:tblCellMar>
          <w:top w:w="28" w:type="dxa"/>
          <w:left w:w="28" w:type="dxa"/>
          <w:bottom w:w="28" w:type="dxa"/>
          <w:right w:w="28" w:type="dxa"/>
        </w:tblCellMar>
      </w:tblPr>
      <w:tblGrid>
        <w:gridCol w:w="2113"/>
        <w:gridCol w:w="1854"/>
        <w:gridCol w:w="1867"/>
        <w:gridCol w:w="211"/>
        <w:gridCol w:w="841"/>
        <w:gridCol w:w="109"/>
        <w:gridCol w:w="109"/>
        <w:gridCol w:w="109"/>
        <w:gridCol w:w="109"/>
        <w:gridCol w:w="211"/>
        <w:gridCol w:w="901"/>
        <w:gridCol w:w="154"/>
      </w:tblGrid>
      <w:tr>
        <w:trPr/>
        <w:tc>
          <w:tcPr>
            <w:tcW w:w="2113"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 Summary</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(117,385)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noncontrolling interest in subsidiary</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121,003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on cash, cash equivalents and restricted cash</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155,977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(204,653)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increase in cash flows from operating activities was primarily due to increased revenues from our Macau Operations, our Las Vegas Operations, and Encore Boston Harbor, which was partially offset by an increase in operating expenses associated with higher business volumes. During the three months ended March 31, 2022, the decrease in net cash used in operating activities was primarily due to increased operating revenues, partially offset by an increase in operating expenses.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incurred capital expenditures of $38.5 million at our Las Vegas Operations, $30.1 million at Encore Boston Harbor, $6.4 million at Wynn Palace, and $3.0 million at Wynn Macau primarily related to maintenance capital expenditures, and $46.5 million at Corporate and other primarily related to future development projects.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incurred capital expenditures of $67.8 million at our Las Vegas Operations primarily related to the Wynn Las Vegas room remodel, and $7.5 million at Encore Boston Harbor, $13.1 million at Wynn Palace, and $4.2 million at Wynn Macau, each primarily related to maintenance capital expenditures.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cash flows from financing activities was primarily due to the following debt issuances and repayments (in thousands):</w:t>
      </w:r>
    </w:p>
    <w:tbl>
      <w:tblPr>
        <w:tblW w:w="7563" w:type="dxa"/>
        <w:jc w:val="left"/>
        <w:tblInd w:w="0" w:type="dxa"/>
        <w:tblCellMar>
          <w:top w:w="28" w:type="dxa"/>
          <w:left w:w="28" w:type="dxa"/>
          <w:bottom w:w="28" w:type="dxa"/>
          <w:right w:w="28" w:type="dxa"/>
        </w:tblCellMar>
      </w:tblPr>
      <w:tblGrid>
        <w:gridCol w:w="1464"/>
        <w:gridCol w:w="1290"/>
        <w:gridCol w:w="1296"/>
        <w:gridCol w:w="294"/>
        <w:gridCol w:w="1384"/>
        <w:gridCol w:w="152"/>
        <w:gridCol w:w="109"/>
        <w:gridCol w:w="109"/>
        <w:gridCol w:w="109"/>
        <w:gridCol w:w="211"/>
        <w:gridCol w:w="991"/>
        <w:gridCol w:w="154"/>
      </w:tblGrid>
      <w:tr>
        <w:trPr/>
        <w:tc>
          <w:tcPr>
            <w:tcW w:w="1464"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1/2% Convertible Bonds, due 2029</w:t>
            </w:r>
          </w:p>
        </w:tc>
        <w:tc>
          <w:tcPr>
            <w:tcW w:w="1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4 1/4% Senior Notes, due 2023</w:t>
            </w:r>
          </w:p>
        </w:tc>
        <w:tc>
          <w:tcPr>
            <w:tcW w:w="1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1,200,000</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1,018,973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three months ended March 31, 2023, we paid $31.3 million for financing costs related to the financing activities above.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received a $50.0 million contribution from a noncontrolling interest holder in exchange for a 49.9% interest in certain retail space contributed by the Company to the Retail Joint Venture. In addition, we made a $12.5 million quarterly amortization payment under the WRF Term Loan Facility.</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unrestricted cash and cash equivalents and available revolver borrowing capacity presented by significant financing entity as of March 31, 2023 (in thousands): </w:t>
      </w:r>
    </w:p>
    <w:tbl>
      <w:tblPr>
        <w:tblW w:w="8470" w:type="dxa"/>
        <w:jc w:val="left"/>
        <w:tblInd w:w="0" w:type="dxa"/>
        <w:tblCellMar>
          <w:top w:w="28" w:type="dxa"/>
          <w:left w:w="28" w:type="dxa"/>
          <w:bottom w:w="28" w:type="dxa"/>
          <w:right w:w="28" w:type="dxa"/>
        </w:tblCellMar>
      </w:tblPr>
      <w:tblGrid>
        <w:gridCol w:w="1193"/>
        <w:gridCol w:w="1050"/>
        <w:gridCol w:w="1056"/>
        <w:gridCol w:w="403"/>
        <w:gridCol w:w="1894"/>
        <w:gridCol w:w="208"/>
        <w:gridCol w:w="109"/>
        <w:gridCol w:w="109"/>
        <w:gridCol w:w="109"/>
        <w:gridCol w:w="409"/>
        <w:gridCol w:w="1632"/>
        <w:gridCol w:w="298"/>
      </w:tblGrid>
      <w:tr>
        <w:trPr/>
        <w:tc>
          <w:tcPr>
            <w:tcW w:w="1193"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1,613,207 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Wynn Resorts Finance, LLC </w:t>
            </w:r>
            <w:r>
              <w:rPr>
                <w:rFonts w:ascii="Times New Roman;sans-serif" w:hAnsi="Times New Roman;sans-serif"/>
                <w:b w:val="false"/>
                <w:color w:val="000000"/>
                <w:sz w:val="16"/>
              </w:rPr>
              <w:t>(1)</w:t>
            </w:r>
          </w:p>
        </w:tc>
        <w:tc>
          <w:tcPr>
            <w:tcW w:w="2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1,851,777 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836,985 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378,544 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3,843,528</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836,985</w:t>
            </w:r>
            <w:r>
              <w:rPr>
                <w:color w:val="000000"/>
              </w:rPr>
              <w:t>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Excluding Wynn Macau, Limited and subsidiaries.</w:t>
      </w:r>
    </w:p>
    <w:p>
      <w:pPr>
        <w:pStyle w:val="TextBody"/>
        <w:spacing w:before="0" w:after="0"/>
        <w:jc w:val="both"/>
        <w:rPr/>
      </w:pPr>
      <w:r>
        <w:rPr/>
      </w:r>
    </w:p>
    <w:p>
      <w:pPr>
        <w:pStyle w:val="TextBody"/>
        <w:spacing w:lineRule="auto" w:line="276"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WML generates cash from our Macau Operations. We expect to use this cash to fund working capital and capital expenditure requirements at WML and our Macau Operations, and to service our WML Senior Notes, WM Cayman II Revolver, and WML Convertible Bonds. WML paid no dividends during 2022 or the three months ended March 31, 2023.</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WM Cayman II Revolver bear interest at LIBOR or HIBOR plus a margin of 2.625% per annum until June 30, 2023, the date from which the margin will be 1.875% to 2.875% per annum based on WM Cayman II’s leverage ratio on a consolidated basis. The final maturity of all outstanding loans under the Revolving Facility is September 16, 2025.</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2022, WM Cayman II and its lenders agreed to waive certain financial covenants in the facility agreement under the WM Cayman II Revolver in respect of the relevant periods ending on the following applicable test dates: (a) June 30,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2022; (b) September 30, 2022; (c) December 31, 2022; and (d) March 31, 2023; and to provide for a floor on the interest rate margin of 2.625% per annum through June 30, 2023. </w:t>
      </w:r>
      <w:r>
        <w:rPr>
          <w:rFonts w:ascii="Times New Roman;sans-serif" w:hAnsi="Times New Roman;sans-serif"/>
          <w:b w:val="false"/>
          <w:color w:val="242424"/>
          <w:sz w:val="20"/>
        </w:rPr>
        <w:t>WML</w:t>
      </w:r>
      <w:r>
        <w:rPr>
          <w:rFonts w:ascii="Times New Roman;sans-serif" w:hAnsi="Times New Roman;sans-serif"/>
          <w:b w:val="false"/>
          <w:color w:val="000000"/>
          <w:sz w:val="20"/>
        </w:rPr>
        <w:t>, as guarantor, may be subject to certain restrictions on payments of dividends or distributions to its shareholders, unless certain financial criteria have been satisfied through the facility agreement.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2023, WML completed an offering (the "Offering") of $600.0 million 4.50% convertible bonds due 2029 (the "WML Convertible Bonds"). The WML Convertible Bonds are constituted by a trust deed dated March 7, 2023 (the "Trust Deed"). The net proceeds from the Offering, after deduction of commission and other related expenses, were $585.9 million. WML intends to use the proceeds for general corporate purposes. The WML Convertible Bonds bear interest on their outstanding principal amount from and including March 7, 2023 at the rate of 4.50% per annum.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are convertible at the option of the holder thereof into fully paid ordinary shares of WML, at the initial conversion price of approximately HK$10.24 (equivalent to approximately $1.30) per share, subject to and upon compliance with the terms and conditions of the WML Convertible Bonds (the "Terms and Conditions," and such right, the "Conversion Right"). The conversion price is at the fixed rate of HK$7.8497 (equivalent to US$1.00), subject to standard adjustments for certain dilutive events as described in the Terms and Conditions. WML has the option, in its sole discretion, to pay to the relevant bondholder an amount of cash equivalent in order to satisfy the Conversion Right in whole or in part.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WML Convertible Bonds have the option to require WML to redeem all or some only of such holder’s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 The WML Convertible Bonds may also be redeemed at the option of WML in whole, but not in part, at any time after March 7, 2027, but prior to March 7, 2029, upon giving notice to the bondholders in accordance with the Terms and Conditions, under certain circumstances specified in the Trust Deed.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portion of our cash and cash equivalents were repatriated to the U.S. on March 31, 2023, it would be subject to minimal U.S. taxes in the year of repatriation.</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2023, WRF and its subsidiary Wynn Resorts Capital Corp. (together with WRF, the “WRF Issuers”) issued $600.0 million aggregate principal amount of 7 1/8% Senior Notes due 2031 (the "2031 WRF Senior Notes") in a private 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 and intend to use the remaining net proceeds for general corporate purposes. In April 2023, we repurchased the remaining outstanding 2025 WRF Senior Notes using the remaining net proceeds from the issuance of the 2031 WRF Senior Notes and cash held by WRF, at a price equal to 101.938% of the principal amount plus accrued interest under the terms of its indenture.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repurchased all of the outstanding Wynn Las Vegas 4.25% Senior Notes due 2023 of $500.0 million using cash held by WRF, at a price equal to 100% of the principal amount plus accrued interest under the terms of their indenture. </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$75.2 million for the year ended December 31, 2023. We expect to use cash held by Wynn Resorts, Limited and other to service our Retail Term Loan, to pay dividends, to fund future development projects, and for general corporate purposes.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has resumed its quarterly dividend program, with a cash dividend of $0.25 per share declared on May 9, 2023, payable on June 6, 2023 to stockholders of record as of May 23, 2023.</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Factors Affecting Liquidity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16, "Commitments and Contingencies."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During the three months ended March 31, 2023, we did not repurchase any shares of our common stock under this equity repurchase program. As of March 31, 2023, we had $628.8 million in repurchase authority remaining under the program.</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Contractual Commitments </w:t>
      </w:r>
    </w:p>
    <w:p>
      <w:pPr>
        <w:pStyle w:val="TextBody"/>
        <w:spacing w:before="0" w:after="0"/>
        <w:ind w:left="0" w:right="0" w:firstLine="18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three months ended March 31, 2023, except as described below, there have been no material changes to the contractual obligations previously reported in our Annual Report on Form 10-K for the year ended December 31, 2022. </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highlight w:val="white"/>
        </w:rPr>
        <w:t xml:space="preserve">During the three months ended March 31, 2023, our fixed interest rate long-term debt obligations increased by a net amount of $193.5 million, as a result of $1.20 billion in long-term debt issuances, net of $1.01 billion in debt repayments. Additionally, our annual fixed interest payments are expected to increase $15.6 million in 2023, $30.5 million in 2024, $58.3 million in 2025, $69.8 million in each of 2026 and 2027, and $166.2 million thereafter, primarily as a result of the issuance of the WRF 2031 Senior Notes and the WML Convertible Bonds and the </w:t>
      </w:r>
      <w:r>
        <w:rPr>
          <w:rFonts w:ascii="Times New Roman;sans-serif" w:hAnsi="Times New Roman;sans-serif"/>
          <w:b w:val="false"/>
          <w:color w:val="000000"/>
          <w:sz w:val="20"/>
        </w:rPr>
        <w:t>repurchase of the tendered 2025 WRF Senior Notes and the 2023 Wynn Las Vegas Senior Notes, each</w:t>
      </w:r>
      <w:r>
        <w:rPr>
          <w:color w:val="000000"/>
          <w:highlight w:val="white"/>
        </w:rPr>
        <w:t xml:space="preserve"> </w:t>
      </w:r>
      <w:r>
        <w:rPr>
          <w:rFonts w:ascii="Times New Roman;sans-serif" w:hAnsi="Times New Roman;sans-serif"/>
          <w:b w:val="false"/>
          <w:color w:val="000000"/>
          <w:sz w:val="20"/>
          <w:highlight w:val="white"/>
        </w:rPr>
        <w:t xml:space="preserve">as described above.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critical accounting policies is included in Item 7 of our Annual Report on Form 10-K for the year ended December 31, 2022. Except as described below, there have been no significant changes to these policies for the three months ended March 31, 2023:</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WML Convertible Bond Conversion Option Derivative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will be recorded at fair value each reporting period, with changes recognized in the statement of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Standards and Accounting Standards Issued But Not Yet Adopted</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related disclosure in Note 2, "Basis of Presentation and Significant Accounting Policies" of Part I in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spacing w:before="0" w:after="0"/>
        <w:ind w:left="0" w:right="0" w:firstLine="22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approximately 24% of our long-term debt was based on variable rates. Based on our outstanding borrowings as of March 31, 2023, an assumed 100 basis point increase and decrease in the applicable variable rates would have caused our annual interest expense to change by $23.2 million and $23.7 million, respectively.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most of the revenues and expenses for any casino that we operate in Macau will be denominated in Hong Kong dollars or Macau patacas; however, a significant portion of the debt issued by WML is denominated in U.S. dollars.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the exchange rates resulting in weakening of the Macau pataca or the Hong Kong dollar in relation to the U.S. dollar could have materially adverse effects on our results, financial condition and ability to service debt. Based on our balances as of March 31, 2023, an assumed 1% change in the U.S. dollar/Hong Kong dollar exchange rate would cause a foreign currency transaction gain/loss of $44.8 million.</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pStyle w:val="TextBody"/>
        <w:spacing w:before="0" w:after="0"/>
        <w:ind w:left="0" w:right="0" w:firstLine="45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16, "Commitments and Contingencies" of Part I in this Quarterly Report on Form 10-Q.</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Item 1A, Part I of our Annual Report on Form 10-K for the year ended December 31, 2022. There were no material changes to those risk factors during the three months ended March 31, 2023.</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share repurchases made by the Company under its publicly announced equity prepurchase program during the three months ended March 31, 2023. As of March 31, 2023, the Company had $628.8 million in repurchase authority remaining under the program.</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shares we repurchased in satisfaction of employee tax withholding obligations on vested restricted stock during the three months ended March 31, 2023, which were not part of the Company's publicly announced equity repurchase program:</w:t>
      </w:r>
    </w:p>
    <w:tbl>
      <w:tblPr>
        <w:tblW w:w="10205" w:type="dxa"/>
        <w:jc w:val="left"/>
        <w:tblInd w:w="0" w:type="dxa"/>
        <w:tblCellMar>
          <w:top w:w="28" w:type="dxa"/>
          <w:left w:w="28" w:type="dxa"/>
          <w:bottom w:w="28" w:type="dxa"/>
          <w:right w:w="28" w:type="dxa"/>
        </w:tblCellMar>
      </w:tblPr>
      <w:tblGrid>
        <w:gridCol w:w="569"/>
        <w:gridCol w:w="449"/>
        <w:gridCol w:w="454"/>
        <w:gridCol w:w="109"/>
        <w:gridCol w:w="109"/>
        <w:gridCol w:w="109"/>
        <w:gridCol w:w="691"/>
        <w:gridCol w:w="683"/>
        <w:gridCol w:w="685"/>
        <w:gridCol w:w="109"/>
        <w:gridCol w:w="109"/>
        <w:gridCol w:w="109"/>
        <w:gridCol w:w="512"/>
        <w:gridCol w:w="1752"/>
        <w:gridCol w:w="264"/>
        <w:gridCol w:w="109"/>
        <w:gridCol w:w="109"/>
        <w:gridCol w:w="109"/>
        <w:gridCol w:w="676"/>
        <w:gridCol w:w="1982"/>
        <w:gridCol w:w="507"/>
      </w:tblGrid>
      <w:tr>
        <w:trPr/>
        <w:tc>
          <w:tcPr>
            <w:tcW w:w="56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r>
      <w:tr>
        <w:trPr/>
        <w:tc>
          <w:tcPr>
            <w:tcW w:w="14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Month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Repurchased Shares </w:t>
              <w:br/>
              <w:t>(in thousands)</w:t>
            </w:r>
          </w:p>
        </w:tc>
      </w:tr>
      <w:tr>
        <w:trPr/>
        <w:tc>
          <w:tcPr>
            <w:tcW w:w="14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80,655 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8,311 </w:t>
            </w:r>
          </w:p>
        </w:tc>
        <w:tc>
          <w:tcPr>
            <w:tcW w:w="6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5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18,215 </w:t>
            </w:r>
          </w:p>
        </w:tc>
        <w:tc>
          <w:tcPr>
            <w:tcW w:w="6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5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 Upon Senior Securities. </w:t>
      </w:r>
    </w:p>
    <w:p>
      <w:pPr>
        <w:pStyle w:val="TextBody"/>
        <w:spacing w:before="0" w:after="0"/>
        <w:ind w:left="0" w:right="0" w:firstLine="49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54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(a)Exhibits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34"/>
        <w:gridCol w:w="205"/>
        <w:gridCol w:w="207"/>
        <w:gridCol w:w="109"/>
        <w:gridCol w:w="109"/>
        <w:gridCol w:w="109"/>
        <w:gridCol w:w="2799"/>
        <w:gridCol w:w="2651"/>
        <w:gridCol w:w="3782"/>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3782"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Indenture, dated as of February 16, 2023, by and among Wynn Resorts Finance, LLC, and Wynn Resorts Capital Corp., as joint and several obligors and the Guarantors named therein and U.S. Bank National Association, as trustee. (Incorporated by reference from the Current Report on Form 8-K filed by the Registrant on February 16, 2023.)</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Pr>
                <w:t>Trust Deed, dated as of March 7, 2023, by and between Wynn Macau, Limited and DB Trustees (Hong Kong) Limited, as trustee, relating to convertible bonds due 2029 convertible into ordinary shares of Wynn Macau, Limited</w:t>
              </w:r>
            </w:hyperlink>
            <w:hyperlink r:id="rId6">
              <w:r>
                <w:rPr>
                  <w:rStyle w:val="InternetLink"/>
                </w:rPr>
                <w:t xml:space="preserve"> </w:t>
              </w:r>
            </w:hyperlink>
            <w:hyperlink r:id="rId7">
              <w:r>
                <w:rPr>
                  <w:rStyle w:val="InternetLink"/>
                </w:rPr>
                <w:t>(Incorporated by reference from the Current Report on Form 8-K filed by the Registrant on Ma</w:t>
              </w:r>
            </w:hyperlink>
            <w:hyperlink r:id="rId8">
              <w:r>
                <w:rPr>
                  <w:rStyle w:val="InternetLink"/>
                </w:rPr>
                <w:t>rch</w:t>
              </w:r>
            </w:hyperlink>
            <w:hyperlink r:id="rId9">
              <w:r>
                <w:rPr>
                  <w:rStyle w:val="InternetLink"/>
                </w:rPr>
                <w:t xml:space="preserve"> </w:t>
              </w:r>
            </w:hyperlink>
            <w:hyperlink r:id="rId10">
              <w:r>
                <w:rPr>
                  <w:rStyle w:val="InternetLink"/>
                </w:rPr>
                <w:t>7</w:t>
              </w:r>
            </w:hyperlink>
            <w:hyperlink r:id="rId11">
              <w:r>
                <w:rPr>
                  <w:rStyle w:val="InternetLink"/>
                </w:rPr>
                <w:t>, 202</w:t>
              </w:r>
            </w:hyperlink>
            <w:hyperlink r:id="rId12">
              <w:r>
                <w:rPr>
                  <w:rStyle w:val="InternetLink"/>
                </w:rPr>
                <w:t>3</w:t>
              </w:r>
            </w:hyperlink>
            <w:hyperlink r:id="rId13">
              <w:r>
                <w:rPr>
                  <w:rStyle w:val="InternetLink"/>
                </w:rPr>
                <w:t>.)</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Pr>
                <w:t xml:space="preserve">Agency Agreement, dated as of March 7, 2023, by and between Wynn Macau, Limited, DB Trustees (Hong Kong) Limited, as trustee, and Deutsche Bank Trust Company Americas, as </w:t>
              </w:r>
            </w:hyperlink>
            <w:hyperlink r:id="rId15">
              <w:r>
                <w:rPr>
                  <w:rStyle w:val="InternetLink"/>
                </w:rPr>
                <w:t>p</w:t>
              </w:r>
            </w:hyperlink>
            <w:hyperlink r:id="rId16">
              <w:r>
                <w:rPr>
                  <w:rStyle w:val="InternetLink"/>
                </w:rPr>
                <w:t xml:space="preserve">rincipal </w:t>
              </w:r>
            </w:hyperlink>
            <w:hyperlink r:id="rId17">
              <w:r>
                <w:rPr>
                  <w:rStyle w:val="InternetLink"/>
                </w:rPr>
                <w:t>p</w:t>
              </w:r>
            </w:hyperlink>
            <w:hyperlink r:id="rId18">
              <w:r>
                <w:rPr>
                  <w:rStyle w:val="InternetLink"/>
                </w:rPr>
                <w:t xml:space="preserve">aying </w:t>
              </w:r>
            </w:hyperlink>
            <w:hyperlink r:id="rId19">
              <w:r>
                <w:rPr>
                  <w:rStyle w:val="InternetLink"/>
                </w:rPr>
                <w:t>a</w:t>
              </w:r>
            </w:hyperlink>
            <w:hyperlink r:id="rId20">
              <w:r>
                <w:rPr>
                  <w:rStyle w:val="InternetLink"/>
                </w:rPr>
                <w:t xml:space="preserve">gent, </w:t>
              </w:r>
            </w:hyperlink>
            <w:hyperlink r:id="rId21">
              <w:r>
                <w:rPr>
                  <w:rStyle w:val="InternetLink"/>
                </w:rPr>
                <w:t xml:space="preserve">principal </w:t>
              </w:r>
            </w:hyperlink>
            <w:hyperlink r:id="rId22">
              <w:r>
                <w:rPr>
                  <w:rStyle w:val="InternetLink"/>
                </w:rPr>
                <w:t xml:space="preserve">conversion agent, transfer agent and registrar, </w:t>
              </w:r>
            </w:hyperlink>
            <w:hyperlink r:id="rId23">
              <w:r>
                <w:rPr>
                  <w:rStyle w:val="InternetLink"/>
                </w:rPr>
                <w:t>relating to convertible bonds due 2029 convertible into ordinary shares of Wynn Macau, Limited (Incorporated by reference from the Current Report on Form 8-K filed by the Registrant on March 7, 2023.)</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ceoscertificationxq1.htm">
              <w:r>
                <w:rPr>
                  <w:rStyle w:val="InternetLink"/>
                  <w:rFonts w:ascii="Times New Roman;sans-serif" w:hAnsi="Times New Roman;sans-serif"/>
                  <w:b w:val="false"/>
                  <w:color w:val="0000FF"/>
                  <w:sz w:val="20"/>
                  <w:u w:val="single"/>
                </w:rPr>
                <w:t>Certification of Chief Executive Officer of Periodic Report Pursuant to Rule 13a – 14(a) and Rule 15d – 14(a).</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cfoscertificationxq1.htm">
              <w:r>
                <w:rPr>
                  <w:rStyle w:val="InternetLink"/>
                  <w:rFonts w:ascii="Times New Roman;sans-serif" w:hAnsi="Times New Roman;sans-serif"/>
                  <w:b w:val="false"/>
                  <w:color w:val="0000FF"/>
                  <w:sz w:val="20"/>
                  <w:u w:val="single"/>
                </w:rPr>
                <w:t>Certification of Chief Financial Officer of Periodic Report Pursuant to Rule 13a – 14(a) and Rule 15d – 14(a).</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ceoandcfocertification.htm">
              <w:r>
                <w:rPr>
                  <w:rStyle w:val="InternetLink"/>
                  <w:rFonts w:ascii="Times New Roman;sans-serif" w:hAnsi="Times New Roman;sans-serif"/>
                  <w:b w:val="false"/>
                  <w:color w:val="0000FF"/>
                  <w:sz w:val="20"/>
                  <w:u w:val="single"/>
                </w:rPr>
                <w:t>Certification of CEO and CFO Pursuant to 18 U.S.C. Section 1350 (furnished herewith).</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Quarterly Report on Form 10-Q, formatted in Inline XBRL (Inline Extensible Business Reporting Language): (i) the Condensed Consolidated Balance Sheets as of March 31, 2023 and December 31, 2022; (ii) the Condensed Consolidated Statements of Operations for the three months ended March 31, 2023 and 2022; (iii) the Condensed Consolidated Statements of Comprehensive Income (Loss) for the three months ended March 31, 2023 and 2022; (iv) the Condensed Consolidated Statements of Stockholders' Deficit for the three months ended March 31, 2023 and 2022; (v) the Condensed Consolidated Statements of Cash Flows for the three months ended March 31, 2023 and 2022; and (vi) Notes to Condensed Consolidated Financial Statements. The instance document does not appear in the Interactive Data File because its XBRL tags are embedded within the Inline XBRL document.</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e482299f986941e788832d910a8f0f93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5830" w:type="dxa"/>
        <w:jc w:val="left"/>
        <w:tblInd w:w="0" w:type="dxa"/>
        <w:tblCellMar>
          <w:top w:w="28" w:type="dxa"/>
          <w:left w:w="28" w:type="dxa"/>
          <w:bottom w:w="28" w:type="dxa"/>
          <w:right w:w="28" w:type="dxa"/>
        </w:tblCellMar>
      </w:tblPr>
      <w:tblGrid>
        <w:gridCol w:w="629"/>
        <w:gridCol w:w="553"/>
        <w:gridCol w:w="558"/>
        <w:gridCol w:w="109"/>
        <w:gridCol w:w="109"/>
        <w:gridCol w:w="109"/>
        <w:gridCol w:w="149"/>
        <w:gridCol w:w="149"/>
        <w:gridCol w:w="151"/>
        <w:gridCol w:w="121"/>
        <w:gridCol w:w="121"/>
        <w:gridCol w:w="121"/>
        <w:gridCol w:w="864"/>
        <w:gridCol w:w="864"/>
        <w:gridCol w:w="1223"/>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5.I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60" w:after="283"/>
        <w:ind w:left="0" w:right="0" w:hanging="720"/>
        <w:jc w:val="center"/>
        <w:rPr/>
      </w:pPr>
      <w:r>
        <w:rPr/>
      </w:r>
    </w:p>
    <w:tbl>
      <w:tblPr>
        <w:tblW w:w="5090" w:type="dxa"/>
        <w:jc w:val="center"/>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724"/>
        <w:gridCol w:w="724"/>
        <w:gridCol w:w="102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 xml:space="preserve">Chief Executive Officer </w:t>
              <w:br/>
              <w:t>(Principal Executive Officer)</w:t>
            </w:r>
          </w:p>
        </w:tc>
      </w:tr>
    </w:tbl>
    <w:p>
      <w:pPr>
        <w:pStyle w:val="TextBody"/>
        <w:spacing w:before="180" w:after="283"/>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 Julie Cameron-Doe, certify that: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5.I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60" w:after="283"/>
        <w:ind w:left="0" w:right="0" w:hanging="720"/>
        <w:jc w:val="center"/>
        <w:rPr/>
      </w:pPr>
      <w:r>
        <w:rPr/>
      </w:r>
    </w:p>
    <w:tbl>
      <w:tblPr>
        <w:tblW w:w="6379" w:type="dxa"/>
        <w:jc w:val="center"/>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100"/>
        <w:gridCol w:w="1100"/>
        <w:gridCol w:w="156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br/>
              <w:t xml:space="preserve">Chief Financial Officer </w:t>
              <w:br/>
              <w:t>(Principal Financial and Accounting Officer)</w:t>
            </w:r>
          </w:p>
        </w:tc>
      </w:tr>
    </w:tbl>
    <w:p>
      <w:pPr>
        <w:pStyle w:val="TextBody"/>
        <w:spacing w:before="180" w:after="283"/>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 and the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Wynn Resorts, Limited (the “Company”) for the quarter ended March 31, 2023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spacing w:lineRule="auto" w:line="288" w:before="18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18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80" w:after="283"/>
        <w:ind w:left="0" w:right="0" w:hanging="720"/>
        <w:rPr/>
      </w:pPr>
      <w:r>
        <w:rPr/>
      </w:r>
    </w:p>
    <w:p>
      <w:pPr>
        <w:pStyle w:val="TextBody"/>
        <w:spacing w:before="180" w:after="283"/>
        <w:ind w:left="0" w:right="0" w:hanging="720"/>
        <w:rPr/>
      </w:pPr>
      <w:r>
        <w:rPr/>
      </w:r>
    </w:p>
    <w:tbl>
      <w:tblPr>
        <w:tblW w:w="3163" w:type="dxa"/>
        <w:jc w:val="left"/>
        <w:tblInd w:w="0" w:type="dxa"/>
        <w:tblCellMar>
          <w:top w:w="28" w:type="dxa"/>
          <w:left w:w="28" w:type="dxa"/>
          <w:bottom w:w="28" w:type="dxa"/>
          <w:right w:w="28" w:type="dxa"/>
        </w:tblCellMar>
      </w:tblPr>
      <w:tblGrid>
        <w:gridCol w:w="249"/>
        <w:gridCol w:w="219"/>
        <w:gridCol w:w="221"/>
        <w:gridCol w:w="722"/>
        <w:gridCol w:w="722"/>
        <w:gridCol w:w="1030"/>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r>
    </w:tbl>
    <w:p>
      <w:pPr>
        <w:pStyle w:val="TextBody"/>
        <w:spacing w:before="0" w:after="0"/>
        <w:rPr/>
      </w:pPr>
      <w:r>
        <w:rPr/>
      </w:r>
    </w:p>
    <w:p>
      <w:pPr>
        <w:pStyle w:val="TextBody"/>
        <w:spacing w:before="0" w:after="0"/>
        <w:rPr/>
      </w:pPr>
      <w:r>
        <w:rPr/>
      </w:r>
    </w:p>
    <w:p>
      <w:pPr>
        <w:pStyle w:val="TextBody"/>
        <w:spacing w:before="0" w:after="0"/>
        <w:rPr/>
      </w:pPr>
      <w:r>
        <w:rPr/>
      </w:r>
    </w:p>
    <w:tbl>
      <w:tblPr>
        <w:tblW w:w="4454" w:type="dxa"/>
        <w:jc w:val="left"/>
        <w:tblInd w:w="0" w:type="dxa"/>
        <w:tblCellMar>
          <w:top w:w="28" w:type="dxa"/>
          <w:left w:w="28" w:type="dxa"/>
          <w:bottom w:w="28" w:type="dxa"/>
          <w:right w:w="28" w:type="dxa"/>
        </w:tblCellMar>
      </w:tblPr>
      <w:tblGrid>
        <w:gridCol w:w="249"/>
        <w:gridCol w:w="219"/>
        <w:gridCol w:w="221"/>
        <w:gridCol w:w="1100"/>
        <w:gridCol w:w="1100"/>
        <w:gridCol w:w="1565"/>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r>
    </w:tbl>
    <w:p>
      <w:pPr>
        <w:pStyle w:val="TextBody"/>
        <w:spacing w:lineRule="auto" w:line="288" w:before="2980" w:after="283"/>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74922/000117492215000044/ex-31.htm" TargetMode="External"/><Relationship Id="rId3" Type="http://schemas.openxmlformats.org/officeDocument/2006/relationships/hyperlink" Target="http://www.sec.gov/Archives/edgar/data/1174922/000117492220000024/ex32-bylaws.htm" TargetMode="External"/><Relationship Id="rId4" Type="http://schemas.openxmlformats.org/officeDocument/2006/relationships/hyperlink" Target="https://www.sec.gov/Archives/edgar/data/1174922/000117492223000036/ex41-wrf2023seniornotesind.htm" TargetMode="External"/><Relationship Id="rId5" Type="http://schemas.openxmlformats.org/officeDocument/2006/relationships/hyperlink" Target="https://www.sec.gov/Archives/edgar/data/1174922/000117492223000060/ex41trustdeed.htm" TargetMode="External"/><Relationship Id="rId6" Type="http://schemas.openxmlformats.org/officeDocument/2006/relationships/hyperlink" Target="https://www.sec.gov/Archives/edgar/data/1174922/000117492223000060/ex41trustdeed.htm" TargetMode="External"/><Relationship Id="rId7" Type="http://schemas.openxmlformats.org/officeDocument/2006/relationships/hyperlink" Target="https://www.sec.gov/Archives/edgar/data/1174922/000117492223000060/ex41trustdeed.htm" TargetMode="External"/><Relationship Id="rId8" Type="http://schemas.openxmlformats.org/officeDocument/2006/relationships/hyperlink" Target="https://www.sec.gov/Archives/edgar/data/1174922/000117492223000060/ex41trustdeed.htm" TargetMode="External"/><Relationship Id="rId9" Type="http://schemas.openxmlformats.org/officeDocument/2006/relationships/hyperlink" Target="https://www.sec.gov/Archives/edgar/data/1174922/000117492223000060/ex41trustdeed.htm" TargetMode="External"/><Relationship Id="rId10" Type="http://schemas.openxmlformats.org/officeDocument/2006/relationships/hyperlink" Target="https://www.sec.gov/Archives/edgar/data/1174922/000117492223000060/ex41trustdeed.htm" TargetMode="External"/><Relationship Id="rId11" Type="http://schemas.openxmlformats.org/officeDocument/2006/relationships/hyperlink" Target="https://www.sec.gov/Archives/edgar/data/1174922/000117492223000060/ex41trustdeed.htm" TargetMode="External"/><Relationship Id="rId12" Type="http://schemas.openxmlformats.org/officeDocument/2006/relationships/hyperlink" Target="https://www.sec.gov/Archives/edgar/data/1174922/000117492223000060/ex41trustdeed.htm" TargetMode="External"/><Relationship Id="rId13" Type="http://schemas.openxmlformats.org/officeDocument/2006/relationships/hyperlink" Target="https://www.sec.gov/Archives/edgar/data/1174922/000117492223000060/ex41trustdeed.htm" TargetMode="External"/><Relationship Id="rId14" Type="http://schemas.openxmlformats.org/officeDocument/2006/relationships/hyperlink" Target="https://www.sec.gov/Archives/edgar/data/1174922/000117492223000060/ex42-agencyagreement.htm" TargetMode="External"/><Relationship Id="rId15" Type="http://schemas.openxmlformats.org/officeDocument/2006/relationships/hyperlink" Target="https://www.sec.gov/Archives/edgar/data/1174922/000117492223000060/ex42-agencyagreement.htm" TargetMode="External"/><Relationship Id="rId16" Type="http://schemas.openxmlformats.org/officeDocument/2006/relationships/hyperlink" Target="https://www.sec.gov/Archives/edgar/data/1174922/000117492223000060/ex42-agencyagreement.htm" TargetMode="External"/><Relationship Id="rId17" Type="http://schemas.openxmlformats.org/officeDocument/2006/relationships/hyperlink" Target="https://www.sec.gov/Archives/edgar/data/1174922/000117492223000060/ex42-agencyagreement.htm" TargetMode="External"/><Relationship Id="rId18" Type="http://schemas.openxmlformats.org/officeDocument/2006/relationships/hyperlink" Target="https://www.sec.gov/Archives/edgar/data/1174922/000117492223000060/ex42-agencyagreement.htm" TargetMode="External"/><Relationship Id="rId19" Type="http://schemas.openxmlformats.org/officeDocument/2006/relationships/hyperlink" Target="https://www.sec.gov/Archives/edgar/data/1174922/000117492223000060/ex42-agencyagreement.htm" TargetMode="External"/><Relationship Id="rId20" Type="http://schemas.openxmlformats.org/officeDocument/2006/relationships/hyperlink" Target="https://www.sec.gov/Archives/edgar/data/1174922/000117492223000060/ex42-agencyagreement.htm" TargetMode="External"/><Relationship Id="rId21" Type="http://schemas.openxmlformats.org/officeDocument/2006/relationships/hyperlink" Target="https://www.sec.gov/Archives/edgar/data/1174922/000117492223000060/ex42-agencyagreement.htm" TargetMode="External"/><Relationship Id="rId22" Type="http://schemas.openxmlformats.org/officeDocument/2006/relationships/hyperlink" Target="https://www.sec.gov/Archives/edgar/data/1174922/000117492223000060/ex42-agencyagreement.htm" TargetMode="External"/><Relationship Id="rId23" Type="http://schemas.openxmlformats.org/officeDocument/2006/relationships/hyperlink" Target="https://www.sec.gov/Archives/edgar/data/1174922/000117492223000060/ex42-agencyagreement.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20143</Words>
  <CharactersWithSpaces>130299</CharactersWithSpaces>
  <Paragraphs>2863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