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34" w:lineRule="exact"/>
        <w:rPr>
          <w:sz w:val="24"/>
          <w:szCs w:val="24"/>
          <w:color w:val="auto"/>
        </w:rPr>
      </w:pPr>
    </w:p>
    <w:p>
      <w:pPr>
        <w:jc w:val="center"/>
        <w:ind w:right="-419"/>
        <w:spacing w:after="0"/>
        <w:rPr>
          <w:sz w:val="20"/>
          <w:szCs w:val="20"/>
          <w:color w:val="auto"/>
        </w:rPr>
      </w:pPr>
      <w:r>
        <w:rPr>
          <w:rFonts w:ascii="Arial" w:cs="Arial" w:eastAsia="Arial" w:hAnsi="Arial"/>
          <w:sz w:val="19"/>
          <w:szCs w:val="19"/>
          <w:color w:val="auto"/>
        </w:rPr>
        <w:t>Date of Report (Date of earliest event reported): March 5, 2012</w:t>
      </w:r>
    </w:p>
    <w:p>
      <w:pPr>
        <w:spacing w:after="0" w:line="18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WYNN RESORTS, LIMITED</w:t>
      </w:r>
    </w:p>
    <w:p>
      <w:pPr>
        <w:spacing w:after="0" w:line="23"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20"/>
          </w:cols>
          <w:pgMar w:left="240" w:top="220" w:right="639" w:bottom="1440" w:gutter="0" w:footer="0" w:header="0"/>
        </w:sectPr>
      </w:pPr>
    </w:p>
    <w:p>
      <w:pPr>
        <w:spacing w:after="0" w:line="179" w:lineRule="exact"/>
        <w:rPr>
          <w:sz w:val="24"/>
          <w:szCs w:val="24"/>
          <w:color w:val="auto"/>
        </w:rPr>
      </w:pPr>
    </w:p>
    <w:p>
      <w:pPr>
        <w:ind w:left="1600"/>
        <w:spacing w:after="0"/>
        <w:rPr>
          <w:sz w:val="20"/>
          <w:szCs w:val="20"/>
          <w:color w:val="auto"/>
        </w:rPr>
      </w:pPr>
      <w:r>
        <w:rPr>
          <w:rFonts w:ascii="Arial" w:cs="Arial" w:eastAsia="Arial" w:hAnsi="Arial"/>
          <w:sz w:val="19"/>
          <w:szCs w:val="19"/>
          <w:b w:val="1"/>
          <w:bCs w:val="1"/>
          <w:color w:val="auto"/>
        </w:rPr>
        <w:t>Nevada</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000-50028</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46-0484987</w:t>
      </w:r>
    </w:p>
    <w:p>
      <w:pPr>
        <w:spacing w:after="0" w:line="62" w:lineRule="exact"/>
        <w:rPr>
          <w:sz w:val="24"/>
          <w:szCs w:val="24"/>
          <w:color w:val="auto"/>
        </w:rPr>
      </w:pPr>
    </w:p>
    <w:p>
      <w:pPr>
        <w:sectPr>
          <w:pgSz w:w="11900" w:h="16838" w:orient="portrait"/>
          <w:cols w:equalWidth="0" w:num="3">
            <w:col w:w="4660" w:space="720"/>
            <w:col w:w="2980" w:space="720"/>
            <w:col w:w="1940"/>
          </w:cols>
          <w:pgMar w:left="240" w:top="220" w:right="6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6"/>
          <w:szCs w:val="16"/>
          <w:color w:val="auto"/>
        </w:rPr>
        <w:t>(I.R.S. Employer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181" w:lineRule="exact"/>
        <w:rPr>
          <w:sz w:val="24"/>
          <w:szCs w:val="24"/>
          <w:color w:val="auto"/>
        </w:rPr>
      </w:pPr>
    </w:p>
    <w:p>
      <w:pPr>
        <w:sectPr>
          <w:pgSz w:w="11900" w:h="16838" w:orient="portrait"/>
          <w:cols w:equalWidth="0" w:num="3">
            <w:col w:w="4160" w:space="720"/>
            <w:col w:w="3340" w:space="720"/>
            <w:col w:w="2080"/>
          </w:cols>
          <w:pgMar w:left="240" w:top="220" w:right="639" w:bottom="1440" w:gutter="0" w:footer="0" w:header="0"/>
          <w:type w:val="continuous"/>
        </w:sectPr>
      </w:pPr>
    </w:p>
    <w:p>
      <w:pPr>
        <w:jc w:val="center"/>
        <w:ind w:right="-399"/>
        <w:spacing w:after="0"/>
        <w:rPr>
          <w:sz w:val="20"/>
          <w:szCs w:val="20"/>
          <w:color w:val="auto"/>
        </w:rPr>
      </w:pPr>
      <w:r>
        <w:rPr>
          <w:rFonts w:ascii="Arial" w:cs="Arial" w:eastAsia="Arial" w:hAnsi="Arial"/>
          <w:sz w:val="22"/>
          <w:szCs w:val="22"/>
          <w:b w:val="1"/>
          <w:bCs w:val="1"/>
          <w:color w:val="auto"/>
        </w:rPr>
        <w:t>WYNN LAS VEGAS, LLC</w:t>
      </w:r>
    </w:p>
    <w:p>
      <w:pPr>
        <w:spacing w:after="0" w:line="23" w:lineRule="exact"/>
        <w:rPr>
          <w:sz w:val="24"/>
          <w:szCs w:val="24"/>
          <w:color w:val="auto"/>
        </w:rPr>
      </w:pPr>
    </w:p>
    <w:p>
      <w:pPr>
        <w:ind w:left="3900"/>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020"/>
          </w:cols>
          <w:pgMar w:left="240" w:top="220" w:right="639" w:bottom="1440" w:gutter="0" w:footer="0" w:header="0"/>
          <w:type w:val="continuous"/>
        </w:sectPr>
      </w:pPr>
    </w:p>
    <w:p>
      <w:pPr>
        <w:spacing w:after="0" w:line="213" w:lineRule="exact"/>
        <w:rPr>
          <w:sz w:val="24"/>
          <w:szCs w:val="24"/>
          <w:color w:val="auto"/>
        </w:rPr>
      </w:pPr>
    </w:p>
    <w:p>
      <w:pPr>
        <w:ind w:left="1600"/>
        <w:spacing w:after="0"/>
        <w:rPr>
          <w:sz w:val="20"/>
          <w:szCs w:val="20"/>
          <w:color w:val="auto"/>
        </w:rPr>
      </w:pPr>
      <w:r>
        <w:rPr>
          <w:rFonts w:ascii="Arial" w:cs="Arial" w:eastAsia="Arial" w:hAnsi="Arial"/>
          <w:sz w:val="19"/>
          <w:szCs w:val="19"/>
          <w:b w:val="1"/>
          <w:bCs w:val="1"/>
          <w:color w:val="auto"/>
        </w:rPr>
        <w:t>Nevada</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333-100768</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88-0494875</w:t>
      </w:r>
    </w:p>
    <w:p>
      <w:pPr>
        <w:spacing w:after="0" w:line="62" w:lineRule="exact"/>
        <w:rPr>
          <w:sz w:val="24"/>
          <w:szCs w:val="24"/>
          <w:color w:val="auto"/>
        </w:rPr>
      </w:pPr>
    </w:p>
    <w:p>
      <w:pPr>
        <w:sectPr>
          <w:pgSz w:w="11900" w:h="16838" w:orient="portrait"/>
          <w:cols w:equalWidth="0" w:num="3">
            <w:col w:w="4600" w:space="720"/>
            <w:col w:w="3040" w:space="720"/>
            <w:col w:w="1940"/>
          </w:cols>
          <w:pgMar w:left="240" w:top="220" w:right="6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6"/>
          <w:szCs w:val="16"/>
          <w:color w:val="auto"/>
        </w:rPr>
        <w:t>(I.R.S. Employer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4160" w:space="720"/>
            <w:col w:w="3340" w:space="720"/>
            <w:col w:w="2080"/>
          </w:cols>
          <w:pgMar w:left="240" w:top="220" w:right="639" w:bottom="1440" w:gutter="0" w:footer="0" w:header="0"/>
          <w:type w:val="continuous"/>
        </w:sectPr>
      </w:pPr>
    </w:p>
    <w:p>
      <w:pPr>
        <w:spacing w:after="0" w:line="162" w:lineRule="exact"/>
        <w:rPr>
          <w:sz w:val="24"/>
          <w:szCs w:val="24"/>
          <w:color w:val="auto"/>
        </w:rPr>
      </w:pPr>
    </w:p>
    <w:p>
      <w:pPr>
        <w:jc w:val="center"/>
        <w:ind w:right="1960"/>
        <w:spacing w:after="0"/>
        <w:rPr>
          <w:sz w:val="20"/>
          <w:szCs w:val="20"/>
          <w:color w:val="auto"/>
        </w:rPr>
      </w:pPr>
      <w:r>
        <w:rPr>
          <w:rFonts w:ascii="Arial" w:cs="Arial" w:eastAsia="Arial" w:hAnsi="Arial"/>
          <w:sz w:val="19"/>
          <w:szCs w:val="19"/>
          <w:b w:val="1"/>
          <w:bCs w:val="1"/>
          <w:color w:val="auto"/>
        </w:rPr>
        <w:t>3131 Las Vegas Boulevard South</w:t>
      </w:r>
    </w:p>
    <w:p>
      <w:pPr>
        <w:spacing w:after="0" w:line="49" w:lineRule="exact"/>
        <w:rPr>
          <w:sz w:val="24"/>
          <w:szCs w:val="24"/>
          <w:color w:val="auto"/>
        </w:rPr>
      </w:pPr>
    </w:p>
    <w:p>
      <w:pPr>
        <w:jc w:val="center"/>
        <w:ind w:right="1960"/>
        <w:spacing w:after="0"/>
        <w:rPr>
          <w:sz w:val="20"/>
          <w:szCs w:val="20"/>
          <w:color w:val="auto"/>
        </w:rPr>
      </w:pPr>
      <w:r>
        <w:rPr>
          <w:rFonts w:ascii="Arial" w:cs="Arial" w:eastAsia="Arial" w:hAnsi="Arial"/>
          <w:sz w:val="22"/>
          <w:szCs w:val="22"/>
          <w:b w:val="1"/>
          <w:bCs w:val="1"/>
          <w:color w:val="auto"/>
        </w:rPr>
        <w:t>Las Vegas, Nevada</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89109</w:t>
      </w:r>
    </w:p>
    <w:p>
      <w:pPr>
        <w:spacing w:after="0" w:line="62" w:lineRule="exact"/>
        <w:rPr>
          <w:sz w:val="24"/>
          <w:szCs w:val="24"/>
          <w:color w:val="auto"/>
        </w:rPr>
      </w:pPr>
    </w:p>
    <w:p>
      <w:pPr>
        <w:sectPr>
          <w:pgSz w:w="11900" w:h="16838" w:orient="portrait"/>
          <w:cols w:equalWidth="0" w:num="2">
            <w:col w:w="7700" w:space="720"/>
            <w:col w:w="2600"/>
          </w:cols>
          <w:pgMar w:left="240" w:top="220" w:right="639" w:bottom="1440" w:gutter="0" w:footer="0" w:header="0"/>
          <w:type w:val="continuous"/>
        </w:sectPr>
      </w:pPr>
    </w:p>
    <w:p>
      <w:pPr>
        <w:ind w:left="84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57" w:lineRule="exact"/>
        <w:rPr>
          <w:sz w:val="24"/>
          <w:szCs w:val="24"/>
          <w:color w:val="auto"/>
        </w:rPr>
      </w:pPr>
    </w:p>
    <w:p>
      <w:pPr>
        <w:sectPr>
          <w:pgSz w:w="11900" w:h="16838" w:orient="portrait"/>
          <w:cols w:equalWidth="0" w:num="2">
            <w:col w:w="7580" w:space="720"/>
            <w:col w:w="2720"/>
          </w:cols>
          <w:pgMar w:left="240" w:top="220" w:right="639" w:bottom="1440" w:gutter="0" w:footer="0" w:header="0"/>
          <w:type w:val="continuous"/>
        </w:sectPr>
      </w:pPr>
    </w:p>
    <w:p>
      <w:pPr>
        <w:jc w:val="center"/>
        <w:ind w:right="-419"/>
        <w:spacing w:after="0"/>
        <w:rPr>
          <w:sz w:val="20"/>
          <w:szCs w:val="20"/>
          <w:color w:val="auto"/>
        </w:rPr>
      </w:pPr>
      <w:r>
        <w:rPr>
          <w:rFonts w:ascii="Arial" w:cs="Arial" w:eastAsia="Arial" w:hAnsi="Arial"/>
          <w:sz w:val="22"/>
          <w:szCs w:val="22"/>
          <w:b w:val="1"/>
          <w:bCs w:val="1"/>
          <w:color w:val="auto"/>
        </w:rPr>
        <w:t>(702) 770-7555</w:t>
      </w:r>
    </w:p>
    <w:p>
      <w:pPr>
        <w:spacing w:after="0" w:line="23" w:lineRule="exact"/>
        <w:rPr>
          <w:sz w:val="24"/>
          <w:szCs w:val="24"/>
          <w:color w:val="auto"/>
        </w:rPr>
      </w:pPr>
    </w:p>
    <w:p>
      <w:pPr>
        <w:ind w:left="3860"/>
        <w:spacing w:after="0"/>
        <w:rPr>
          <w:sz w:val="20"/>
          <w:szCs w:val="20"/>
          <w:color w:val="auto"/>
        </w:rPr>
      </w:pPr>
      <w:r>
        <w:rPr>
          <w:rFonts w:ascii="Arial" w:cs="Arial" w:eastAsia="Arial" w:hAnsi="Arial"/>
          <w:sz w:val="15"/>
          <w:szCs w:val="15"/>
          <w:color w:val="auto"/>
        </w:rPr>
        <w:t>(Registrant’s telephone number, including area code)</w:t>
      </w:r>
    </w:p>
    <w:p>
      <w:pPr>
        <w:sectPr>
          <w:pgSz w:w="11900" w:h="16838" w:orient="portrait"/>
          <w:cols w:equalWidth="0" w:num="1">
            <w:col w:w="11020"/>
          </w:cols>
          <w:pgMar w:left="240" w:top="220" w:right="639" w:bottom="1440" w:gutter="0" w:footer="0" w:header="0"/>
          <w:type w:val="continuous"/>
        </w:sectPr>
      </w:pPr>
    </w:p>
    <w:p>
      <w:pPr>
        <w:spacing w:after="0" w:line="17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Not Applicable</w:t>
      </w:r>
    </w:p>
    <w:p>
      <w:pPr>
        <w:spacing w:after="0" w:line="23"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20"/>
          </w:cols>
          <w:pgMar w:left="240" w:top="220"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March 5, 2012, Wynn Resorts, Limited (“Wynn Resorts”) issued a press release announcing the pricing by Wynn Las Vegas, LLC and Wynn Las Vegas Capital Corp., each a direct or indirect wholly owned subsidiary of Wynn Resorts, of $900,000,000 aggregate principal amount of 5.375% First Mortgage Notes due 2022. A copy of the press release is attached hereto as Exhibit 99.1 and is hereby incorporated by reference.</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326" w:lineRule="exact"/>
        <w:rPr>
          <w:sz w:val="20"/>
          <w:szCs w:val="20"/>
          <w:color w:val="auto"/>
        </w:rPr>
      </w:pPr>
    </w:p>
    <w:p>
      <w:pPr>
        <w:ind w:left="1360" w:hanging="116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1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32" w:lineRule="exact"/>
        <w:rPr>
          <w:sz w:val="20"/>
          <w:szCs w:val="20"/>
          <w:color w:val="auto"/>
        </w:rPr>
      </w:pPr>
    </w:p>
    <w:p>
      <w:pPr>
        <w:ind w:left="14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5, 2012, of Wynn Resorts, Limited.</w:t>
      </w:r>
    </w:p>
    <w:p>
      <w:pPr>
        <w:sectPr>
          <w:pgSz w:w="11900" w:h="16838" w:orient="portrait"/>
          <w:cols w:equalWidth="0" w:num="1">
            <w:col w:w="11260"/>
          </w:cols>
          <w:pgMar w:left="240" w:top="274" w:right="3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000"/>
          </w:cols>
          <w:pgMar w:left="240" w:top="274" w:right="6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Wynn Resorts, Limited Announces Pricing of Private Offering of $900,000,000 Aggregate Principal Amount of Wynn Las Vegas First Mortgage Notes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due 2022</w:t>
      </w:r>
    </w:p>
    <w:p>
      <w:pPr>
        <w:spacing w:after="0" w:line="16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LAS VEGAS, March 5, 2012 (BUSINESS WIRE) — Wynn Resorts, Limited (NASDAQ: WYNN) announced today the pricing by Wynn Las Vegas, LLC and Wynn Las Vegas Capital Corp. (the “issuers”), each a direct or indirect wholly owned subsidiary of Wynn Resorts, Limited, of $900,000,000 aggregate principal amount of 5.375% First Mortgage Notes due 2022. The notes will be issued at par. The notes will be offered only to qualified institutional buyers and outside the U.S. in accordance with Rule 144A and Regulation S, respectively, under the Securities Act of 1933. Wynn Las Vegas, LLC plans to use the net proceeds of the offering to repay all outstanding loans under its term loan facilities and for general corporate purposes.</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The notes will rank pari passu in right of payment with borrowings under Wynn Las Vegas, LLC’s credit facilities, its existing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its existing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and its existing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2020 (collectively, the “existing notes”). The notes will be senior secured obligations of the issuers, will be guaranteed by certain of Wynn Las Vegas, LLC’s subsidiaries and will be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LLC, all of which is the same collateral that secures borrowings under Wynn Las Vegas, LLC’s credit facilities and the existing notes.</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release contains forward-looking statements about Wynn Las Vegas, LLC and Wynn Las Vegas Capital Corp., including those related to the offering of notes and whether or not Wynn Las Vegas, LLC and Wynn Las Vegas Capital Corp. will consummate the offering. Such forward-looking information involves important risks and uncertainties that could significantly affect anticipated results in the future and, accordingly, such results may differ from those expressed in any forward-looking statements made by Wynn Resorts, Limited or the issuers. The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2011 and Wynn Las Vegas, LLC’s and Wynn Resorts, Limited’s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2019-12-09T14:12:30Z</dcterms:created>
  <dcterms:modified xsi:type="dcterms:W3CDTF">2019-12-09T14:12:30Z</dcterms:modified>
</cp:coreProperties>
</file>