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25,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$517,500,000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$41,099,253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Subject to Completion, Dated October 25,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34,615,000 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34,615,000 shares of our common stock. We anticipate that the initial public offering price will be between $13.00 and $14.00 per share. Our common stock has been approved for quotation on The Nasdaq National Market under the symbol "WYNN."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Concurrent with this offering, our wholly owned subsidiaries, Wynn Las Vegas, LLC and Wynn Las Vegas Capital Corp., are jointly offering $365 million in aggregate principal amount at maturity of second mortgage notes and Wynn Las Vegas is entering into credit facilities providing for borrowings of up to</w:t>
      </w:r>
    </w:p>
    <w:p>
      <w:pPr>
        <w:ind w:right="280"/>
        <w:spacing w:after="0" w:line="323" w:lineRule="auto"/>
        <w:rPr>
          <w:sz w:val="20"/>
          <w:szCs w:val="20"/>
          <w:color w:val="auto"/>
        </w:rPr>
      </w:pPr>
      <w:r>
        <w:rPr>
          <w:rFonts w:ascii="Arial" w:cs="Arial" w:eastAsia="Arial" w:hAnsi="Arial"/>
          <w:sz w:val="16"/>
          <w:szCs w:val="16"/>
          <w:color w:val="auto"/>
        </w:rPr>
        <w:t>$1 billion and a $188.5 million loan facility for the purchase of certain furniture, fixtures and equipment. We will guarantee the second mortgage notes and the debt facilities on an unsecured basis, unless we grant specified other liens and are required to secure our guarantee.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180" w:type="dxa"/>
            <w:vAlign w:val="bottom"/>
          </w:tcPr>
          <w:p>
            <w:pPr>
              <w:ind w:left="10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5020" w:type="dxa"/>
            <w:vAlign w:val="bottom"/>
            <w:gridSpan w:val="2"/>
          </w:tcPr>
          <w:p>
            <w:pPr>
              <w:spacing w:after="0"/>
              <w:rPr>
                <w:sz w:val="20"/>
                <w:szCs w:val="20"/>
                <w:color w:val="auto"/>
              </w:rPr>
            </w:pPr>
            <w:r>
              <w:rPr>
                <w:rFonts w:ascii="Arial" w:cs="Arial" w:eastAsia="Arial" w:hAnsi="Arial"/>
                <w:sz w:val="18"/>
                <w:szCs w:val="18"/>
                <w:color w:val="auto"/>
              </w:rPr>
              <w:t>Public offering price</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Proceeds, before expenses, to Wynn Resorts, Limited(1)</w:t>
            </w:r>
          </w:p>
        </w:tc>
        <w:tc>
          <w:tcPr>
            <w:tcW w:w="2180" w:type="dxa"/>
            <w:vAlign w:val="bottom"/>
          </w:tcPr>
          <w:p>
            <w:pPr>
              <w:ind w:left="10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120"/>
        </w:trPr>
        <w:tc>
          <w:tcPr>
            <w:tcW w:w="680" w:type="dxa"/>
            <w:vAlign w:val="bottom"/>
            <w:tcBorders>
              <w:bottom w:val="single" w:sz="8" w:color="808080"/>
            </w:tcBorders>
          </w:tcPr>
          <w:p>
            <w:pPr>
              <w:spacing w:after="0"/>
              <w:rPr>
                <w:sz w:val="10"/>
                <w:szCs w:val="10"/>
                <w:color w:val="auto"/>
              </w:rPr>
            </w:pPr>
          </w:p>
        </w:tc>
        <w:tc>
          <w:tcPr>
            <w:tcW w:w="43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204" w:lineRule="auto"/>
        <w:tabs>
          <w:tab w:leader="none" w:pos="540" w:val="left"/>
        </w:tabs>
        <w:numPr>
          <w:ilvl w:val="0"/>
          <w:numId w:val="2"/>
        </w:numPr>
        <w:rPr>
          <w:rFonts w:ascii="Arial" w:cs="Arial" w:eastAsia="Arial" w:hAnsi="Arial"/>
          <w:sz w:val="24"/>
          <w:szCs w:val="24"/>
          <w:color w:val="auto"/>
          <w:vertAlign w:val="subscript"/>
        </w:rPr>
      </w:pPr>
      <w:r>
        <w:rPr>
          <w:rFonts w:ascii="Arial" w:cs="Arial" w:eastAsia="Arial" w:hAnsi="Arial"/>
          <w:sz w:val="12"/>
          <w:szCs w:val="12"/>
          <w:color w:val="auto"/>
        </w:rPr>
        <w:t>Of the 34,615,000 shares of common stock offered hereby, Wynn Resorts intends to offer a total of 13,538,462 shares directly to certain purchasers, including Stephen A. Wynn, Chairman of the Board, Chief Executive Officer and a principal stockholder of Wynn Resorts, and Aruze USA, Inc., another principal stockholder of Wynn Resorts, each of whom has expressed interest in purchasing 5,769,231 shares at the price being offered to the public. The underwriters will not receive any underwriting discounts or commissions on any shares of common stock purchased by these purchasers.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3,161,481 additional shares of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6540" w:type="dxa"/>
            <w:vAlign w:val="bottom"/>
            <w:gridSpan w:val="4"/>
          </w:tcPr>
          <w:p>
            <w:pPr>
              <w:jc w:val="center"/>
              <w:ind w:left="1559"/>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4880" w:type="dxa"/>
            <w:vAlign w:val="bottom"/>
          </w:tcPr>
          <w:p>
            <w:pPr>
              <w:ind w:left="180"/>
              <w:spacing w:after="0"/>
              <w:rPr>
                <w:sz w:val="20"/>
                <w:szCs w:val="20"/>
                <w:color w:val="auto"/>
              </w:rPr>
            </w:pPr>
            <w:r>
              <w:rPr>
                <w:rFonts w:ascii="Arial" w:cs="Arial" w:eastAsia="Arial" w:hAnsi="Arial"/>
                <w:sz w:val="22"/>
                <w:szCs w:val="22"/>
                <w:b w:val="1"/>
                <w:bCs w:val="1"/>
                <w:color w:val="auto"/>
              </w:rPr>
              <w:t>Banc of America Securities LLC</w:t>
            </w:r>
          </w:p>
        </w:tc>
      </w:tr>
      <w:tr>
        <w:trPr>
          <w:trHeight w:val="216"/>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2640" w:type="dxa"/>
            <w:vAlign w:val="bottom"/>
          </w:tcPr>
          <w:p>
            <w:pPr>
              <w:spacing w:after="0"/>
              <w:rPr>
                <w:sz w:val="24"/>
                <w:szCs w:val="24"/>
                <w:color w:val="auto"/>
              </w:rPr>
            </w:pPr>
          </w:p>
        </w:tc>
        <w:tc>
          <w:tcPr>
            <w:tcW w:w="1960" w:type="dxa"/>
            <w:vAlign w:val="bottom"/>
          </w:tcPr>
          <w:p>
            <w:pPr>
              <w:jc w:val="center"/>
              <w:ind w:left="862"/>
              <w:spacing w:after="0"/>
              <w:rPr>
                <w:sz w:val="20"/>
                <w:szCs w:val="20"/>
                <w:color w:val="auto"/>
              </w:rPr>
            </w:pPr>
            <w:r>
              <w:rPr>
                <w:rFonts w:ascii="Arial" w:cs="Arial" w:eastAsia="Arial" w:hAnsi="Arial"/>
                <w:sz w:val="22"/>
                <w:szCs w:val="22"/>
                <w:b w:val="1"/>
                <w:bCs w:val="1"/>
                <w:color w:val="auto"/>
                <w:w w:val="93"/>
              </w:rPr>
              <w:t>JPMorgan</w:t>
            </w:r>
          </w:p>
        </w:tc>
        <w:tc>
          <w:tcPr>
            <w:tcW w:w="68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46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4600" w:type="dxa"/>
            <w:vAlign w:val="bottom"/>
            <w:gridSpan w:val="2"/>
          </w:tcPr>
          <w:p>
            <w:pPr>
              <w:jc w:val="right"/>
              <w:ind w:right="102"/>
              <w:spacing w:after="0"/>
              <w:rPr>
                <w:sz w:val="20"/>
                <w:szCs w:val="20"/>
                <w:color w:val="auto"/>
              </w:rPr>
            </w:pPr>
            <w:r>
              <w:rPr>
                <w:rFonts w:ascii="Arial" w:cs="Arial" w:eastAsia="Arial" w:hAnsi="Arial"/>
                <w:sz w:val="22"/>
                <w:szCs w:val="22"/>
                <w:b w:val="1"/>
                <w:bCs w:val="1"/>
                <w:color w:val="auto"/>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4880" w:type="dxa"/>
            <w:vAlign w:val="bottom"/>
          </w:tcPr>
          <w:p>
            <w:pPr>
              <w:ind w:left="160"/>
              <w:spacing w:after="0"/>
              <w:rPr>
                <w:sz w:val="20"/>
                <w:szCs w:val="20"/>
                <w:color w:val="auto"/>
              </w:rPr>
            </w:pPr>
            <w:r>
              <w:rPr>
                <w:rFonts w:ascii="Arial" w:cs="Arial" w:eastAsia="Arial" w:hAnsi="Arial"/>
                <w:sz w:val="22"/>
                <w:szCs w:val="22"/>
                <w:b w:val="1"/>
                <w:bCs w:val="1"/>
                <w:color w:val="auto"/>
              </w:rPr>
              <w:t>Thomas Weisel Partners LLC</w:t>
            </w:r>
          </w:p>
        </w:tc>
      </w:tr>
      <w:tr>
        <w:trPr>
          <w:trHeight w:val="420"/>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960" w:type="dxa"/>
            <w:vAlign w:val="bottom"/>
          </w:tcPr>
          <w:p>
            <w:pPr>
              <w:jc w:val="right"/>
              <w:ind w:right="822"/>
              <w:spacing w:after="0"/>
              <w:rPr>
                <w:sz w:val="20"/>
                <w:szCs w:val="20"/>
                <w:color w:val="auto"/>
              </w:rPr>
            </w:pPr>
            <w:r>
              <w:rPr>
                <w:rFonts w:ascii="Arial" w:cs="Arial" w:eastAsia="Arial" w:hAnsi="Arial"/>
                <w:sz w:val="18"/>
                <w:szCs w:val="18"/>
                <w:color w:val="auto"/>
              </w:rPr>
              <w:t>, 2002.</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-1180465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-734695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-734695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ectPr>
          <w:pgSz w:w="11900" w:h="16838" w:orient="portrait"/>
          <w:cols w:equalWidth="0" w:num="1">
            <w:col w:w="11420"/>
          </w:cols>
          <w:pgMar w:left="240" w:top="368" w:right="239" w:bottom="0" w:gutter="0" w:footer="0" w:header="0"/>
        </w:sectPr>
      </w:pPr>
    </w:p>
    <w:p>
      <w:pPr>
        <w:spacing w:after="0" w:line="19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368" w:right="239" w:bottom="0" w:gutter="0" w:footer="0" w:header="0"/>
          <w:type w:val="continuous"/>
        </w:sectPr>
      </w:pPr>
    </w:p>
    <w:bookmarkStart w:id="2" w:name="page3"/>
    <w:bookmarkEnd w:id="2"/>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$2.1 billion in gaming revenue in 2000. Wynn Macau currently is one of three concessionaires permitted to operate a casino gaming business in Macau.</w:t>
      </w:r>
    </w:p>
    <w:p>
      <w:pPr>
        <w:spacing w:after="0" w:line="248"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April 2005, it will have been almost five years since a major new hotel casino resort opened on the Las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Vegas Strip. As a result, we expect that there will be a high level of customer anticipation for Le Rêve.</w:t>
      </w:r>
    </w:p>
    <w:p>
      <w:pPr>
        <w:spacing w:after="0" w:line="252" w:lineRule="exact"/>
        <w:rPr>
          <w:sz w:val="20"/>
          <w:szCs w:val="20"/>
          <w:color w:val="auto"/>
        </w:rPr>
      </w:pPr>
    </w:p>
    <w:p>
      <w:pPr>
        <w:ind w:left="1080" w:right="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Provide an Experience at Le Rêve of the Highest Standard of Luxury in an Atmosphere of Casual Elegance. </w:t>
      </w:r>
      <w:r>
        <w:rPr>
          <w:rFonts w:ascii="Arial" w:cs="Arial" w:eastAsia="Arial" w:hAnsi="Arial"/>
          <w:sz w:val="16"/>
          <w:szCs w:val="16"/>
          <w:color w:val="auto"/>
        </w:rPr>
        <w:t>We will seek to attract a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Le Rêve, including middle market customers and high roller and premium gaming patrons, by providing guests with a premium level</w:t>
      </w:r>
    </w:p>
    <w:p>
      <w:pPr>
        <w:sectPr>
          <w:pgSz w:w="11900" w:h="16952" w:orient="portrait"/>
          <w:cols w:equalWidth="0" w:num="1">
            <w:col w:w="11420"/>
          </w:cols>
          <w:pgMar w:left="240" w:top="341" w:right="239" w:bottom="0" w:gutter="0" w:footer="0" w:header="0"/>
        </w:sectPr>
      </w:pPr>
    </w:p>
    <w:bookmarkStart w:id="3" w:name="page4"/>
    <w:bookmarkEnd w:id="3"/>
    <w:p>
      <w:pPr>
        <w:spacing w:after="0" w:line="1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luxury, amenities and service, such as:</w:t>
      </w:r>
    </w:p>
    <w:p>
      <w:pPr>
        <w:spacing w:after="0" w:line="200" w:lineRule="exact"/>
        <w:rPr>
          <w:sz w:val="20"/>
          <w:szCs w:val="20"/>
          <w:color w:val="auto"/>
        </w:rPr>
      </w:pPr>
    </w:p>
    <w:p>
      <w:pPr>
        <w:spacing w:after="0" w:line="255" w:lineRule="exact"/>
        <w:rPr>
          <w:sz w:val="20"/>
          <w:szCs w:val="20"/>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$31.2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w:t>
      </w:r>
    </w:p>
    <w:p>
      <w:pPr>
        <w:sectPr>
          <w:pgSz w:w="11900" w:h="16963" w:orient="portrait"/>
          <w:cols w:equalWidth="0" w:num="1">
            <w:col w:w="11380"/>
          </w:cols>
          <w:pgMar w:left="240" w:top="131" w:right="279" w:bottom="0" w:gutter="0" w:footer="0" w:header="0"/>
        </w:sectPr>
      </w:pPr>
    </w:p>
    <w:bookmarkStart w:id="4" w:name="page5"/>
    <w:bookmarkEnd w:id="4"/>
    <w:p>
      <w:pPr>
        <w:spacing w:after="0" w:line="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phase of Wynn Macau's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$365 million in aggregate principal amount at maturity of second mortgage notes.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w:t>
      </w:r>
    </w:p>
    <w:p>
      <w:pPr>
        <w:spacing w:after="0" w:line="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$715.8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 Consummation of this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offering is conditioned on consummation of the offering of the second mortgage notes and on Wynn Las Vegas entering into the agreements governing the credit facilities and FF&amp;E facility. These conditions may not be waived by Wynn Resorts.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w:t>
      </w:r>
    </w:p>
    <w:p>
      <w:pPr>
        <w:sectPr>
          <w:pgSz w:w="11900" w:h="16882" w:orient="portrait"/>
          <w:cols w:equalWidth="0" w:num="1">
            <w:col w:w="11400"/>
          </w:cols>
          <w:pgMar w:left="240" w:top="131" w:right="259" w:bottom="0" w:gutter="0" w:footer="0" w:header="0"/>
        </w:sectPr>
      </w:pPr>
    </w:p>
    <w:bookmarkStart w:id="5" w:name="page6"/>
    <w:bookmarkEnd w:id="5"/>
    <w:p>
      <w:pPr>
        <w:ind w:right="80"/>
        <w:spacing w:after="0" w:line="298" w:lineRule="auto"/>
        <w:rPr>
          <w:sz w:val="20"/>
          <w:szCs w:val="20"/>
          <w:color w:val="auto"/>
        </w:rPr>
      </w:pPr>
      <w:r>
        <w:rPr>
          <w:rFonts w:ascii="Arial" w:cs="Arial" w:eastAsia="Arial" w:hAnsi="Arial"/>
          <w:sz w:val="16"/>
          <w:szCs w:val="16"/>
          <w:color w:val="auto"/>
        </w:rPr>
        <w:t>indenture governing the second mortgage notes, the credit facilities and the FF&amp;E facility. Wynn Resorts will fully and unconditionally guarantee the payment in full of the second mortgage notes and the debt facilities on an unsecured basis, but will not be subject to the related restrictive covenants in its subsidiaries' debt facilities. In the event that Wynn Resorts grants specified liens to secure other guarantees or indebtedness, it will be required to grant liens on the same assets to secure its guarantee of the credit facilities, the FF&amp;E facility and the second mortgage notes.</w:t>
      </w:r>
    </w:p>
    <w:p>
      <w:pPr>
        <w:spacing w:after="0" w:line="167"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All other entities, including the Macau-related subsidiaries, will not be guarantors and will not be subject to the covenants in the indenture governing the second mortgage notes, the credit facilities or the FF&amp;E facility.</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Resorts indirectly owns an approximately 82.5% economic interest in Wynn Macau. A more detailed corporate chart relating to the Macau-related entities appears under the heading "Business—The Macau Opportunity—Ownership Structure of the Macau-Related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5,769,231 shares of our common stock in which each of Mr. Wynn and Aruze USA has expressed on interest in purchasing in this offering.</w:t>
      </w:r>
    </w:p>
    <w:p>
      <w:pPr>
        <w:spacing w:after="0" w:line="1" w:lineRule="exact"/>
        <w:rPr>
          <w:rFonts w:ascii="Arial" w:cs="Arial" w:eastAsia="Arial" w:hAnsi="Arial"/>
          <w:sz w:val="26"/>
          <w:szCs w:val="26"/>
          <w:color w:val="auto"/>
          <w:vertAlign w:val="subscript"/>
        </w:rPr>
      </w:pPr>
    </w:p>
    <w:p>
      <w:pPr>
        <w:ind w:left="540" w:right="22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Consists of shares held by Baron Asset Fund on behalf of the Baron Asset Fund Series and the Baron Growth Fund Series. Ownership percentage includes 1,000,000 shares of our common stock in which Baron Asset Fund has expressed an interest in purchasing in this offering.</w:t>
      </w:r>
    </w:p>
    <w:p>
      <w:pPr>
        <w:ind w:left="540" w:hanging="532"/>
        <w:spacing w:after="0" w:line="187"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1.7% of Wynn Resorts' outstanding shares, and the percentage ownership interests of Mr. Wynn, Aruze USA, Baron Asset Fund, Kenneth R. Wynn Family Trust and the public stockholders would be approximately 32.6%, 32.6%, 3.9%, 0.1% and 29.1%, respectively.</w:t>
      </w:r>
    </w:p>
    <w:p>
      <w:pPr>
        <w:spacing w:after="0" w:line="2" w:lineRule="exact"/>
        <w:rPr>
          <w:rFonts w:ascii="Arial" w:cs="Arial" w:eastAsia="Arial" w:hAnsi="Arial"/>
          <w:sz w:val="24"/>
          <w:szCs w:val="24"/>
          <w:color w:val="auto"/>
          <w:vertAlign w:val="subscript"/>
        </w:rPr>
      </w:pPr>
    </w:p>
    <w:p>
      <w:pPr>
        <w:ind w:left="540" w:hanging="532"/>
        <w:spacing w:after="0" w:line="185"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Based on the number of shares proposed to be issued in this offering, excluding any shares that may be issued pursuant to the exercise of the underwriters' over-allotment option.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40" w:hanging="532"/>
        <w:spacing w:after="0" w:line="180" w:lineRule="auto"/>
        <w:tabs>
          <w:tab w:leader="none" w:pos="540" w:val="left"/>
        </w:tabs>
        <w:numPr>
          <w:ilvl w:val="0"/>
          <w:numId w:val="10"/>
        </w:numPr>
        <w:rPr>
          <w:rFonts w:ascii="Arial" w:cs="Arial" w:eastAsia="Arial" w:hAnsi="Arial"/>
          <w:sz w:val="25"/>
          <w:szCs w:val="25"/>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and the debt facilities on an unsecured basis (unless Wynn Resorts grants specified other liens, and is required to secure its guarantee), but will not be a restricted entity. Wynn Resorts' subsidiaries that will develop the Macau opportunity will not be issuers, borrowers, guarantors or restricted entities with respect to the financing of Le Rêve.</w:t>
      </w:r>
    </w:p>
    <w:p>
      <w:pPr>
        <w:ind w:left="540" w:right="160" w:hanging="532"/>
        <w:spacing w:after="0" w:line="181" w:lineRule="auto"/>
        <w:tabs>
          <w:tab w:leader="none" w:pos="540" w:val="left"/>
        </w:tabs>
        <w:numPr>
          <w:ilvl w:val="0"/>
          <w:numId w:val="10"/>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and partially owned entities. Wynn Resorts owns an approximately 82.5% economic interest in, and effectively controls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10"/>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right="40" w:hanging="532"/>
        <w:spacing w:after="0" w:line="187" w:lineRule="auto"/>
        <w:tabs>
          <w:tab w:leader="none" w:pos="540" w:val="left"/>
        </w:tabs>
        <w:numPr>
          <w:ilvl w:val="0"/>
          <w:numId w:val="10"/>
        </w:numPr>
        <w:rPr>
          <w:rFonts w:ascii="Arial" w:cs="Arial" w:eastAsia="Arial" w:hAnsi="Arial"/>
          <w:sz w:val="24"/>
          <w:szCs w:val="24"/>
          <w:color w:val="auto"/>
          <w:vertAlign w:val="subscript"/>
        </w:rPr>
      </w:pPr>
      <w:r>
        <w:rPr>
          <w:rFonts w:ascii="Arial" w:cs="Arial" w:eastAsia="Arial" w:hAnsi="Arial"/>
          <w:sz w:val="12"/>
          <w:szCs w:val="12"/>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Those covenants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2" w:lineRule="exact"/>
        <w:rPr>
          <w:rFonts w:ascii="Arial" w:cs="Arial" w:eastAsia="Arial" w:hAnsi="Arial"/>
          <w:sz w:val="24"/>
          <w:szCs w:val="24"/>
          <w:color w:val="auto"/>
          <w:vertAlign w:val="subscript"/>
        </w:rPr>
      </w:pPr>
    </w:p>
    <w:p>
      <w:pPr>
        <w:ind w:left="540" w:right="120" w:hanging="532"/>
        <w:spacing w:after="0" w:line="181" w:lineRule="auto"/>
        <w:tabs>
          <w:tab w:leader="none" w:pos="540" w:val="left"/>
        </w:tabs>
        <w:numPr>
          <w:ilvl w:val="0"/>
          <w:numId w:val="10"/>
        </w:numPr>
        <w:rPr>
          <w:rFonts w:ascii="Arial" w:cs="Arial" w:eastAsia="Arial" w:hAnsi="Arial"/>
          <w:sz w:val="18"/>
          <w:szCs w:val="18"/>
          <w:color w:val="auto"/>
          <w:vertAlign w:val="subscript"/>
        </w:rPr>
      </w:pPr>
      <w:r>
        <w:rPr>
          <w:rFonts w:ascii="Arial" w:cs="Arial" w:eastAsia="Arial" w:hAnsi="Arial"/>
          <w:sz w:val="10"/>
          <w:szCs w:val="10"/>
          <w:color w:val="auto"/>
        </w:rPr>
        <w:t>We will contribute $30 million of the net proceeds of this offering to Wynn Las Vegas to be held in a liquidity reserve account to support Wynn Las Vegas' obligation to complete the Le Rêve project. Such funds will be applied to the costs of the project in accordance with the disbursement agreement. See "Use of Proceeds."</w:t>
      </w:r>
    </w:p>
    <w:p>
      <w:pPr>
        <w:ind w:left="540" w:right="100" w:hanging="532"/>
        <w:spacing w:after="0" w:line="183" w:lineRule="auto"/>
        <w:tabs>
          <w:tab w:leader="none" w:pos="540" w:val="left"/>
        </w:tabs>
        <w:numPr>
          <w:ilvl w:val="0"/>
          <w:numId w:val="10"/>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ectPr>
          <w:pgSz w:w="11900" w:h="16838" w:orient="portrait"/>
          <w:cols w:equalWidth="0" w:num="1">
            <w:col w:w="11400"/>
          </w:cols>
          <w:pgMar w:left="240" w:top="131" w:right="259" w:bottom="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60" w:type="dxa"/>
            <w:vAlign w:val="bottom"/>
          </w:tcPr>
          <w:p>
            <w:pPr>
              <w:ind w:left="18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34,615,000 shares</w:t>
            </w:r>
          </w:p>
        </w:tc>
        <w:tc>
          <w:tcPr>
            <w:tcW w:w="0" w:type="dxa"/>
            <w:vAlign w:val="bottom"/>
          </w:tcPr>
          <w:p>
            <w:pPr>
              <w:spacing w:after="0"/>
              <w:rPr>
                <w:sz w:val="1"/>
                <w:szCs w:val="1"/>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74,615,000 shares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$387.0 million of net proceeds from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$387.0 million we will contribute to Wynn Las Vegas: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Wynn Resorts' common stock has been approved for quotation on The Nasdaq</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National Market under the symbol "WYNN."</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500" w:hanging="532"/>
        <w:spacing w:after="0" w:line="268"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possible issuance of up to 3,161,481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w:t>
      </w:r>
    </w:p>
    <w:p>
      <w:pPr>
        <w:sectPr>
          <w:pgSz w:w="11900" w:h="16838" w:orient="portrait"/>
          <w:cols w:equalWidth="0" w:num="1">
            <w:col w:w="11300"/>
          </w:cols>
          <w:pgMar w:left="240" w:top="274" w:right="359" w:bottom="0" w:gutter="0" w:footer="0" w:header="0"/>
        </w:sectPr>
      </w:pPr>
    </w:p>
    <w:bookmarkStart w:id="7" w:name="page8"/>
    <w:bookmarkEnd w:id="7"/>
    <w:p>
      <w:pPr>
        <w:ind w:right="180"/>
        <w:spacing w:after="0" w:line="268" w:lineRule="auto"/>
        <w:rPr>
          <w:sz w:val="20"/>
          <w:szCs w:val="20"/>
          <w:color w:val="auto"/>
        </w:rPr>
      </w:pPr>
      <w:r>
        <w:rPr>
          <w:rFonts w:ascii="Arial" w:cs="Arial" w:eastAsia="Arial" w:hAnsi="Arial"/>
          <w:sz w:val="18"/>
          <w:szCs w:val="18"/>
          <w:color w:val="auto"/>
        </w:rPr>
        <w:t>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86"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closing, Wynn Resorts will contribute $387.0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 under the credit facilities or the FF&amp;E facility until it has applied all of the proceeds of the second mortgage notes offering, which is expected to be approximately 14 to 17 months after the closing of this offering.</w:t>
      </w:r>
    </w:p>
    <w:p>
      <w:pPr>
        <w:spacing w:after="0" w:line="17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right="2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40" w:hanging="532"/>
        <w:spacing w:after="0" w:line="370" w:lineRule="auto"/>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8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ectPr>
          <w:pgSz w:w="11900" w:h="16838" w:orient="portrait"/>
          <w:cols w:equalWidth="0" w:num="1">
            <w:col w:w="11420"/>
          </w:cols>
          <w:pgMar w:left="240" w:top="131" w:right="239" w:bottom="0" w:gutter="0" w:footer="0" w:header="0"/>
        </w:sectPr>
      </w:pPr>
    </w:p>
    <w:bookmarkStart w:id="8" w:name="page9"/>
    <w:bookmarkEnd w:id="8"/>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ectPr>
          <w:pgSz w:w="11900" w:h="16838" w:orient="portrait"/>
          <w:cols w:equalWidth="0" w:num="1">
            <w:col w:w="11420"/>
          </w:cols>
          <w:pgMar w:left="240" w:top="131" w:right="239" w:bottom="36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6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307" w:lineRule="auto"/>
        <w:rPr>
          <w:sz w:val="20"/>
          <w:szCs w:val="20"/>
          <w:color w:val="auto"/>
        </w:rPr>
      </w:pPr>
      <w:r>
        <w:rPr>
          <w:rFonts w:ascii="Arial" w:cs="Arial" w:eastAsia="Arial" w:hAnsi="Arial"/>
          <w:sz w:val="15"/>
          <w:szCs w:val="15"/>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right="40" w:hanging="532"/>
        <w:spacing w:after="0" w:line="302"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These rights and remedies include the rights to:</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repossess and foreclose upon the assets that serve as collateral,</w:t>
      </w:r>
    </w:p>
    <w:p>
      <w:pPr>
        <w:sectPr>
          <w:pgSz w:w="11900" w:h="16838" w:orient="portrait"/>
          <w:cols w:equalWidth="0" w:num="1">
            <w:col w:w="11420"/>
          </w:cols>
          <w:pgMar w:left="240" w:top="131" w:right="239" w:bottom="0" w:gutter="0" w:footer="0" w:header="0"/>
          <w:type w:val="continuous"/>
        </w:sectPr>
      </w:pPr>
    </w:p>
    <w:bookmarkStart w:id="10" w:name="page11"/>
    <w:bookmarkEnd w:id="10"/>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1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reduce the available cash flow to fund working capital, capital expenditures and other general corporate purposes and distributions up to Wynn Resorts;</w:t>
      </w:r>
    </w:p>
    <w:p>
      <w:pPr>
        <w:spacing w:after="0" w:line="213" w:lineRule="exact"/>
        <w:rPr>
          <w:sz w:val="20"/>
          <w:szCs w:val="20"/>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Wynn Resorts will be a guarantor of the indebtedness under the credit facilities, the FF&amp;E facility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limited management fees to Wynn Resorts if Wynn Las Vegas achieves certain financial ratios and there is not a default under the credit facilities or the indenture governing the second mortgage notes, we do not expect to have any significant cash flow at Wynn Resorts from Wynn Las Vegas for a considerable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370" w:lineRule="auto"/>
        <w:rPr>
          <w:sz w:val="20"/>
          <w:szCs w:val="20"/>
          <w:color w:val="auto"/>
        </w:rPr>
      </w:pPr>
      <w:r>
        <w:rPr>
          <w:rFonts w:ascii="Arial" w:cs="Arial" w:eastAsia="Arial" w:hAnsi="Arial"/>
          <w:sz w:val="15"/>
          <w:szCs w:val="15"/>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w:t>
      </w:r>
    </w:p>
    <w:p>
      <w:pPr>
        <w:sectPr>
          <w:pgSz w:w="11900" w:h="16838" w:orient="portrait"/>
          <w:cols w:equalWidth="0" w:num="1">
            <w:col w:w="11400"/>
          </w:cols>
          <w:pgMar w:left="240" w:top="145" w:right="259" w:bottom="0" w:gutter="0" w:footer="0" w:header="0"/>
        </w:sectPr>
      </w:pPr>
    </w:p>
    <w:bookmarkStart w:id="11" w:name="page12"/>
    <w:bookmarkEnd w:id="11"/>
    <w:p>
      <w:pPr>
        <w:spacing w:after="0" w:line="1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scheduled opening date or at all, or that it will be able to generate sufficient cash flow to meet its expenses, including its debt service requirements. Wynn Las Vegas' ability to generate cash flow will depend upon many factors, including:</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500" w:firstLine="348"/>
        <w:spacing w:after="0" w:line="370" w:lineRule="auto"/>
        <w:rPr>
          <w:sz w:val="20"/>
          <w:szCs w:val="20"/>
          <w:color w:val="auto"/>
        </w:rPr>
      </w:pPr>
      <w:r>
        <w:rPr>
          <w:rFonts w:ascii="Arial" w:cs="Arial" w:eastAsia="Arial" w:hAnsi="Arial"/>
          <w:sz w:val="15"/>
          <w:szCs w:val="15"/>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w:t>
      </w:r>
    </w:p>
    <w:p>
      <w:pPr>
        <w:sectPr>
          <w:pgSz w:w="11900" w:h="16962" w:orient="portrait"/>
          <w:cols w:equalWidth="0" w:num="1">
            <w:col w:w="11400"/>
          </w:cols>
          <w:pgMar w:left="240" w:top="131" w:right="259" w:bottom="0" w:gutter="0" w:footer="0" w:header="0"/>
        </w:sectPr>
      </w:pPr>
    </w:p>
    <w:bookmarkStart w:id="12" w:name="page13"/>
    <w:bookmarkEnd w:id="12"/>
    <w:p>
      <w:pPr>
        <w:ind w:right="40"/>
        <w:spacing w:after="0" w:line="254" w:lineRule="auto"/>
        <w:rPr>
          <w:sz w:val="20"/>
          <w:szCs w:val="20"/>
          <w:color w:val="auto"/>
        </w:rPr>
      </w:pPr>
      <w:r>
        <w:rPr>
          <w:rFonts w:ascii="Arial" w:cs="Arial" w:eastAsia="Arial" w:hAnsi="Arial"/>
          <w:sz w:val="18"/>
          <w:szCs w:val="18"/>
          <w:color w:val="auto"/>
        </w:rPr>
        <w:t>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w:t>
      </w:r>
    </w:p>
    <w:p>
      <w:pPr>
        <w:sectPr>
          <w:pgSz w:w="11900" w:h="16838" w:orient="portrait"/>
          <w:cols w:equalWidth="0" w:num="1">
            <w:col w:w="11420"/>
          </w:cols>
          <w:pgMar w:left="240" w:top="131" w:right="239" w:bottom="0" w:gutter="0" w:footer="0" w:header="0"/>
        </w:sectPr>
      </w:pPr>
    </w:p>
    <w:bookmarkStart w:id="13" w:name="page14"/>
    <w:bookmarkEnd w:id="13"/>
    <w:p>
      <w:pPr>
        <w:ind w:right="200"/>
        <w:spacing w:after="0" w:line="268" w:lineRule="auto"/>
        <w:rPr>
          <w:sz w:val="20"/>
          <w:szCs w:val="20"/>
          <w:color w:val="auto"/>
        </w:rPr>
      </w:pPr>
      <w:r>
        <w:rPr>
          <w:rFonts w:ascii="Arial" w:cs="Arial" w:eastAsia="Arial" w:hAnsi="Arial"/>
          <w:sz w:val="18"/>
          <w:szCs w:val="18"/>
          <w:color w:val="auto"/>
        </w:rPr>
        <w:t>popular. A decline or leveling off of the growth or popularity of hotel casino resorts or the appeal of the features offered by Le Rêve would impair our financial condition and future results of operations.</w:t>
      </w:r>
    </w:p>
    <w:p>
      <w:pPr>
        <w:spacing w:after="0" w:line="186" w:lineRule="exact"/>
        <w:rPr>
          <w:sz w:val="20"/>
          <w:szCs w:val="20"/>
          <w:color w:val="auto"/>
        </w:rPr>
      </w:pPr>
    </w:p>
    <w:p>
      <w:pPr>
        <w:jc w:val="both"/>
        <w:ind w:right="16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ectPr>
          <w:pgSz w:w="11900" w:h="16838" w:orient="portrait"/>
          <w:cols w:equalWidth="0" w:num="1">
            <w:col w:w="11400"/>
          </w:cols>
          <w:pgMar w:left="240" w:top="131" w:right="259" w:bottom="120" w:gutter="0" w:footer="0" w:header="0"/>
        </w:sectPr>
      </w:pPr>
    </w:p>
    <w:bookmarkStart w:id="14" w:name="page15"/>
    <w:bookmarkEnd w:id="14"/>
    <w:p>
      <w:pPr>
        <w:spacing w:after="0" w:line="88"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this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w:t>
      </w:r>
    </w:p>
    <w:p>
      <w:pPr>
        <w:sectPr>
          <w:pgSz w:w="11900" w:h="16926" w:orient="portrait"/>
          <w:cols w:equalWidth="0" w:num="1">
            <w:col w:w="11420"/>
          </w:cols>
          <w:pgMar w:left="240" w:top="131" w:right="239" w:bottom="0" w:gutter="0" w:footer="0" w:header="0"/>
        </w:sectPr>
      </w:pPr>
    </w:p>
    <w:bookmarkStart w:id="15" w:name="page16"/>
    <w:bookmarkEnd w:id="15"/>
    <w:p>
      <w:pPr>
        <w:spacing w:after="0" w:line="6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ectPr>
          <w:pgSz w:w="11900" w:h="16898" w:orient="portrait"/>
          <w:cols w:equalWidth="0" w:num="1">
            <w:col w:w="11400"/>
          </w:cols>
          <w:pgMar w:left="240" w:top="131" w:right="259" w:bottom="0" w:gutter="0" w:footer="0" w:header="0"/>
        </w:sectPr>
      </w:pPr>
    </w:p>
    <w:bookmarkStart w:id="16" w:name="page17"/>
    <w:bookmarkEnd w:id="16"/>
    <w:p>
      <w:pPr>
        <w:ind w:right="24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 w:right="239" w:bottom="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Risks Associated with the Macau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ectPr>
          <w:pgSz w:w="11900" w:h="16838" w:orient="portrait"/>
          <w:cols w:equalWidth="0" w:num="1">
            <w:col w:w="11420"/>
          </w:cols>
          <w:pgMar w:left="240" w:top="719" w:right="239" w:bottom="0" w:gutter="0" w:footer="0" w:header="0"/>
        </w:sectPr>
      </w:pPr>
    </w:p>
    <w:bookmarkStart w:id="18" w:name="page19"/>
    <w:bookmarkEnd w:id="18"/>
    <w:p>
      <w:pPr>
        <w:spacing w:after="0" w:line="137" w:lineRule="exact"/>
        <w:rPr>
          <w:sz w:val="20"/>
          <w:szCs w:val="20"/>
          <w:color w:val="auto"/>
        </w:rPr>
      </w:pPr>
    </w:p>
    <w:p>
      <w:pPr>
        <w:jc w:val="both"/>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8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61"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-1447165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w:t>
      </w:r>
    </w:p>
    <w:p>
      <w:pPr>
        <w:sectPr>
          <w:pgSz w:w="11900" w:h="16975" w:orient="portrait"/>
          <w:cols w:equalWidth="0" w:num="1">
            <w:col w:w="11420"/>
          </w:cols>
          <w:pgMar w:left="240" w:top="145" w:right="239" w:bottom="0" w:gutter="0" w:footer="0" w:header="0"/>
        </w:sectPr>
      </w:pPr>
    </w:p>
    <w:bookmarkStart w:id="19" w:name="page20"/>
    <w:bookmarkEnd w:id="19"/>
    <w:p>
      <w:pPr>
        <w:spacing w:after="0" w:line="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ectPr>
          <w:pgSz w:w="11900" w:h="16881" w:orient="portrait"/>
          <w:cols w:equalWidth="0" w:num="1">
            <w:col w:w="11400"/>
          </w:cols>
          <w:pgMar w:left="240" w:top="131" w:right="25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or Wynn Macau's casino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33.2%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33.2%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expect the initial public offering price to be substantially higher than the net tangible book value per share of the outstanding common stock. If you purchase shares of our common stock, you will incur immediate and substantial dilution in the amount of $0.07 in pro forma net tangible book value per share, based on an assumed initial public offering price of $13.00 per share.</w:t>
      </w:r>
    </w:p>
    <w:p>
      <w:pPr>
        <w:sectPr>
          <w:pgSz w:w="11900" w:h="16838" w:orient="portrait"/>
          <w:cols w:equalWidth="0" w:num="1">
            <w:col w:w="11400"/>
          </w:cols>
          <w:pgMar w:left="240" w:top="341" w:right="259" w:bottom="238"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238" w:gutter="0" w:footer="0" w:header="0"/>
          <w:type w:val="continuous"/>
        </w:sectPr>
      </w:pPr>
    </w:p>
    <w:bookmarkStart w:id="21" w:name="page22"/>
    <w:bookmarkEnd w:id="21"/>
    <w:p>
      <w:pPr>
        <w:ind w:right="120" w:firstLine="351"/>
        <w:spacing w:after="0" w:line="254" w:lineRule="auto"/>
        <w:rPr>
          <w:sz w:val="20"/>
          <w:szCs w:val="20"/>
          <w:color w:val="auto"/>
        </w:rPr>
      </w:pPr>
      <w:r>
        <w:rPr>
          <w:rFonts w:ascii="Arial" w:cs="Arial" w:eastAsia="Arial" w:hAnsi="Arial"/>
          <w:sz w:val="18"/>
          <w:szCs w:val="18"/>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 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ectPr>
          <w:pgSz w:w="11900" w:h="16838" w:orient="portrait"/>
          <w:cols w:equalWidth="0" w:num="1">
            <w:col w:w="11400"/>
          </w:cols>
          <w:pgMar w:left="240" w:top="131" w:right="259" w:bottom="0" w:gutter="0" w:footer="0" w:header="0"/>
          <w:type w:val="continuous"/>
        </w:sectPr>
      </w:pPr>
    </w:p>
    <w:bookmarkStart w:id="22" w:name="page23"/>
    <w:bookmarkEnd w:id="22"/>
    <w:p>
      <w:pPr>
        <w:spacing w:after="0" w:line="1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We expect to receive approximately $427.0 million in net proceeds from the sale of shares of our common stock in this offering based on the sale of 34,615,000 shares at an assumed initial public offering price of $13.00 per share after deducting underwriting discounts and commissions and estimated offering</w:t>
      </w:r>
    </w:p>
    <w:p>
      <w:pPr>
        <w:sectPr>
          <w:pgSz w:w="11900" w:h="16854" w:orient="portrait"/>
          <w:cols w:equalWidth="0" w:num="1">
            <w:col w:w="11380"/>
          </w:cols>
          <w:pgMar w:left="240" w:top="131" w:right="279" w:bottom="0" w:gutter="0" w:footer="0" w:header="0"/>
        </w:sectPr>
      </w:pPr>
    </w:p>
    <w:bookmarkStart w:id="23" w:name="page24"/>
    <w:bookmarkEnd w:id="23"/>
    <w:p>
      <w:pPr>
        <w:jc w:val="both"/>
        <w:ind w:right="40"/>
        <w:spacing w:after="0" w:line="259" w:lineRule="auto"/>
        <w:rPr>
          <w:sz w:val="20"/>
          <w:szCs w:val="20"/>
          <w:color w:val="auto"/>
        </w:rPr>
      </w:pPr>
      <w:r>
        <w:rPr>
          <w:rFonts w:ascii="Arial" w:cs="Arial" w:eastAsia="Arial" w:hAnsi="Arial"/>
          <w:sz w:val="18"/>
          <w:szCs w:val="18"/>
          <w:color w:val="auto"/>
        </w:rPr>
        <w:t>expenses. Of these net proceeds, approximately $251 million would be received from the sale of shares sold by the underwriters and $176 million in net proceeds would be received from the sale of shares made directly by us to certain purchasers, including Mr. Wynn and Aruze USA. If the underwriters exercise their over-allotment option in full, we expect our net proceeds to be approximately $465.2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$326.0 million in net proceeds from the second mortgage note offering, after deducting underwriting discounts and commissions and estimated offering expenses; and</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contribute to Wynn Las Vegas approximately $387.0 million of the net proceeds from this offering and all of the existing cash on hand held by Valvino.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Substantial Indebtedness," "Management's Discussion and Analysis of Financial Condition and Results of Operations" and our financial statements and the accompanying notes.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$387.0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$387.0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$307.0 million of the $387.0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closed on October 1, 2002. For purposes of calculating total construction costs, the revolving credit facility balance and interest and commitment fees, this</w:t>
      </w:r>
    </w:p>
    <w:p>
      <w:pPr>
        <w:sectPr>
          <w:pgSz w:w="11900" w:h="16838" w:orient="portrait"/>
          <w:cols w:equalWidth="0" w:num="1">
            <w:col w:w="11400"/>
          </w:cols>
          <w:pgMar w:left="240" w:top="131" w:right="259" w:bottom="0" w:gutter="0" w:footer="0" w:header="0"/>
        </w:sectPr>
      </w:pPr>
    </w:p>
    <w:bookmarkStart w:id="24" w:name="page25"/>
    <w:bookmarkEnd w:id="24"/>
    <w:p>
      <w:pPr>
        <w:spacing w:after="0" w:line="209" w:lineRule="auto"/>
        <w:framePr w:w="240" w:h="120" w:wrap="auto" w:vAnchor="page" w:hAnchor="page" w:x="200" w:y="10446"/>
        <w:rPr>
          <w:rFonts w:ascii="Arial" w:cs="Arial" w:eastAsia="Arial" w:hAnsi="Arial"/>
          <w:sz w:val="9"/>
          <w:szCs w:val="9"/>
          <w:color w:val="auto"/>
        </w:rPr>
      </w:pPr>
      <w:r>
        <w:rPr>
          <w:rFonts w:ascii="Arial" w:cs="Arial" w:eastAsia="Arial" w:hAnsi="Arial"/>
          <w:sz w:val="13"/>
          <w:szCs w:val="13"/>
          <w:color w:val="auto"/>
          <w:vertAlign w:val="subscript"/>
        </w:rPr>
        <w:t>(1)</w:t>
      </w:r>
    </w:p>
    <w:p>
      <w:pPr>
        <w:spacing w:after="0" w:line="209" w:lineRule="auto"/>
        <w:framePr w:w="9180" w:h="120" w:wrap="auto" w:vAnchor="page" w:hAnchor="page" w:x="740" w:y="10392"/>
        <w:rPr>
          <w:rFonts w:ascii="Arial" w:cs="Arial" w:eastAsia="Arial" w:hAnsi="Arial"/>
          <w:sz w:val="12"/>
          <w:szCs w:val="12"/>
          <w:color w:val="auto"/>
        </w:rPr>
      </w:pPr>
      <w:r>
        <w:rPr>
          <w:rFonts w:ascii="Arial" w:cs="Arial" w:eastAsia="Arial" w:hAnsi="Arial"/>
          <w:sz w:val="12"/>
          <w:szCs w:val="12"/>
          <w:color w:val="auto"/>
        </w:rPr>
        <w:t>Includes (a) Valvino member net contributions of approximately $586.1 million and (b) the anticipated gross proceeds from this offering of approximately $450 million.</w:t>
      </w:r>
    </w:p>
    <w:p>
      <w:pPr>
        <w:jc w:val="both"/>
        <w:spacing w:after="0" w:line="242" w:lineRule="auto"/>
        <w:framePr w:w="240" w:h="108" w:wrap="auto" w:vAnchor="page" w:hAnchor="page" w:x="200" w:y="10689"/>
        <w:rPr>
          <w:rFonts w:ascii="Arial" w:cs="Arial" w:eastAsia="Arial" w:hAnsi="Arial"/>
          <w:sz w:val="14"/>
          <w:szCs w:val="14"/>
          <w:color w:val="auto"/>
        </w:rPr>
      </w:pPr>
      <w:r>
        <w:rPr>
          <w:rFonts w:ascii="Arial" w:cs="Arial" w:eastAsia="Arial" w:hAnsi="Arial"/>
          <w:sz w:val="27"/>
          <w:szCs w:val="27"/>
          <w:color w:val="auto"/>
          <w:vertAlign w:val="subscript"/>
        </w:rPr>
        <w:t>(2)</w:t>
      </w:r>
    </w:p>
    <w:p>
      <w:pPr>
        <w:jc w:val="both"/>
        <w:spacing w:after="0" w:line="242" w:lineRule="auto"/>
        <w:framePr w:w="10880" w:h="417" w:wrap="auto" w:vAnchor="page" w:hAnchor="page" w:x="740" w:y="10648"/>
        <w:rPr>
          <w:rFonts w:ascii="Arial" w:cs="Arial" w:eastAsia="Arial" w:hAnsi="Arial"/>
          <w:sz w:val="12"/>
          <w:szCs w:val="12"/>
          <w:color w:val="auto"/>
        </w:rPr>
      </w:pPr>
      <w:r>
        <w:rPr>
          <w:rFonts w:ascii="Arial" w:cs="Arial" w:eastAsia="Arial" w:hAnsi="Arial"/>
          <w:sz w:val="12"/>
          <w:szCs w:val="12"/>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233" w:lineRule="auto"/>
        <w:framePr w:w="240" w:h="95" w:wrap="auto" w:vAnchor="page" w:hAnchor="page" w:x="200" w:y="11243"/>
        <w:rPr>
          <w:rFonts w:ascii="Arial" w:cs="Arial" w:eastAsia="Arial" w:hAnsi="Arial"/>
          <w:sz w:val="14"/>
          <w:szCs w:val="14"/>
          <w:color w:val="auto"/>
        </w:rPr>
      </w:pPr>
      <w:r>
        <w:rPr>
          <w:rFonts w:ascii="Arial" w:cs="Arial" w:eastAsia="Arial" w:hAnsi="Arial"/>
          <w:sz w:val="27"/>
          <w:szCs w:val="27"/>
          <w:color w:val="auto"/>
          <w:vertAlign w:val="subscript"/>
        </w:rPr>
        <w:t>(3)</w:t>
      </w:r>
    </w:p>
    <w:p>
      <w:pPr>
        <w:spacing w:after="0" w:line="233" w:lineRule="auto"/>
        <w:framePr w:w="10780" w:h="269" w:wrap="auto" w:vAnchor="page" w:hAnchor="page" w:x="740" w:y="11188"/>
        <w:rPr>
          <w:rFonts w:ascii="Arial" w:cs="Arial" w:eastAsia="Arial" w:hAnsi="Arial"/>
          <w:sz w:val="12"/>
          <w:szCs w:val="12"/>
          <w:color w:val="auto"/>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200" w:lineRule="auto"/>
        <w:framePr w:w="240" w:h="95" w:wrap="auto" w:vAnchor="page" w:hAnchor="page" w:x="200" w:y="11634"/>
        <w:rPr>
          <w:rFonts w:ascii="Arial" w:cs="Arial" w:eastAsia="Arial" w:hAnsi="Arial"/>
          <w:sz w:val="14"/>
          <w:szCs w:val="14"/>
          <w:color w:val="auto"/>
        </w:rPr>
      </w:pPr>
      <w:r>
        <w:rPr>
          <w:rFonts w:ascii="Arial" w:cs="Arial" w:eastAsia="Arial" w:hAnsi="Arial"/>
          <w:sz w:val="27"/>
          <w:szCs w:val="27"/>
          <w:color w:val="auto"/>
          <w:vertAlign w:val="subscript"/>
        </w:rPr>
        <w:t>(4)</w:t>
      </w:r>
    </w:p>
    <w:p>
      <w:pPr>
        <w:spacing w:after="0" w:line="200" w:lineRule="auto"/>
        <w:framePr w:w="10940" w:h="269" w:wrap="auto" w:vAnchor="page" w:hAnchor="page" w:x="740" w:y="11580"/>
        <w:rPr>
          <w:rFonts w:ascii="Arial" w:cs="Arial" w:eastAsia="Arial" w:hAnsi="Arial"/>
          <w:sz w:val="14"/>
          <w:szCs w:val="14"/>
          <w:color w:val="auto"/>
        </w:rPr>
      </w:pPr>
      <w:r>
        <w:rPr>
          <w:rFonts w:ascii="Arial" w:cs="Arial" w:eastAsia="Arial" w:hAnsi="Arial"/>
          <w:sz w:val="14"/>
          <w:szCs w:val="14"/>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spacing w:after="0" w:line="209" w:lineRule="auto"/>
        <w:framePr w:w="240" w:h="120" w:wrap="auto" w:vAnchor="page" w:hAnchor="page" w:x="200" w:y="12026"/>
        <w:rPr>
          <w:rFonts w:ascii="Arial" w:cs="Arial" w:eastAsia="Arial" w:hAnsi="Arial"/>
          <w:sz w:val="9"/>
          <w:szCs w:val="9"/>
          <w:color w:val="auto"/>
        </w:rPr>
      </w:pPr>
      <w:r>
        <w:rPr>
          <w:rFonts w:ascii="Arial" w:cs="Arial" w:eastAsia="Arial" w:hAnsi="Arial"/>
          <w:sz w:val="13"/>
          <w:szCs w:val="13"/>
          <w:color w:val="auto"/>
          <w:vertAlign w:val="subscript"/>
        </w:rPr>
        <w:t>(5)</w:t>
      </w:r>
    </w:p>
    <w:p>
      <w:pPr>
        <w:spacing w:after="0" w:line="209" w:lineRule="auto"/>
        <w:framePr w:w="7640" w:h="120" w:wrap="auto" w:vAnchor="page" w:hAnchor="page" w:x="740" w:y="11985"/>
        <w:rPr>
          <w:rFonts w:ascii="Arial" w:cs="Arial" w:eastAsia="Arial" w:hAnsi="Arial"/>
          <w:sz w:val="12"/>
          <w:szCs w:val="12"/>
          <w:color w:val="auto"/>
        </w:rPr>
      </w:pPr>
      <w:r>
        <w:rPr>
          <w:rFonts w:ascii="Arial" w:cs="Arial" w:eastAsia="Arial" w:hAnsi="Arial"/>
          <w:sz w:val="12"/>
          <w:szCs w:val="12"/>
          <w:color w:val="auto"/>
        </w:rPr>
        <w:t>Represents amounts previously expended to acquire land for the Le Rêve project, including the golf course land, buildings and water rights.</w:t>
      </w:r>
    </w:p>
    <w:p>
      <w:pPr>
        <w:spacing w:after="0" w:line="204" w:lineRule="auto"/>
        <w:framePr w:w="260" w:h="156" w:wrap="auto" w:vAnchor="page" w:hAnchor="page" w:x="5820" w:y="12354"/>
        <w:rPr>
          <w:rFonts w:ascii="Arial" w:cs="Arial" w:eastAsia="Arial" w:hAnsi="Arial"/>
          <w:sz w:val="16"/>
          <w:szCs w:val="16"/>
          <w:color w:val="auto"/>
        </w:rPr>
      </w:pPr>
      <w:r>
        <w:rPr>
          <w:rFonts w:ascii="Arial" w:cs="Arial" w:eastAsia="Arial" w:hAnsi="Arial"/>
          <w:sz w:val="16"/>
          <w:szCs w:val="16"/>
          <w:color w:val="auto"/>
        </w:rPr>
        <w:t>41</w:t>
      </w:r>
    </w:p>
    <w:p>
      <w:pPr>
        <w:spacing w:after="0" w:line="209" w:lineRule="auto"/>
        <w:framePr w:w="240" w:h="120" w:wrap="auto" w:vAnchor="page" w:hAnchor="page" w:x="200" w:y="13025"/>
        <w:rPr>
          <w:rFonts w:ascii="Arial" w:cs="Arial" w:eastAsia="Arial" w:hAnsi="Arial"/>
          <w:sz w:val="9"/>
          <w:szCs w:val="9"/>
          <w:color w:val="auto"/>
        </w:rPr>
      </w:pPr>
      <w:r>
        <w:rPr>
          <w:rFonts w:ascii="Arial" w:cs="Arial" w:eastAsia="Arial" w:hAnsi="Arial"/>
          <w:sz w:val="13"/>
          <w:szCs w:val="13"/>
          <w:color w:val="auto"/>
          <w:vertAlign w:val="subscript"/>
        </w:rPr>
        <w:t>(6)</w:t>
      </w:r>
    </w:p>
    <w:p>
      <w:pPr>
        <w:spacing w:after="0" w:line="209" w:lineRule="auto"/>
        <w:framePr w:w="7800" w:h="120" w:wrap="auto" w:vAnchor="page" w:hAnchor="page" w:x="740" w:y="12971"/>
        <w:rPr>
          <w:rFonts w:ascii="Arial" w:cs="Arial" w:eastAsia="Arial" w:hAnsi="Arial"/>
          <w:sz w:val="12"/>
          <w:szCs w:val="12"/>
          <w:color w:val="auto"/>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242" w:lineRule="auto"/>
        <w:framePr w:w="240" w:h="95" w:wrap="auto" w:vAnchor="page" w:hAnchor="page" w:x="200" w:y="13268"/>
        <w:rPr>
          <w:rFonts w:ascii="Arial" w:cs="Arial" w:eastAsia="Arial" w:hAnsi="Arial"/>
          <w:sz w:val="14"/>
          <w:szCs w:val="14"/>
          <w:color w:val="auto"/>
        </w:rPr>
      </w:pPr>
      <w:r>
        <w:rPr>
          <w:rFonts w:ascii="Arial" w:cs="Arial" w:eastAsia="Arial" w:hAnsi="Arial"/>
          <w:sz w:val="27"/>
          <w:szCs w:val="27"/>
          <w:color w:val="auto"/>
          <w:vertAlign w:val="subscript"/>
        </w:rPr>
        <w:t>(7)</w:t>
      </w:r>
    </w:p>
    <w:p>
      <w:pPr>
        <w:spacing w:after="0" w:line="242" w:lineRule="auto"/>
        <w:framePr w:w="10600" w:h="417" w:wrap="auto" w:vAnchor="page" w:hAnchor="page" w:x="740" w:y="13214"/>
        <w:rPr>
          <w:rFonts w:ascii="Arial" w:cs="Arial" w:eastAsia="Arial" w:hAnsi="Arial"/>
          <w:sz w:val="12"/>
          <w:szCs w:val="12"/>
          <w:color w:val="auto"/>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242" w:lineRule="auto"/>
        <w:framePr w:w="240" w:h="108" w:wrap="auto" w:vAnchor="page" w:hAnchor="page" w:x="200" w:y="13809"/>
        <w:rPr>
          <w:rFonts w:ascii="Arial" w:cs="Arial" w:eastAsia="Arial" w:hAnsi="Arial"/>
          <w:sz w:val="14"/>
          <w:szCs w:val="14"/>
          <w:color w:val="auto"/>
        </w:rPr>
      </w:pPr>
      <w:r>
        <w:rPr>
          <w:rFonts w:ascii="Arial" w:cs="Arial" w:eastAsia="Arial" w:hAnsi="Arial"/>
          <w:sz w:val="27"/>
          <w:szCs w:val="27"/>
          <w:color w:val="auto"/>
          <w:vertAlign w:val="subscript"/>
        </w:rPr>
        <w:t>(8)</w:t>
      </w:r>
    </w:p>
    <w:p>
      <w:pPr>
        <w:spacing w:after="0" w:line="242" w:lineRule="auto"/>
        <w:framePr w:w="10940" w:h="417" w:wrap="auto" w:vAnchor="page" w:hAnchor="page" w:x="740" w:y="13768"/>
        <w:rPr>
          <w:rFonts w:ascii="Arial" w:cs="Arial" w:eastAsia="Arial" w:hAnsi="Arial"/>
          <w:sz w:val="12"/>
          <w:szCs w:val="12"/>
          <w:color w:val="auto"/>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5.50% margin for the delay draw term loan facility.</w:t>
      </w:r>
    </w:p>
    <w:p>
      <w:pPr>
        <w:spacing w:after="0" w:line="200" w:lineRule="auto"/>
        <w:framePr w:w="240" w:h="95" w:wrap="auto" w:vAnchor="page" w:hAnchor="page" w:x="200" w:y="14362"/>
        <w:rPr>
          <w:rFonts w:ascii="Arial" w:cs="Arial" w:eastAsia="Arial" w:hAnsi="Arial"/>
          <w:sz w:val="14"/>
          <w:szCs w:val="14"/>
          <w:color w:val="auto"/>
        </w:rPr>
      </w:pPr>
      <w:r>
        <w:rPr>
          <w:rFonts w:ascii="Arial" w:cs="Arial" w:eastAsia="Arial" w:hAnsi="Arial"/>
          <w:sz w:val="27"/>
          <w:szCs w:val="27"/>
          <w:color w:val="auto"/>
          <w:vertAlign w:val="subscript"/>
        </w:rPr>
        <w:t>(9)</w:t>
      </w:r>
    </w:p>
    <w:p>
      <w:pPr>
        <w:spacing w:after="0" w:line="200" w:lineRule="auto"/>
        <w:framePr w:w="10940" w:h="269" w:wrap="auto" w:vAnchor="page" w:hAnchor="page" w:x="740" w:y="14308"/>
        <w:rPr>
          <w:rFonts w:ascii="Arial" w:cs="Arial" w:eastAsia="Arial" w:hAnsi="Arial"/>
          <w:sz w:val="14"/>
          <w:szCs w:val="14"/>
          <w:color w:val="auto"/>
        </w:rPr>
      </w:pPr>
      <w:r>
        <w:rPr>
          <w:rFonts w:ascii="Arial" w:cs="Arial" w:eastAsia="Arial" w:hAnsi="Arial"/>
          <w:sz w:val="14"/>
          <w:szCs w:val="14"/>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spacing w:after="0" w:line="209" w:lineRule="auto"/>
        <w:framePr w:w="320" w:h="120" w:wrap="auto" w:vAnchor="page" w:hAnchor="page" w:x="200" w:y="14754"/>
        <w:rPr>
          <w:rFonts w:ascii="Arial" w:cs="Arial" w:eastAsia="Arial" w:hAnsi="Arial"/>
          <w:sz w:val="9"/>
          <w:szCs w:val="9"/>
          <w:color w:val="auto"/>
        </w:rPr>
      </w:pPr>
      <w:r>
        <w:rPr>
          <w:rFonts w:ascii="Arial" w:cs="Arial" w:eastAsia="Arial" w:hAnsi="Arial"/>
          <w:sz w:val="13"/>
          <w:szCs w:val="13"/>
          <w:color w:val="auto"/>
          <w:vertAlign w:val="subscript"/>
        </w:rPr>
        <w:t>(10)</w:t>
      </w:r>
    </w:p>
    <w:p>
      <w:pPr>
        <w:spacing w:after="0" w:line="209" w:lineRule="auto"/>
        <w:framePr w:w="7760" w:h="120" w:wrap="auto" w:vAnchor="page" w:hAnchor="page" w:x="740" w:y="14700"/>
        <w:rPr>
          <w:rFonts w:ascii="Arial" w:cs="Arial" w:eastAsia="Arial" w:hAnsi="Arial"/>
          <w:sz w:val="12"/>
          <w:szCs w:val="12"/>
          <w:color w:val="auto"/>
        </w:rPr>
      </w:pPr>
      <w:r>
        <w:rPr>
          <w:rFonts w:ascii="Arial" w:cs="Arial" w:eastAsia="Arial" w:hAnsi="Arial"/>
          <w:sz w:val="12"/>
          <w:szCs w:val="12"/>
          <w:color w:val="auto"/>
        </w:rPr>
        <w:t>We intend to invest up to $40 million of the net proceeds from this offering in Wynn Macau as part of the financing of the Macau opportunity.</w:t>
      </w:r>
    </w:p>
    <w:p>
      <w:pPr>
        <w:spacing w:after="0" w:line="209" w:lineRule="auto"/>
        <w:framePr w:w="300" w:h="120" w:wrap="auto" w:vAnchor="page" w:hAnchor="page" w:x="200" w:y="14997"/>
        <w:rPr>
          <w:rFonts w:ascii="Arial" w:cs="Arial" w:eastAsia="Arial" w:hAnsi="Arial"/>
          <w:sz w:val="9"/>
          <w:szCs w:val="9"/>
          <w:color w:val="auto"/>
        </w:rPr>
      </w:pPr>
      <w:r>
        <w:rPr>
          <w:rFonts w:ascii="Arial" w:cs="Arial" w:eastAsia="Arial" w:hAnsi="Arial"/>
          <w:sz w:val="13"/>
          <w:szCs w:val="13"/>
          <w:color w:val="auto"/>
          <w:vertAlign w:val="subscript"/>
        </w:rPr>
        <w:t>(11)</w:t>
      </w:r>
    </w:p>
    <w:p>
      <w:pPr>
        <w:spacing w:after="0" w:line="209" w:lineRule="auto"/>
        <w:framePr w:w="10060" w:h="120" w:wrap="auto" w:vAnchor="page" w:hAnchor="page" w:x="740" w:y="14956"/>
        <w:rPr>
          <w:rFonts w:ascii="Arial" w:cs="Arial" w:eastAsia="Arial" w:hAnsi="Arial"/>
          <w:sz w:val="12"/>
          <w:szCs w:val="12"/>
          <w:color w:val="auto"/>
        </w:rPr>
      </w:pPr>
      <w:r>
        <w:rPr>
          <w:rFonts w:ascii="Arial" w:cs="Arial" w:eastAsia="Arial" w:hAnsi="Arial"/>
          <w:sz w:val="12"/>
          <w:szCs w:val="12"/>
          <w:color w:val="auto"/>
        </w:rPr>
        <w:t>Includes fees and expenses related to (a) this offering, (b) the second mortgage note offering and (c) the revolving credit facility, the delay draw term loan facility and the FF&amp;E facility.</w:t>
      </w:r>
    </w:p>
    <w:p>
      <w:pPr>
        <w:spacing w:after="0" w:line="204" w:lineRule="auto"/>
        <w:framePr w:w="260" w:h="156" w:wrap="auto" w:vAnchor="page" w:hAnchor="page" w:x="5820" w:y="15326"/>
        <w:rPr>
          <w:rFonts w:ascii="Arial" w:cs="Arial" w:eastAsia="Arial" w:hAnsi="Arial"/>
          <w:sz w:val="16"/>
          <w:szCs w:val="16"/>
          <w:color w:val="auto"/>
        </w:rPr>
      </w:pPr>
      <w:r>
        <w:rPr>
          <w:rFonts w:ascii="Arial" w:cs="Arial" w:eastAsia="Arial" w:hAnsi="Arial"/>
          <w:sz w:val="16"/>
          <w:szCs w:val="16"/>
          <w:color w:val="auto"/>
        </w:rPr>
        <w:t>42</w:t>
      </w:r>
    </w:p>
    <w:p>
      <w:pPr>
        <w:spacing w:after="0" w:line="181" w:lineRule="auto"/>
        <w:framePr w:w="1700" w:h="156" w:wrap="auto" w:vAnchor="page" w:hAnchor="page" w:x="5080" w:y="16217"/>
        <w:rPr>
          <w:rFonts w:ascii="Arial" w:cs="Arial" w:eastAsia="Arial" w:hAnsi="Arial"/>
          <w:sz w:val="18"/>
          <w:szCs w:val="18"/>
          <w:b w:val="1"/>
          <w:bCs w:val="1"/>
          <w:color w:val="auto"/>
        </w:rPr>
      </w:pPr>
      <w:r>
        <w:rPr>
          <w:rFonts w:ascii="Arial" w:cs="Arial" w:eastAsia="Arial" w:hAnsi="Arial"/>
          <w:sz w:val="18"/>
          <w:szCs w:val="18"/>
          <w:b w:val="1"/>
          <w:bCs w:val="1"/>
          <w:color w:val="auto"/>
        </w:rPr>
        <w:t>DIVIDEND POLICY</w:t>
      </w:r>
    </w:p>
    <w:p>
      <w:pPr>
        <w:jc w:val="center"/>
        <w:spacing w:after="0"/>
        <w:rPr>
          <w:sz w:val="20"/>
          <w:szCs w:val="20"/>
          <w:color w:val="auto"/>
        </w:rPr>
      </w:pPr>
      <w:r>
        <w:rPr>
          <w:rFonts w:ascii="Arial" w:cs="Arial" w:eastAsia="Arial" w:hAnsi="Arial"/>
          <w:sz w:val="18"/>
          <w:szCs w:val="18"/>
          <w:color w:val="auto"/>
        </w:rPr>
        <w:t>40</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table also includes certain final construction cost payments that we assume will be made after the opening of Le Rêve.</w:t>
      </w:r>
    </w:p>
    <w:p>
      <w:pPr>
        <w:spacing w:after="0" w:line="235" w:lineRule="exact"/>
        <w:rPr>
          <w:rFonts w:ascii="Arial" w:cs="Arial" w:eastAsia="Arial" w:hAnsi="Arial"/>
          <w:sz w:val="18"/>
          <w:szCs w:val="18"/>
          <w:b w:val="1"/>
          <w:bCs w:val="1"/>
          <w:color w:val="auto"/>
        </w:rPr>
      </w:pP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2480" w:type="dxa"/>
            <w:vAlign w:val="bottom"/>
            <w:tcBorders>
              <w:bottom w:val="single" w:sz="8" w:color="808080"/>
            </w:tcBorders>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180" w:type="dxa"/>
            <w:vAlign w:val="bottom"/>
          </w:tcPr>
          <w:p>
            <w:pPr>
              <w:spacing w:after="0"/>
              <w:rPr>
                <w:sz w:val="23"/>
                <w:szCs w:val="23"/>
                <w:color w:val="auto"/>
              </w:rPr>
            </w:pPr>
          </w:p>
        </w:tc>
        <w:tc>
          <w:tcPr>
            <w:tcW w:w="3160" w:type="dxa"/>
            <w:vAlign w:val="bottom"/>
            <w:tcBorders>
              <w:bottom w:val="single" w:sz="8" w:color="808080"/>
            </w:tcBorders>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2,560.0</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1720"/>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9"/>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51"/>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2678430</wp:posOffset>
            </wp:positionH>
            <wp:positionV relativeFrom="paragraph">
              <wp:posOffset>-8838565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-8838565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-8838565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-8838565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-6351905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-6351905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-4001770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-4001770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-4001770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-4001770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-3693160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-3693160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-3693160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-3693160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-3538855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-3538855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-1901190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-1901190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492" w:gutter="0" w:footer="0" w:header="0"/>
        </w:sectPr>
      </w:pPr>
    </w:p>
    <w:bookmarkStart w:id="25" w:name="page26"/>
    <w:bookmarkEnd w:id="25"/>
    <w:p>
      <w:pPr>
        <w:spacing w:after="0" w:line="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120" w:hanging="532"/>
        <w:spacing w:after="0" w:line="256"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34,615,000 shares of Wynn Resorts' common stock in this offering at an assumed initial public offering price of $13.00 per share, the expected concurrent sale of $365 million in aggregate principal amount at maturity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40" w:hanging="532"/>
        <w:spacing w:after="0" w:line="256"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$715.8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20" w:hanging="532"/>
        <w:spacing w:after="0" w:line="268"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544.9(3)</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971.9(4)(5)</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971.9(4)(5)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-2613025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-2613025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-1986915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-1986915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480" w:hanging="532"/>
        <w:spacing w:after="0" w:line="186"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spacing w:after="0" w:line="70" w:lineRule="exact"/>
        <w:rPr>
          <w:rFonts w:ascii="Arial" w:cs="Arial" w:eastAsia="Arial" w:hAnsi="Arial"/>
          <w:sz w:val="24"/>
          <w:szCs w:val="24"/>
          <w:color w:val="auto"/>
          <w:vertAlign w:val="subscript"/>
        </w:rPr>
      </w:pPr>
    </w:p>
    <w:p>
      <w:pPr>
        <w:ind w:left="540" w:right="100" w:hanging="532"/>
        <w:spacing w:after="0" w:line="188" w:lineRule="auto"/>
        <w:tabs>
          <w:tab w:leader="none" w:pos="54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0"/>
        <w:spacing w:after="0" w:line="239" w:lineRule="auto"/>
        <w:rPr>
          <w:sz w:val="20"/>
          <w:szCs w:val="20"/>
          <w:color w:val="auto"/>
        </w:rPr>
      </w:pPr>
      <w:r>
        <w:rPr>
          <w:rFonts w:ascii="Arial" w:cs="Arial" w:eastAsia="Arial" w:hAnsi="Arial"/>
          <w:sz w:val="14"/>
          <w:szCs w:val="14"/>
          <w:color w:val="auto"/>
        </w:rPr>
        <w:t>bears interest at an annual rate of 8% and requires payment of $5,000 per month until February 2009. Valvino assumed the obligations under the annuity in connection with its acquisition of the Desert Inn Resort &amp; Casino.</w:t>
      </w:r>
    </w:p>
    <w:p>
      <w:pPr>
        <w:ind w:left="540" w:hanging="532"/>
        <w:spacing w:after="0"/>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124" w:lineRule="exact"/>
        <w:rPr>
          <w:rFonts w:ascii="Arial" w:cs="Arial" w:eastAsia="Arial" w:hAnsi="Arial"/>
          <w:sz w:val="27"/>
          <w:szCs w:val="27"/>
          <w:color w:val="auto"/>
          <w:vertAlign w:val="subscript"/>
        </w:rPr>
      </w:pPr>
    </w:p>
    <w:p>
      <w:pPr>
        <w:spacing w:after="0"/>
        <w:tabs>
          <w:tab w:leader="none" w:pos="0" w:val="left"/>
        </w:tabs>
        <w:numPr>
          <w:ilvl w:val="0"/>
          <w:numId w:val="36"/>
        </w:numPr>
        <w:rPr>
          <w:rFonts w:ascii="Arial" w:cs="Arial" w:eastAsia="Arial" w:hAnsi="Arial"/>
          <w:sz w:val="14"/>
          <w:szCs w:val="14"/>
          <w:color w:val="auto"/>
        </w:rPr>
      </w:pPr>
    </w:p>
    <w:p>
      <w:pPr>
        <w:sectPr>
          <w:pgSz w:w="11900" w:h="16845" w:orient="portrait"/>
          <w:cols w:equalWidth="0" w:num="1">
            <w:col w:w="11380"/>
          </w:cols>
          <w:pgMar w:left="240" w:top="131" w:right="279" w:bottom="0" w:gutter="0" w:footer="0" w:header="0"/>
        </w:sectPr>
      </w:pPr>
    </w:p>
    <w:bookmarkStart w:id="26" w:name="page27"/>
    <w:bookmarkEnd w:id="26"/>
    <w:p>
      <w:pPr>
        <w:spacing w:after="0" w:line="114" w:lineRule="exact"/>
        <w:rPr>
          <w:sz w:val="20"/>
          <w:szCs w:val="20"/>
          <w:color w:val="auto"/>
        </w:rPr>
      </w:pPr>
    </w:p>
    <w:p>
      <w:pPr>
        <w:ind w:left="540" w:right="120"/>
        <w:spacing w:after="0" w:line="239" w:lineRule="auto"/>
        <w:rPr>
          <w:sz w:val="20"/>
          <w:szCs w:val="20"/>
          <w:color w:val="auto"/>
        </w:rPr>
      </w:pPr>
      <w:r>
        <w:rPr>
          <w:rFonts w:ascii="Arial" w:cs="Arial" w:eastAsia="Arial" w:hAnsi="Arial"/>
          <w:sz w:val="14"/>
          <w:szCs w:val="14"/>
          <w:color w:val="auto"/>
        </w:rPr>
        <w:t>Represents Valvino's members' equity as follows: (a) contributed capital of $586.1 million, (b) deficit accumulated during the development stage of ($41.1) million and (c) expected net proceeds from this offering of $427.0 million.</w:t>
      </w:r>
    </w:p>
    <w:p>
      <w:pPr>
        <w:spacing w:after="0" w:line="71" w:lineRule="exact"/>
        <w:rPr>
          <w:sz w:val="20"/>
          <w:szCs w:val="20"/>
          <w:color w:val="auto"/>
        </w:rPr>
      </w:pPr>
    </w:p>
    <w:p>
      <w:pPr>
        <w:ind w:left="540" w:right="40" w:hanging="532"/>
        <w:spacing w:after="0" w:line="188" w:lineRule="auto"/>
        <w:tabs>
          <w:tab w:leader="none" w:pos="540" w:val="left"/>
        </w:tabs>
        <w:numPr>
          <w:ilvl w:val="0"/>
          <w:numId w:val="37"/>
        </w:numPr>
        <w:rPr>
          <w:rFonts w:ascii="Arial" w:cs="Arial" w:eastAsia="Arial" w:hAnsi="Arial"/>
          <w:sz w:val="26"/>
          <w:szCs w:val="26"/>
          <w:color w:val="auto"/>
          <w:vertAlign w:val="subscript"/>
        </w:rPr>
      </w:pPr>
      <w:r>
        <w:rPr>
          <w:rFonts w:ascii="Arial" w:cs="Arial" w:eastAsia="Arial" w:hAnsi="Arial"/>
          <w:sz w:val="13"/>
          <w:szCs w:val="13"/>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74,615,000 shares issued and outstanding, (c) additional paid in capital of $426.3 million and (d) deficit accumulated during the development stage of $(41.1)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net tangible book value of our common stock on June 30, 2002 was $537.5 million, or approximately $13.44 per share. Net tangible book value per share represents the amount of our total tangible assets less total liabilities (not including any indebtedness being incurred concurrently with this offering),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 offering price of $13.00 per share and after deducting estimated underwriting discounts and commissions and offering expenses payable by us, our net tangible book value at June 30, 2002 would have been approximately $964.5 million, or $12.93 per share. This represents an immediate dilution in net tangible book value of $0.51 per share to existing stockholders and an immediate dilution in net tangible book value of $0.07 per share to new investors purchasing shares of common stock in this offering. The following table illustrates this dilution on a per share basis:</w:t>
      </w:r>
    </w:p>
    <w:p>
      <w:pPr>
        <w:spacing w:after="0" w:line="17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0.51</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85" w:lineRule="exact"/>
        <w:rPr>
          <w:sz w:val="20"/>
          <w:szCs w:val="20"/>
          <w:color w:val="auto"/>
        </w:rPr>
      </w:pPr>
    </w:p>
    <w:p>
      <w:pPr>
        <w:ind w:left="540" w:right="120" w:hanging="532"/>
        <w:spacing w:after="0" w:line="18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intend to reserve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w:t>
      </w:r>
    </w:p>
    <w:p>
      <w:pPr>
        <w:sectPr>
          <w:pgSz w:w="11900" w:h="16952" w:orient="portrait"/>
          <w:cols w:equalWidth="0" w:num="1">
            <w:col w:w="11420"/>
          </w:cols>
          <w:pgMar w:left="240" w:top="129" w:right="239" w:bottom="0" w:gutter="0" w:footer="0" w:header="0"/>
        </w:sectPr>
      </w:pPr>
    </w:p>
    <w:bookmarkStart w:id="27" w:name="page28"/>
    <w:bookmarkEnd w:id="27"/>
    <w:p>
      <w:pPr>
        <w:ind w:right="360"/>
        <w:spacing w:after="0" w:line="268" w:lineRule="auto"/>
        <w:rPr>
          <w:sz w:val="20"/>
          <w:szCs w:val="20"/>
          <w:color w:val="auto"/>
        </w:rPr>
      </w:pPr>
      <w:r>
        <w:rPr>
          <w:rFonts w:ascii="Arial" w:cs="Arial" w:eastAsia="Arial" w:hAnsi="Arial"/>
          <w:sz w:val="18"/>
          <w:szCs w:val="18"/>
          <w:color w:val="auto"/>
        </w:rPr>
        <w:t>1998, is marked by its eight-acre lake of dancing fountains inspired by Lake Como of Northern Italy, as well as the show "O" produced and performed by the Cirque du Soleil organization.</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39"/>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39"/>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ectPr>
          <w:pgSz w:w="11900" w:h="16838" w:orient="portrait"/>
          <w:cols w:equalWidth="0" w:num="1">
            <w:col w:w="11420"/>
          </w:cols>
          <w:pgMar w:left="240" w:top="131" w:right="239" w:bottom="0" w:gutter="0" w:footer="0" w:header="0"/>
        </w:sectPr>
      </w:pPr>
    </w:p>
    <w:bookmarkStart w:id="28" w:name="page29"/>
    <w:bookmarkEnd w:id="28"/>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corporate aircraft, are included in Valvino's financial statements. Moreover, we continue to operate an art gallery displaying works from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which consists of artwork from the personal art collection of Stephen and Elaine Wynn. Until summer 2002, we also operated the golf course 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site of the former Desert Inn Resort &amp; Casino. Valvino's historical operating results will not be indicative of future operating results.</w:t>
      </w:r>
    </w:p>
    <w:p>
      <w:pPr>
        <w:spacing w:after="0" w:line="21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25,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ectPr>
          <w:pgSz w:w="11900" w:h="16838" w:orient="portrait"/>
          <w:cols w:equalWidth="0" w:num="1">
            <w:col w:w="11420"/>
          </w:cols>
          <w:pgMar w:left="240" w:top="131" w:right="239" w:bottom="0" w:gutter="0" w:footer="0" w:header="0"/>
          <w:type w:val="continuous"/>
        </w:sectPr>
      </w:pPr>
    </w:p>
    <w:bookmarkStart w:id="29" w:name="page30"/>
    <w:bookmarkEnd w:id="29"/>
    <w:p>
      <w:pPr>
        <w:ind w:right="20"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ectPr>
          <w:pgSz w:w="11900" w:h="16838" w:orient="portrait"/>
          <w:cols w:equalWidth="0" w:num="1">
            <w:col w:w="11380"/>
          </w:cols>
          <w:pgMar w:left="240" w:top="131" w:right="279" w:bottom="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30" w:name="page31"/>
    <w:bookmarkEnd w:id="30"/>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590" w:right="279" w:bottom="0" w:gutter="0" w:footer="0" w:header="0"/>
        </w:sectPr>
      </w:pPr>
    </w:p>
    <w:bookmarkStart w:id="31" w:name="page32"/>
    <w:bookmarkEnd w:id="31"/>
    <w:p>
      <w:pPr>
        <w:ind w:left="1080"/>
        <w:spacing w:after="0" w:line="253" w:lineRule="auto"/>
        <w:rPr>
          <w:sz w:val="20"/>
          <w:szCs w:val="20"/>
          <w:color w:val="auto"/>
        </w:rPr>
      </w:pPr>
      <w:r>
        <w:rPr>
          <w:rFonts w:ascii="Arial" w:cs="Arial" w:eastAsia="Arial" w:hAnsi="Arial"/>
          <w:sz w:val="18"/>
          <w:szCs w:val="18"/>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86" w:lineRule="auto"/>
        <w:rPr>
          <w:sz w:val="20"/>
          <w:szCs w:val="20"/>
          <w:color w:val="auto"/>
        </w:rPr>
      </w:pPr>
      <w:r>
        <w:rPr>
          <w:rFonts w:ascii="Arial" w:cs="Arial" w:eastAsia="Arial" w:hAnsi="Arial"/>
          <w:sz w:val="16"/>
          <w:szCs w:val="16"/>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w:t>
      </w:r>
    </w:p>
    <w:p>
      <w:pPr>
        <w:ind w:left="1080" w:right="40"/>
        <w:spacing w:after="0" w:line="261" w:lineRule="auto"/>
        <w:rPr>
          <w:sz w:val="20"/>
          <w:szCs w:val="20"/>
          <w:color w:val="auto"/>
        </w:rPr>
      </w:pPr>
      <w:r>
        <w:rPr>
          <w:rFonts w:ascii="Arial" w:cs="Arial" w:eastAsia="Arial" w:hAnsi="Arial"/>
          <w:sz w:val="18"/>
          <w:szCs w:val="18"/>
          <w:color w:val="auto"/>
        </w:rPr>
        <w:t>47.5% ownership interest in Valvino, after these contributions, reflects the fair value of his investment in Wynn Macau relative to the fair value of the contributions from Aruze USA and Baron Asset Fund;</w:t>
      </w:r>
    </w:p>
    <w:p>
      <w:pPr>
        <w:spacing w:after="0" w:line="205"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2"/>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2"/>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60" w:hanging="532"/>
        <w:spacing w:after="0" w:line="186" w:lineRule="auto"/>
        <w:tabs>
          <w:tab w:leader="none" w:pos="540" w:val="left"/>
        </w:tabs>
        <w:numPr>
          <w:ilvl w:val="0"/>
          <w:numId w:val="42"/>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ectPr>
          <w:pgSz w:w="11900" w:h="16838" w:orient="portrait"/>
          <w:cols w:equalWidth="0" w:num="1">
            <w:col w:w="11380"/>
          </w:cols>
          <w:pgMar w:left="240" w:top="131" w:right="279" w:bottom="0" w:gutter="0" w:footer="0" w:header="0"/>
        </w:sectPr>
      </w:pPr>
    </w:p>
    <w:bookmarkStart w:id="32" w:name="page33"/>
    <w:bookmarkEnd w:id="32"/>
    <w:p>
      <w:pPr>
        <w:ind w:right="32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1,519.6</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1,519.4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8"/>
                <w:szCs w:val="18"/>
                <w:color w:val="auto"/>
                <w:w w:val="94"/>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500" w:type="dxa"/>
            <w:vAlign w:val="bottom"/>
            <w:gridSpan w:val="3"/>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-3813175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-3813175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-3470275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-3470275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-3470275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-3470275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-3470275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-3470275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-3470275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-3470275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4"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We anticipate that we will draw down approximately $715.8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w:t>
      </w:r>
    </w:p>
    <w:p>
      <w:pPr>
        <w:spacing w:after="0" w:line="192" w:lineRule="exact"/>
        <w:rPr>
          <w:rFonts w:ascii="Arial" w:cs="Arial" w:eastAsia="Arial" w:hAnsi="Arial"/>
          <w:sz w:val="24"/>
          <w:szCs w:val="24"/>
          <w:color w:val="auto"/>
          <w:vertAlign w:val="subscript"/>
        </w:rPr>
      </w:pPr>
    </w:p>
    <w:p>
      <w:pPr>
        <w:ind w:left="540" w:right="160"/>
        <w:spacing w:after="0" w:line="239" w:lineRule="auto"/>
        <w:rPr>
          <w:rFonts w:ascii="Arial" w:cs="Arial" w:eastAsia="Arial" w:hAnsi="Arial"/>
          <w:sz w:val="24"/>
          <w:szCs w:val="24"/>
          <w:color w:val="auto"/>
          <w:vertAlign w:val="subscript"/>
        </w:rPr>
      </w:pPr>
      <w:r>
        <w:rPr>
          <w:rFonts w:ascii="Arial" w:cs="Arial" w:eastAsia="Arial" w:hAnsi="Arial"/>
          <w:sz w:val="14"/>
          <w:szCs w:val="14"/>
          <w:color w:val="auto"/>
        </w:rPr>
        <w:t>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152" w:lineRule="exact"/>
        <w:rPr>
          <w:rFonts w:ascii="Arial" w:cs="Arial" w:eastAsia="Arial" w:hAnsi="Arial"/>
          <w:sz w:val="24"/>
          <w:szCs w:val="24"/>
          <w:color w:val="auto"/>
          <w:vertAlign w:val="subscript"/>
        </w:rPr>
      </w:pPr>
    </w:p>
    <w:p>
      <w:pPr>
        <w:ind w:left="540" w:right="40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200" w:hanging="532"/>
        <w:spacing w:after="0" w:line="214"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2007. See "Certain Relationships and Related Transactions—Aircraft Arrangements." World Travel intends to issue Wynn Las Vegas an intercompany note in the amount of the funds received by it to repay the Bank of America loan.</w:t>
      </w:r>
    </w:p>
    <w:p>
      <w:pPr>
        <w:spacing w:after="0" w:line="139" w:lineRule="exact"/>
        <w:rPr>
          <w:sz w:val="20"/>
          <w:szCs w:val="20"/>
          <w:color w:val="auto"/>
        </w:rPr>
      </w:pPr>
    </w:p>
    <w:p>
      <w:pPr>
        <w:ind w:left="540" w:right="8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71" w:lineRule="exact"/>
        <w:rPr>
          <w:rFonts w:ascii="Arial" w:cs="Arial" w:eastAsia="Arial" w:hAnsi="Arial"/>
          <w:sz w:val="27"/>
          <w:szCs w:val="27"/>
          <w:color w:val="auto"/>
          <w:vertAlign w:val="subscript"/>
        </w:rPr>
      </w:pPr>
    </w:p>
    <w:p>
      <w:pPr>
        <w:ind w:left="540" w:right="260" w:hanging="532"/>
        <w:spacing w:after="0" w:line="188" w:lineRule="auto"/>
        <w:tabs>
          <w:tab w:leader="none" w:pos="540" w:val="left"/>
        </w:tabs>
        <w:numPr>
          <w:ilvl w:val="0"/>
          <w:numId w:val="46"/>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25,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credit facilities), initially 75%, reducing to 50% and then to 0% as Wynn Las Vegas meets certain leverage ratios. The availability of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is subject to certain conditions, including the negotiation and execution of definitive agreements, the progress of the construction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customary funding conditions for facilities of this kind.</w:t>
      </w:r>
    </w:p>
    <w:p>
      <w:pPr>
        <w:spacing w:after="0" w:line="21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w:t>
      </w:r>
    </w:p>
    <w:p>
      <w:pPr>
        <w:sectPr>
          <w:pgSz w:w="11900" w:h="16838" w:orient="portrait"/>
          <w:cols w:equalWidth="0" w:num="1">
            <w:col w:w="11400"/>
          </w:cols>
          <w:pgMar w:left="240" w:top="131" w:right="259" w:bottom="0" w:gutter="0" w:footer="0" w:header="0"/>
        </w:sectPr>
      </w:pPr>
    </w:p>
    <w:bookmarkStart w:id="33" w:name="page34"/>
    <w:bookmarkEnd w:id="33"/>
    <w:p>
      <w:pPr>
        <w:ind w:right="680"/>
        <w:spacing w:after="0" w:line="268" w:lineRule="auto"/>
        <w:rPr>
          <w:sz w:val="20"/>
          <w:szCs w:val="20"/>
          <w:color w:val="auto"/>
        </w:rPr>
      </w:pPr>
      <w:r>
        <w:rPr>
          <w:rFonts w:ascii="Arial" w:cs="Arial" w:eastAsia="Arial" w:hAnsi="Arial"/>
          <w:sz w:val="18"/>
          <w:szCs w:val="18"/>
          <w:color w:val="auto"/>
        </w:rPr>
        <w:t>golf course and the 20-acre parcel fronting Las Vegas Boulevard adjacent to the site of Le Rêve. For a description of the terms of the credit facilities, see "Description of Certain Indebtedness—Credit Facilities."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$365 million in aggregate principal amount at maturity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an unsecured basis, but will not be subject to the restrictive covenants in its subsidiaries' debt facilities. If Wynn Resorts grants specified liens to secure other guarantees or indebtedness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then the credit faclilites, the FF&amp;E facility and the second mortgage notes will be secured by comparable liens on the same Wynn Resorts' assets. Wynn Resorts' domestic and foreign subsidiaries related to the Macau opportunity will not be guarantors and will not be subject to the covenants in the second mortgage notes or the credit facilities.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to the release and Wynn Las Vegas satisfies certain conditions relating to water required for the Le Rêve casino water features.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and Wynn Las Vegas satisfies certain conditions relating to water required for the Le Rêve casino water features and the golf course.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 and Wynn Las Vegas satisfies certain conditions relating to water required for the Le Rêve casino water features and the golf course.</w:t>
      </w:r>
    </w:p>
    <w:p>
      <w:pPr>
        <w:spacing w:after="0" w:line="177"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and Wynn Las Vegas satisfies certain conditions relating to water required for the Le Rêve casino water features and the golf course.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and Wynn Las Vegas satisfies certain conditions relating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ectPr>
          <w:pgSz w:w="11900" w:h="16838" w:orient="portrait"/>
          <w:cols w:equalWidth="0" w:num="1">
            <w:col w:w="11400"/>
          </w:cols>
          <w:pgMar w:left="240" w:top="131" w:right="259" w:bottom="45" w:gutter="0" w:footer="0" w:header="0"/>
        </w:sectPr>
      </w:pPr>
    </w:p>
    <w:bookmarkStart w:id="34" w:name="page35"/>
    <w:bookmarkEnd w:id="34"/>
    <w:p>
      <w:pPr>
        <w:spacing w:after="0" w:line="6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borrow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facilities or the FF&amp;E facility for approximately 14 to 17 months after the closing.</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as a guarantor of the indebtedness under the credit facilities, FF&amp;E facility and the second mortgage notes, or if liens on assets of Wynn Resorts secure the credit facilities or the second mortgage notes. See "Risk Factors—Risks Related to Our Substantial Indebtedness— We are highly leveraged and future cash flow may not be sufficient for our subsidiaries to meet their obligations, and we might have difficulty obtaining more financing."</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We cannot assure you that we will be able to refinance any of the indebtedness, including the credit facilities, the FF&amp;E</w:t>
      </w:r>
    </w:p>
    <w:p>
      <w:pPr>
        <w:sectPr>
          <w:pgSz w:w="11900" w:h="16906" w:orient="portrait"/>
          <w:cols w:equalWidth="0" w:num="1">
            <w:col w:w="11420"/>
          </w:cols>
          <w:pgMar w:left="240" w:top="131" w:right="239" w:bottom="0" w:gutter="0" w:footer="0" w:header="0"/>
        </w:sectPr>
      </w:pPr>
    </w:p>
    <w:bookmarkStart w:id="35" w:name="page36"/>
    <w:bookmarkEnd w:id="35"/>
    <w:p>
      <w:pPr>
        <w:ind w:right="100"/>
        <w:spacing w:after="0" w:line="268" w:lineRule="auto"/>
        <w:rPr>
          <w:sz w:val="20"/>
          <w:szCs w:val="20"/>
          <w:color w:val="auto"/>
        </w:rPr>
      </w:pPr>
      <w:r>
        <w:rPr>
          <w:rFonts w:ascii="Arial" w:cs="Arial" w:eastAsia="Arial" w:hAnsi="Arial"/>
          <w:sz w:val="18"/>
          <w:szCs w:val="18"/>
          <w:color w:val="auto"/>
        </w:rPr>
        <w:t>facility or the second mortgage notes on acceptable terms or at all. See "Risk Factors—Risks Related to Our Substantial Indebtedness—Our subsidiaries may not generate sufficient cash flow to meet their substantial debt service and other obligations."</w:t>
      </w:r>
    </w:p>
    <w:p>
      <w:pPr>
        <w:spacing w:after="0" w:line="186"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develop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the initial phase. If Wynn Resorts decides to raise additional equity at the Wynn Resorts level or at the Wynn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Macau or intermediary holding company level to fund the Macau opportunity, its stockholders would suffer direct or indirect dilution of their interests. Wynn Macau currently has no commitments relating to any third party financing. Except for Wynn Resorts, we do not expect financing for any such project to be provided by or through any of the issuers or guarantors of the second mortgage notes or any other financing relating to the Le Rêve project.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ectPr>
          <w:pgSz w:w="11900" w:h="16838" w:orient="portrait"/>
          <w:cols w:equalWidth="0" w:num="1">
            <w:col w:w="11420"/>
          </w:cols>
          <w:pgMar w:left="240" w:top="131" w:right="239" w:bottom="0" w:gutter="0" w:footer="0" w:header="0"/>
        </w:sectPr>
      </w:pPr>
    </w:p>
    <w:bookmarkStart w:id="36" w:name="page37"/>
    <w:bookmarkEnd w:id="36"/>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25, 2002 exchange rate)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w:t>
      </w:r>
    </w:p>
    <w:p>
      <w:pPr>
        <w:sectPr>
          <w:pgSz w:w="11900" w:h="16872" w:orient="portrait"/>
          <w:cols w:equalWidth="0" w:num="1">
            <w:col w:w="11420"/>
          </w:cols>
          <w:pgMar w:left="240" w:top="125" w:right="239" w:bottom="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approximately $6.4 billion. The public filings and press releases of Mirage Resorts and MGM Mirage report that in fiscal year 1999, the last full year of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-3372485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-3372485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-3372485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-3372485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-3372485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-3372485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48"/>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48"/>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48"/>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48"/>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48"/>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and Wynn Las Vegas satisfies certain conditions relating to water required for the Le Rêve casino water features and the golf course,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ectPr>
          <w:pgSz w:w="11900" w:h="16838" w:orient="portrait"/>
          <w:cols w:equalWidth="0" w:num="1">
            <w:col w:w="11420"/>
          </w:cols>
          <w:pgMar w:left="240" w:top="131" w:right="239" w:bottom="164" w:gutter="0" w:footer="0" w:header="0"/>
        </w:sectPr>
      </w:pPr>
    </w:p>
    <w:bookmarkStart w:id="38" w:name="page39"/>
    <w:bookmarkEnd w:id="38"/>
    <w:p>
      <w:pPr>
        <w:ind w:firstLine="351"/>
        <w:spacing w:after="0" w:line="289" w:lineRule="auto"/>
        <w:rPr>
          <w:sz w:val="20"/>
          <w:szCs w:val="20"/>
          <w:color w:val="auto"/>
        </w:rPr>
      </w:pPr>
      <w:r>
        <w:rPr>
          <w:rFonts w:ascii="Arial" w:cs="Arial" w:eastAsia="Arial" w:hAnsi="Arial"/>
          <w:sz w:val="16"/>
          <w:szCs w:val="16"/>
          <w:color w:val="auto"/>
        </w:rPr>
        <w:t>Similarly, three years after commencement of operations at Le Rêve and upon Wynn Las Vegas' satisfaction of prescribed maximum leverage ratio and minimum credit rating requirements and Wynn Las Vegas satisfies certain conditions relating to water required for the Le Rêve casino water features,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 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ectPr>
          <w:pgSz w:w="11900" w:h="16838" w:orient="portrait"/>
          <w:cols w:equalWidth="0" w:num="1">
            <w:col w:w="11420"/>
          </w:cols>
          <w:pgMar w:left="240" w:top="131" w:right="239" w:bottom="0" w:gutter="0" w:footer="0" w:header="0"/>
        </w:sectPr>
      </w:pPr>
    </w:p>
    <w:bookmarkStart w:id="39" w:name="page40"/>
    <w:bookmarkEnd w:id="39"/>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59"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ectPr>
          <w:pgSz w:w="11900" w:h="16838" w:orient="portrait"/>
          <w:cols w:equalWidth="0" w:num="1">
            <w:col w:w="11420"/>
          </w:cols>
          <w:pgMar w:left="240" w:top="131" w:right="23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$31.2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80" w:firstLine="341"/>
        <w:spacing w:after="0" w:line="370"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w:t>
      </w:r>
    </w:p>
    <w:p>
      <w:pPr>
        <w:sectPr>
          <w:pgSz w:w="11900" w:h="16838" w:orient="portrait"/>
          <w:cols w:equalWidth="0" w:num="1">
            <w:col w:w="11420"/>
          </w:cols>
          <w:pgMar w:left="240" w:top="131" w:right="239" w:bottom="0" w:gutter="0" w:footer="0" w:header="0"/>
        </w:sectPr>
      </w:pPr>
    </w:p>
    <w:bookmarkStart w:id="41" w:name="page42"/>
    <w:bookmarkEnd w:id="41"/>
    <w:p>
      <w:pPr>
        <w:spacing w:after="0" w:line="4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1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72"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Restaurants, Lounges, Bars and Nightclub. </w:t>
      </w:r>
      <w:r>
        <w:rPr>
          <w:rFonts w:ascii="Arial" w:cs="Arial" w:eastAsia="Arial" w:hAnsi="Arial"/>
          <w:sz w:val="15"/>
          <w:szCs w:val="15"/>
          <w:color w:val="auto"/>
        </w:rPr>
        <w:t>We plan to offer 18 food and beverage outlets, including six fine-dining restaurants and an approximately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w:t>
      </w:r>
    </w:p>
    <w:p>
      <w:pPr>
        <w:sectPr>
          <w:pgSz w:w="11900" w:h="16882" w:orient="portrait"/>
          <w:cols w:equalWidth="0" w:num="1">
            <w:col w:w="11420"/>
          </w:cols>
          <w:pgMar w:left="240" w:top="131" w:right="239" w:bottom="0" w:gutter="0" w:footer="0" w:header="0"/>
        </w:sectPr>
      </w:pPr>
    </w:p>
    <w:bookmarkStart w:id="42" w:name="page43"/>
    <w:bookmarkEnd w:id="42"/>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Herald Tribune </w:t>
      </w:r>
      <w:r>
        <w:rPr>
          <w:rFonts w:ascii="Arial" w:cs="Arial" w:eastAsia="Arial" w:hAnsi="Arial"/>
          <w:sz w:val="18"/>
          <w:szCs w:val="18"/>
          <w:color w:val="auto"/>
        </w:rPr>
        <w:t>in 1993 and received</w:t>
      </w:r>
      <w:r>
        <w:rPr>
          <w:rFonts w:ascii="Arial" w:cs="Arial" w:eastAsia="Arial" w:hAnsi="Arial"/>
          <w:sz w:val="18"/>
          <w:szCs w:val="18"/>
          <w:i w:val="1"/>
          <w:iCs w:val="1"/>
          <w:color w:val="auto"/>
        </w:rPr>
        <w:t xml:space="preserve"> Gourmet Magazine's </w:t>
      </w:r>
      <w:r>
        <w:rPr>
          <w:rFonts w:ascii="Arial" w:cs="Arial" w:eastAsia="Arial" w:hAnsi="Arial"/>
          <w:sz w:val="18"/>
          <w:szCs w:val="18"/>
          <w:color w:val="auto"/>
        </w:rPr>
        <w:t>"Top Table" award in 1997.</w:t>
      </w:r>
    </w:p>
    <w:p>
      <w:pPr>
        <w:spacing w:after="0" w:line="225"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5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ectPr>
          <w:pgSz w:w="11900" w:h="16839" w:orient="portrait"/>
          <w:cols w:equalWidth="0" w:num="1">
            <w:col w:w="11400"/>
          </w:cols>
          <w:pgMar w:left="240" w:top="131" w:right="259" w:bottom="0" w:gutter="0" w:footer="0" w:header="0"/>
        </w:sectPr>
      </w:pPr>
    </w:p>
    <w:bookmarkStart w:id="43" w:name="page44"/>
    <w:bookmarkEnd w:id="43"/>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0"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rFonts w:ascii="Arial" w:cs="Arial" w:eastAsia="Arial" w:hAnsi="Arial"/>
          <w:sz w:val="16"/>
          <w:szCs w:val="16"/>
          <w:color w:val="auto"/>
        </w:rPr>
      </w:pPr>
    </w:p>
    <w:p>
      <w:pPr>
        <w:ind w:left="1080" w:right="80" w:hanging="532"/>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7" w:lineRule="exact"/>
        <w:rPr>
          <w:rFonts w:ascii="Arial" w:cs="Arial" w:eastAsia="Arial" w:hAnsi="Arial"/>
          <w:sz w:val="18"/>
          <w:szCs w:val="18"/>
          <w:color w:val="auto"/>
        </w:rPr>
      </w:pPr>
    </w:p>
    <w:p>
      <w:pPr>
        <w:ind w:left="1080" w:right="40" w:hanging="532"/>
        <w:spacing w:after="0" w:line="252"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0"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ectPr>
          <w:pgSz w:w="11900" w:h="16838" w:orient="portrait"/>
          <w:cols w:equalWidth="0" w:num="1">
            <w:col w:w="11400"/>
          </w:cols>
          <w:pgMar w:left="240" w:top="131" w:right="259" w:bottom="0" w:gutter="0" w:footer="0" w:header="0"/>
        </w:sectPr>
      </w:pPr>
    </w:p>
    <w:bookmarkStart w:id="44" w:name="page45"/>
    <w:bookmarkEnd w:id="44"/>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4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93"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62" w:lineRule="exact"/>
        <w:rPr>
          <w:sz w:val="20"/>
          <w:szCs w:val="20"/>
          <w:color w:val="auto"/>
        </w:rPr>
      </w:pPr>
    </w:p>
    <w:p>
      <w:pPr>
        <w:ind w:left="1080" w:right="2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 Risks Related to Our Substantial Indebtedness—We are highly leveraged and future cash flow may not be sufficient for our subsidiaries to meet their obligations, and we might have difficulty obtaining more financing."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ectPr>
          <w:pgSz w:w="11900" w:h="16838" w:orient="portrait"/>
          <w:cols w:equalWidth="0" w:num="1">
            <w:col w:w="11400"/>
          </w:cols>
          <w:pgMar w:left="240" w:top="145" w:right="259" w:bottom="100" w:gutter="0" w:footer="0" w:header="0"/>
        </w:sectPr>
      </w:pPr>
    </w:p>
    <w:bookmarkStart w:id="45" w:name="page46"/>
    <w:bookmarkEnd w:id="45"/>
    <w:p>
      <w:pPr>
        <w:ind w:right="20" w:firstLine="348"/>
        <w:spacing w:after="0" w:line="285"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production services agreement, as amended, will provide Wynn Las Vegas with an option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show has not been executed.</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hotel total occupancy rates for all days exceeded on average 90.6% for the years 1990 to 1999, averaged 92.5% in 2000 and 88.9% in 2001.</w:t>
      </w:r>
    </w:p>
    <w:p>
      <w:pPr>
        <w:sectPr>
          <w:pgSz w:w="11900" w:h="16838" w:orient="portrait"/>
          <w:cols w:equalWidth="0" w:num="1">
            <w:col w:w="11420"/>
          </w:cols>
          <w:pgMar w:left="240" w:top="131" w:right="2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5668645" cy="25298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95250</wp:posOffset>
            </wp:positionV>
            <wp:extent cx="5454015" cy="2735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w:t>
      </w:r>
    </w:p>
    <w:p>
      <w:pPr>
        <w:sectPr>
          <w:pgSz w:w="11900" w:h="16838" w:orient="portrait"/>
          <w:cols w:equalWidth="0" w:num="1">
            <w:col w:w="11380"/>
          </w:cols>
          <w:pgMar w:left="240" w:top="1440" w:right="279" w:bottom="0" w:gutter="0" w:footer="0" w:header="0"/>
        </w:sectPr>
      </w:pPr>
    </w:p>
    <w:bookmarkStart w:id="47" w:name="page48"/>
    <w:bookmarkEnd w:id="47"/>
    <w:p>
      <w:pPr>
        <w:ind w:right="780"/>
        <w:spacing w:after="0" w:line="268" w:lineRule="auto"/>
        <w:rPr>
          <w:sz w:val="20"/>
          <w:szCs w:val="20"/>
          <w:color w:val="auto"/>
        </w:rPr>
      </w:pPr>
      <w:r>
        <w:rPr>
          <w:rFonts w:ascii="Arial" w:cs="Arial" w:eastAsia="Arial" w:hAnsi="Arial"/>
          <w:sz w:val="18"/>
          <w:szCs w:val="18"/>
          <w:color w:val="auto"/>
        </w:rPr>
        <w:t>estimated completion date in early 2003. We believe that Las Vegas will continue to evolve as one of the country's preferred trade show and convention destinations.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0"/>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ectPr>
          <w:pgSz w:w="11900" w:h="16838" w:orient="portrait"/>
          <w:cols w:equalWidth="0" w:num="1">
            <w:col w:w="11420"/>
          </w:cols>
          <w:pgMar w:left="240" w:top="131" w:right="239" w:bottom="79" w:gutter="0" w:footer="0" w:header="0"/>
        </w:sectPr>
      </w:pPr>
    </w:p>
    <w:bookmarkStart w:id="48" w:name="page49"/>
    <w:bookmarkEnd w:id="48"/>
    <w:p>
      <w:pPr>
        <w:spacing w:after="0" w:line="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Business—The casino, hotel, convention and other facilities at Le Rêve will face intense competition."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 If Wynn Macau does not invest 4 billion patacas in casino projects by June 26, 2009, it is obligated to invest the remaining amount in projects related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25, 2002, as reported by the Monetary Authority of Macau).</w:t>
      </w:r>
    </w:p>
    <w:p>
      <w:pPr>
        <w:spacing w:after="0" w:line="161"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already begun planning for the</w:t>
      </w:r>
    </w:p>
    <w:p>
      <w:pPr>
        <w:sectPr>
          <w:pgSz w:w="11900" w:h="16924" w:orient="portrait"/>
          <w:cols w:equalWidth="0" w:num="1">
            <w:col w:w="11420"/>
          </w:cols>
          <w:pgMar w:left="240" w:top="131" w:right="239" w:bottom="0" w:gutter="0" w:footer="0" w:header="0"/>
        </w:sectPr>
      </w:pPr>
    </w:p>
    <w:bookmarkStart w:id="49" w:name="page50"/>
    <w:bookmarkEnd w:id="49"/>
    <w:p>
      <w:pPr>
        <w:spacing w:after="0" w:line="306" w:lineRule="auto"/>
        <w:rPr>
          <w:sz w:val="20"/>
          <w:szCs w:val="20"/>
          <w:color w:val="auto"/>
        </w:rPr>
      </w:pPr>
      <w:r>
        <w:rPr>
          <w:rFonts w:ascii="Arial" w:cs="Arial" w:eastAsia="Arial" w:hAnsi="Arial"/>
          <w:sz w:val="16"/>
          <w:szCs w:val="16"/>
          <w:color w:val="auto"/>
        </w:rPr>
        <w:t>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61"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 phase of Wynn Macau's first casino resort. At the present time, Wynn Macau has not yet determined the amount of financing that will be required to complete the initial phase.</w:t>
      </w:r>
    </w:p>
    <w:p>
      <w:pPr>
        <w:spacing w:after="0" w:line="197" w:lineRule="exact"/>
        <w:rPr>
          <w:sz w:val="20"/>
          <w:szCs w:val="20"/>
          <w:color w:val="auto"/>
        </w:rPr>
      </w:pPr>
    </w:p>
    <w:p>
      <w:pPr>
        <w:jc w:val="both"/>
        <w:ind w:right="40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the organizational structure of Wynn Resorts' Macau-related subsidiaries immediately after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099175" cy="59023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as nominee for Wynn Resorts (Macau) Holdings, Ltd.</w:t>
      </w:r>
    </w:p>
    <w:p>
      <w:pPr>
        <w:sectPr>
          <w:pgSz w:w="11900" w:h="16838" w:orient="portrait"/>
          <w:cols w:equalWidth="0" w:num="1">
            <w:col w:w="11380"/>
          </w:cols>
          <w:pgMar w:left="240" w:top="131" w:right="279" w:bottom="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31" w:right="279" w:bottom="0" w:gutter="0" w:footer="0" w:header="0"/>
          <w:type w:val="continuous"/>
        </w:sectPr>
      </w:pPr>
    </w:p>
    <w:bookmarkStart w:id="50" w:name="page51"/>
    <w:bookmarkEnd w:id="50"/>
    <w:p>
      <w:pPr>
        <w:ind w:firstLine="348"/>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Wynn Resorts' Ownership of Macau-Related Entities. </w:t>
      </w:r>
      <w:r>
        <w:rPr>
          <w:rFonts w:ascii="Arial" w:cs="Arial" w:eastAsia="Arial" w:hAnsi="Arial"/>
          <w:sz w:val="16"/>
          <w:szCs w:val="16"/>
          <w:color w:val="auto"/>
        </w:rPr>
        <w:t>Wynn Resorts currently owns an approximately 82.5% economic interest in Wynn Macau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various subsidiaries and effectively controls 90% of the vote of Wynn Macau. In the aggregate, Wynn Resorts has contributed approximately $23.8 million, including shares of Wynn Macau with an aggregate par value of approximately $337,500, to the Macau-related entities.</w:t>
      </w:r>
    </w:p>
    <w:p>
      <w:pPr>
        <w:spacing w:after="0" w:line="16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holds certain shares of Wynn Macau directly, representing approximately 39% of the capital and voting power and approximately 49% of the dividends and other distributions in excess of capital contributed. Wynn Resorts International also owns approximately 33.5% of the capital and dividend participation in and effectively controls approximately 51% of the vote of, Wynn Macau indirectly through its majority-owned subsidiary, Wynn Resorts (Macau) Holdings, Ltd., a Manx company. Wynn Resorts International is also entitled to a liquidation preference in Wynn Resorts (Macau) Holdings that effectively represents an additional 10% interest in the capital of Wynn Macau. Wynn Resorts (Macau) Holdings owns 100% of Wynn Resorts (Macau), Limited, a Hong Kong company. Wynn Resorts (Macau), Limited in turn owns approximately 51% of Wynn Macau.</w:t>
      </w:r>
    </w:p>
    <w:p>
      <w:pPr>
        <w:spacing w:after="0" w:line="172"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20" w:firstLine="351"/>
        <w:spacing w:after="0" w:line="282" w:lineRule="auto"/>
        <w:rPr>
          <w:sz w:val="20"/>
          <w:szCs w:val="20"/>
          <w:color w:val="auto"/>
        </w:rPr>
      </w:pPr>
      <w:r>
        <w:rPr>
          <w:rFonts w:ascii="Arial" w:cs="Arial" w:eastAsia="Arial" w:hAnsi="Arial"/>
          <w:sz w:val="16"/>
          <w:szCs w:val="16"/>
          <w:b w:val="1"/>
          <w:bCs w:val="1"/>
          <w:i w:val="1"/>
          <w:iCs w:val="1"/>
          <w:color w:val="auto"/>
        </w:rPr>
        <w:t xml:space="preserve">Minority Ownership of the Macau-Related Entities. </w:t>
      </w:r>
      <w:r>
        <w:rPr>
          <w:rFonts w:ascii="Arial" w:cs="Arial" w:eastAsia="Arial" w:hAnsi="Arial"/>
          <w:sz w:val="16"/>
          <w:szCs w:val="16"/>
          <w:color w:val="auto"/>
        </w:rPr>
        <w:t>Mr. Wong Chi Seng, who is the executive director of Wynn Macau, owns,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rights to capital and dividends and effectively controls approximately 10% of the vote of Wynn Macau. Other investors own, indirectly, approximately 7.5% of the rights to dividends and capital of Wynn Macau. The direct and indirect minority interests of Wynn Macau are held at two levels: at the Wynn Resorts (Macau) Holdings level and directly at the Wynn Macau level. Mr. Wong Chi Seng indirectly owns shares representing approximately 11.8% of the voting power and 19.6% of the capital and dividend participation in Wynn Resorts (Macau) Holdings. In exchange for these shares, Mr. Wong contributed to 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purchased his shares in Wynn Macau for an aggregate of approximately $2.5 million.</w:t>
      </w:r>
    </w:p>
    <w:p>
      <w:pPr>
        <w:spacing w:after="0" w:line="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Mr. Wong's shares have the same voting rights as do the other shares in Wynn Macau, but they are limited in their participation in dividends to up to one pataca per year, in the aggregate, and limited in other distributions to their share of the capital contributed.</w:t>
      </w:r>
    </w:p>
    <w:p>
      <w:pPr>
        <w:spacing w:after="0" w:line="19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investors, who are related to each other, collectively contributed cash of approximately $2.2 million and own shares representing approximately 8.9% of the voting power and 14.7% of capital and dividend participation in Wynn Resorts (Macau)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ectPr>
          <w:pgSz w:w="11900" w:h="16838" w:orient="portrait"/>
          <w:cols w:equalWidth="0" w:num="1">
            <w:col w:w="11420"/>
          </w:cols>
          <w:pgMar w:left="240" w:top="374" w:right="2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1761490</wp:posOffset>
            </wp:positionH>
            <wp:positionV relativeFrom="page">
              <wp:posOffset>88900</wp:posOffset>
            </wp:positionV>
            <wp:extent cx="4039235" cy="5617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ectPr>
          <w:pgSz w:w="11900" w:h="16838" w:orient="portrait"/>
          <w:cols w:equalWidth="0" w:num="1">
            <w:col w:w="11400"/>
          </w:cols>
          <w:pgMar w:left="240" w:top="1440" w:right="259" w:bottom="0" w:gutter="0" w:footer="0" w:header="0"/>
        </w:sectPr>
      </w:pPr>
    </w:p>
    <w:p>
      <w:pPr>
        <w:spacing w:after="0" w:line="20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ectPr>
          <w:pgSz w:w="11900" w:h="16838" w:orient="portrait"/>
          <w:cols w:equalWidth="0" w:num="1">
            <w:col w:w="11400"/>
          </w:cols>
          <w:pgMar w:left="240" w:top="1440" w:right="259" w:bottom="0" w:gutter="0" w:footer="0" w:header="0"/>
          <w:type w:val="continuous"/>
        </w:sectPr>
      </w:pPr>
    </w:p>
    <w:bookmarkStart w:id="52" w:name="page53"/>
    <w:bookmarkEnd w:id="52"/>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Regional Competition. </w:t>
      </w:r>
      <w:r>
        <w:rPr>
          <w:rFonts w:ascii="Arial" w:cs="Arial" w:eastAsia="Arial" w:hAnsi="Arial"/>
          <w:sz w:val="15"/>
          <w:szCs w:val="15"/>
          <w:color w:val="auto"/>
        </w:rPr>
        <w:t>Wynn Macau will face competition from casinos located in other areas of Asia, such as the major gaming and resort destination,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w:t>
      </w:r>
    </w:p>
    <w:p>
      <w:pPr>
        <w:sectPr>
          <w:pgSz w:w="11900" w:h="16838" w:orient="portrait"/>
          <w:cols w:equalWidth="0" w:num="1">
            <w:col w:w="11420"/>
          </w:cols>
          <w:pgMar w:left="240" w:top="131" w:right="239" w:bottom="0" w:gutter="0" w:footer="0" w:header="0"/>
        </w:sectPr>
      </w:pPr>
    </w:p>
    <w:bookmarkStart w:id="53" w:name="page54"/>
    <w:bookmarkEnd w:id="53"/>
    <w:p>
      <w:pPr>
        <w:spacing w:after="0" w:line="12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Asia that offer gaming, and illegal casinos throughout Asia. Further, if current efforts to legalize gaming in Penghu, Taiwan are successful or if the reported large-scale new casino entertainment complex proposed in Manila, Philippines is developed, Wynn Macau will face additional regional competition.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w:t>
      </w:r>
    </w:p>
    <w:p>
      <w:pPr>
        <w:sectPr>
          <w:pgSz w:w="11900" w:h="16962" w:orient="portrait"/>
          <w:cols w:equalWidth="0" w:num="1">
            <w:col w:w="11420"/>
          </w:cols>
          <w:pgMar w:left="240" w:top="131"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our water rights.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ectPr>
          <w:pgSz w:w="11900" w:h="16838" w:orient="portrait"/>
          <w:cols w:equalWidth="0" w:num="1">
            <w:col w:w="11400"/>
          </w:cols>
          <w:pgMar w:left="240" w:top="131" w:right="259" w:bottom="0" w:gutter="0" w:footer="0" w:header="0"/>
        </w:sectPr>
      </w:pPr>
    </w:p>
    <w:bookmarkStart w:id="55" w:name="page56"/>
    <w:bookmarkEnd w:id="55"/>
    <w:p>
      <w:pPr>
        <w:spacing w:after="0" w:line="40"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 construction costs, plus required contingency, in accordance with our construction budget. Accordingly, if Marnell Corrao spends greater amounts than anticipated in respect of any component of the work, Wynn Las Vegas may be denied further access to the proceeds of the second mortgage notes and further drawings under the credit facilities.</w:t>
      </w:r>
    </w:p>
    <w:p>
      <w:pPr>
        <w:spacing w:after="0" w:line="17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ectPr>
          <w:pgSz w:w="11900" w:h="16879" w:orient="portrait"/>
          <w:cols w:equalWidth="0" w:num="1">
            <w:col w:w="11400"/>
          </w:cols>
          <w:pgMar w:left="240" w:top="145" w:right="259" w:bottom="0" w:gutter="0" w:footer="0" w:header="0"/>
        </w:sectPr>
      </w:pPr>
    </w:p>
    <w:bookmarkStart w:id="56" w:name="page57"/>
    <w:bookmarkEnd w:id="56"/>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70" w:lineRule="auto"/>
        <w:tabs>
          <w:tab w:leader="none" w:pos="10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29"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w:t>
      </w:r>
    </w:p>
    <w:p>
      <w:pPr>
        <w:sectPr>
          <w:pgSz w:w="11900" w:h="16838" w:orient="portrait"/>
          <w:cols w:equalWidth="0" w:num="1">
            <w:col w:w="11420"/>
          </w:cols>
          <w:pgMar w:left="240" w:top="145" w:right="239" w:bottom="0" w:gutter="0" w:footer="0" w:header="0"/>
        </w:sectPr>
      </w:pPr>
    </w:p>
    <w:bookmarkStart w:id="57" w:name="page58"/>
    <w:bookmarkEnd w:id="57"/>
    <w:p>
      <w:pPr>
        <w:spacing w:after="0" w:line="5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w:t>
      </w:r>
    </w:p>
    <w:p>
      <w:pPr>
        <w:sectPr>
          <w:pgSz w:w="11900" w:h="16894" w:orient="portrait"/>
          <w:cols w:equalWidth="0" w:num="1">
            <w:col w:w="11400"/>
          </w:cols>
          <w:pgMar w:left="240" w:top="131" w:right="259" w:bottom="0" w:gutter="0" w:footer="0" w:header="0"/>
        </w:sectPr>
      </w:pPr>
    </w:p>
    <w:bookmarkStart w:id="58" w:name="page59"/>
    <w:bookmarkEnd w:id="58"/>
    <w:p>
      <w:pPr>
        <w:ind w:right="400"/>
        <w:spacing w:after="0" w:line="298" w:lineRule="auto"/>
        <w:rPr>
          <w:sz w:val="20"/>
          <w:szCs w:val="20"/>
          <w:color w:val="auto"/>
        </w:rPr>
      </w:pPr>
      <w:r>
        <w:rPr>
          <w:rFonts w:ascii="Arial" w:cs="Arial" w:eastAsia="Arial" w:hAnsi="Arial"/>
          <w:sz w:val="16"/>
          <w:szCs w:val="16"/>
          <w:color w:val="auto"/>
        </w:rPr>
        <w:t>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199" w:lineRule="exact"/>
        <w:rPr>
          <w:sz w:val="20"/>
          <w:szCs w:val="20"/>
          <w:color w:val="auto"/>
        </w:rPr>
      </w:pPr>
    </w:p>
    <w:p>
      <w:pPr>
        <w:ind w:left="1080" w:right="4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ectPr>
          <w:pgSz w:w="11900" w:h="16838" w:orient="portrait"/>
          <w:cols w:equalWidth="0" w:num="1">
            <w:col w:w="11420"/>
          </w:cols>
          <w:pgMar w:left="240" w:top="131" w:right="239" w:bottom="2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0" w:gutter="0" w:footer="0" w:header="0"/>
          <w:type w:val="continuous"/>
        </w:sectPr>
      </w:pPr>
    </w:p>
    <w:bookmarkStart w:id="59" w:name="page60"/>
    <w:bookmarkEnd w:id="59"/>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0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ectPr>
          <w:pgSz w:w="11900" w:h="16838" w:orient="portrait"/>
          <w:cols w:equalWidth="0" w:num="1">
            <w:col w:w="11380"/>
          </w:cols>
          <w:pgMar w:left="240" w:top="590" w:right="279" w:bottom="29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290" w:gutter="0" w:footer="0" w:header="0"/>
          <w:type w:val="continuous"/>
        </w:sectPr>
      </w:pPr>
    </w:p>
    <w:bookmarkStart w:id="60" w:name="page61"/>
    <w:bookmarkEnd w:id="60"/>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25,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Macau, an indirect, 82.5%-owned subsidiary of Wynn Resorts,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 million) in one or more casino projects in Macau by June 26, 2009, and to commence operations of its first permanent casino resort in Macau no later than December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w:t>
      </w:r>
    </w:p>
    <w:p>
      <w:pPr>
        <w:sectPr>
          <w:pgSz w:w="11900" w:h="16858" w:orient="portrait"/>
          <w:cols w:equalWidth="0" w:num="1">
            <w:col w:w="11400"/>
          </w:cols>
          <w:pgMar w:left="240" w:top="341" w:right="259" w:bottom="0" w:gutter="0" w:footer="0" w:header="0"/>
        </w:sectPr>
      </w:pPr>
    </w:p>
    <w:bookmarkStart w:id="61" w:name="page62"/>
    <w:bookmarkEnd w:id="61"/>
    <w:p>
      <w:pPr>
        <w:ind w:right="80"/>
        <w:spacing w:after="0" w:line="332" w:lineRule="auto"/>
        <w:rPr>
          <w:sz w:val="20"/>
          <w:szCs w:val="20"/>
          <w:color w:val="auto"/>
        </w:rPr>
      </w:pPr>
      <w:r>
        <w:rPr>
          <w:rFonts w:ascii="Arial" w:cs="Arial" w:eastAsia="Arial" w:hAnsi="Arial"/>
          <w:sz w:val="16"/>
          <w:szCs w:val="16"/>
          <w:color w:val="auto"/>
        </w:rPr>
        <w:t>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ectPr>
          <w:pgSz w:w="11900" w:h="16838" w:orient="portrait"/>
          <w:cols w:equalWidth="0" w:num="1">
            <w:col w:w="11400"/>
          </w:cols>
          <w:pgMar w:left="240" w:top="131" w:right="259" w:bottom="0" w:gutter="0" w:footer="0" w:header="0"/>
        </w:sectPr>
      </w:pPr>
    </w:p>
    <w:bookmarkStart w:id="62" w:name="page63"/>
    <w:bookmarkEnd w:id="62"/>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 agreement. However, the concession agreement is unclear how the compensation provision applies if more than one resort-hotel-casino is built.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ectPr>
          <w:pgSz w:w="11900" w:h="16838" w:orient="portrait"/>
          <w:cols w:equalWidth="0" w:num="1">
            <w:col w:w="11420"/>
          </w:cols>
          <w:pgMar w:left="240" w:top="125" w:right="239" w:bottom="0" w:gutter="0" w:footer="0" w:header="0"/>
        </w:sectPr>
      </w:pPr>
    </w:p>
    <w:bookmarkStart w:id="63" w:name="page64"/>
    <w:bookmarkEnd w:id="63"/>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2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w:t>
      </w:r>
    </w:p>
    <w:p>
      <w:pPr>
        <w:sectPr>
          <w:pgSz w:w="11900" w:h="16838" w:orient="portrait"/>
          <w:cols w:equalWidth="0" w:num="1">
            <w:col w:w="11420"/>
          </w:cols>
          <w:pgMar w:left="240" w:top="131" w:right="239" w:bottom="0" w:gutter="0" w:footer="0" w:header="0"/>
        </w:sectPr>
      </w:pPr>
    </w:p>
    <w:bookmarkStart w:id="64" w:name="page65"/>
    <w:bookmarkEnd w:id="64"/>
    <w:p>
      <w:pPr>
        <w:spacing w:after="0" w:line="2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would, to the extent permitted by law, seek to recover our investment by selling the property affected, but we cannot assure you that we would recover its full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ectPr>
          <w:pgSz w:w="11900" w:h="16860" w:orient="portrait"/>
          <w:cols w:equalWidth="0" w:num="1">
            <w:col w:w="11400"/>
          </w:cols>
          <w:pgMar w:left="240" w:top="131" w:right="259" w:bottom="0" w:gutter="0" w:footer="0" w:header="0"/>
        </w:sectPr>
      </w:pPr>
    </w:p>
    <w:bookmarkStart w:id="65" w:name="page66"/>
    <w:bookmarkEnd w:id="65"/>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this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w:t>
      </w:r>
    </w:p>
    <w:p>
      <w:pPr>
        <w:sectPr>
          <w:pgSz w:w="11900" w:h="16838" w:orient="portrait"/>
          <w:cols w:equalWidth="0" w:num="1">
            <w:col w:w="11420"/>
          </w:cols>
          <w:pgMar w:left="240" w:top="131" w:right="239" w:bottom="0" w:gutter="0" w:footer="0" w:header="0"/>
        </w:sectPr>
      </w:pPr>
    </w:p>
    <w:bookmarkStart w:id="66" w:name="page67"/>
    <w:bookmarkEnd w:id="66"/>
    <w:p>
      <w:pPr>
        <w:spacing w:after="0" w:line="1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would otherwise be inconsistent with the declared policies of the State of Nevada. If the beneficial holder of the voting securities of Wynn Resorts who must be found suitable is a corporation, partnership, limited partnership,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jc w:val="right"/>
        <w:ind w:left="5580" w:right="5580" w:hanging="5032"/>
        <w:spacing w:after="0" w:line="455" w:lineRule="auto"/>
        <w:tabs>
          <w:tab w:leader="none" w:pos="1083" w:val="left"/>
        </w:tabs>
        <w:numPr>
          <w:ilvl w:val="0"/>
          <w:numId w:val="79"/>
        </w:numPr>
        <w:rPr>
          <w:rFonts w:ascii="Arial" w:cs="Arial" w:eastAsia="Arial" w:hAnsi="Arial"/>
          <w:sz w:val="15"/>
          <w:szCs w:val="15"/>
          <w:color w:val="auto"/>
        </w:rPr>
      </w:pPr>
      <w:r>
        <w:rPr>
          <w:rFonts w:ascii="Arial" w:cs="Arial" w:eastAsia="Arial" w:hAnsi="Arial"/>
          <w:sz w:val="15"/>
          <w:szCs w:val="15"/>
          <w:color w:val="auto"/>
        </w:rPr>
        <w:t>pay that person any dividend or interest upon any voting securities; 117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w:t>
      </w:r>
    </w:p>
    <w:p>
      <w:pPr>
        <w:sectPr>
          <w:pgSz w:w="11900" w:h="16852" w:orient="portrait"/>
          <w:cols w:equalWidth="0" w:num="1">
            <w:col w:w="11420"/>
          </w:cols>
          <w:pgMar w:left="240" w:top="131" w:right="239" w:bottom="0" w:gutter="0" w:footer="0" w:header="0"/>
        </w:sectPr>
      </w:pPr>
    </w:p>
    <w:bookmarkStart w:id="67" w:name="page68"/>
    <w:bookmarkEnd w:id="67"/>
    <w:p>
      <w:pPr>
        <w:spacing w:after="0" w:line="2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redemption and other restrictions set forth in Wynn Resorts' articles of incorporation and bylaws and that the shares are, or may become, subject to restrictions imposed by applicable gaming laws.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its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66" w:orient="portrait"/>
          <w:cols w:equalWidth="0" w:num="1">
            <w:col w:w="11420"/>
          </w:cols>
          <w:pgMar w:left="240" w:top="131" w:right="239" w:bottom="0" w:gutter="0" w:footer="0" w:header="0"/>
        </w:sectPr>
      </w:pPr>
    </w:p>
    <w:bookmarkStart w:id="68" w:name="page69"/>
    <w:bookmarkEnd w:id="68"/>
    <w:p>
      <w:pPr>
        <w:ind w:left="1080"/>
        <w:spacing w:after="0"/>
        <w:rPr>
          <w:sz w:val="20"/>
          <w:szCs w:val="20"/>
          <w:color w:val="auto"/>
        </w:rPr>
      </w:pPr>
      <w:r>
        <w:rPr>
          <w:rFonts w:ascii="Arial" w:cs="Arial" w:eastAsia="Arial" w:hAnsi="Arial"/>
          <w:sz w:val="18"/>
          <w:szCs w:val="18"/>
          <w:color w:val="auto"/>
        </w:rPr>
        <w:t>a percentage of the gross revenue received;</w:t>
      </w:r>
    </w:p>
    <w:p>
      <w:pPr>
        <w:spacing w:after="0" w:line="23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7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w:t>
      </w:r>
    </w:p>
    <w:p>
      <w:pPr>
        <w:sectPr>
          <w:pgSz w:w="11900" w:h="16838" w:orient="portrait"/>
          <w:cols w:equalWidth="0" w:num="1">
            <w:col w:w="11420"/>
          </w:cols>
          <w:pgMar w:left="240" w:top="131" w:right="239" w:bottom="47"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7"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color w:val="auto"/>
        </w:rPr>
        <w:t>transportation, accommodations, food and beverage services and entertainment in exchange for commissions or other compensation from a concessionaire.</w:t>
      </w:r>
    </w:p>
    <w:p>
      <w:pPr>
        <w:spacing w:after="0" w:line="24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27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w:t>
            </w:r>
          </w:p>
        </w:tc>
      </w:tr>
      <w:tr>
        <w:trPr>
          <w:trHeight w:val="20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35</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-2413635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-2413635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-2413635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-2413635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-2413635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-2413635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since October 2002.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ectPr>
          <w:pgSz w:w="11900" w:h="16838" w:orient="portrait"/>
          <w:cols w:equalWidth="0" w:num="1">
            <w:col w:w="11400"/>
          </w:cols>
          <w:pgMar w:left="240" w:top="590" w:right="259" w:bottom="0" w:gutter="0" w:footer="0" w:header="0"/>
        </w:sectPr>
      </w:pPr>
    </w:p>
    <w:bookmarkStart w:id="70" w:name="page71"/>
    <w:bookmarkEnd w:id="70"/>
    <w:p>
      <w:pPr>
        <w:spacing w:after="0" w:line="9"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since October 2002. Mr. Kramer has served as President of Wynn Resorts Holdings, a wholly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indirect 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served as a director since October 2002. Robert J. Miller has been a partner of the Nevada law firm of Jones Vargas since January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since October 2002. Mr. Moran is the retired Chairman of Dyson-Kissner-Moran Corporation, a private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served as a director since October 2002.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since October 2002.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since October 2002. Mr. Zeman has served as chairman of Lan Kwai Fong Holdings Limited, a company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Since November 2001, Mr. Strzemp 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Since April 2001, Mr. Rubinstein has served as Senior Vice President—General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pacing w:after="0" w:line="17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ectPr>
          <w:pgSz w:w="11900" w:h="16847" w:orient="portrait"/>
          <w:cols w:equalWidth="0" w:num="1">
            <w:col w:w="11380"/>
          </w:cols>
          <w:pgMar w:left="240" w:top="131" w:right="279" w:bottom="0" w:gutter="0" w:footer="0" w:header="0"/>
        </w:sectPr>
      </w:pPr>
    </w:p>
    <w:bookmarkStart w:id="71" w:name="page72"/>
    <w:bookmarkEnd w:id="71"/>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3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6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2"/>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2"/>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-1932940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-1932940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-1590040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-1590040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-1590040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-1590040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-1590040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-1590040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-1590040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-1590040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-1590040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-1590040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-1590040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4020" w:type="dxa"/>
            <w:vAlign w:val="bottom"/>
            <w:gridSpan w:val="2"/>
          </w:tcPr>
          <w:p>
            <w:pPr>
              <w:spacing w:after="0"/>
              <w:rPr>
                <w:sz w:val="20"/>
                <w:szCs w:val="20"/>
                <w:color w:val="auto"/>
              </w:rPr>
            </w:pPr>
            <w:r>
              <w:rPr>
                <w:rFonts w:ascii="Arial" w:cs="Arial" w:eastAsia="Arial" w:hAnsi="Arial"/>
                <w:sz w:val="14"/>
                <w:szCs w:val="14"/>
                <w:color w:val="auto"/>
              </w:rPr>
              <w:t>Marc H. Rubinstein(9)</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2001</w:t>
            </w:r>
          </w:p>
        </w:tc>
        <w:tc>
          <w:tcPr>
            <w:tcW w:w="48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286,279</w:t>
            </w:r>
          </w:p>
        </w:tc>
        <w:tc>
          <w:tcPr>
            <w:tcW w:w="460" w:type="dxa"/>
            <w:vAlign w:val="bottom"/>
          </w:tcPr>
          <w:p>
            <w:pPr>
              <w:spacing w:after="0"/>
              <w:rPr>
                <w:sz w:val="14"/>
                <w:szCs w:val="14"/>
                <w:color w:val="auto"/>
              </w:rPr>
            </w:pP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11,847</w:t>
            </w: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2000</w:t>
            </w:r>
          </w:p>
        </w:tc>
        <w:tc>
          <w:tcPr>
            <w:tcW w:w="48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113,708</w:t>
            </w:r>
          </w:p>
        </w:tc>
        <w:tc>
          <w:tcPr>
            <w:tcW w:w="46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92"/>
              <w:spacing w:after="0"/>
              <w:rPr>
                <w:sz w:val="20"/>
                <w:szCs w:val="20"/>
                <w:color w:val="auto"/>
              </w:rPr>
            </w:pPr>
            <w:r>
              <w:rPr>
                <w:rFonts w:ascii="Arial" w:cs="Arial" w:eastAsia="Arial" w:hAnsi="Arial"/>
                <w:sz w:val="14"/>
                <w:szCs w:val="14"/>
                <w:color w:val="auto"/>
              </w:rPr>
              <w:t>12,500</w:t>
            </w:r>
          </w:p>
        </w:tc>
        <w:tc>
          <w:tcPr>
            <w:tcW w:w="1220" w:type="dxa"/>
            <w:vAlign w:val="bottom"/>
          </w:tcPr>
          <w:p>
            <w:pPr>
              <w:ind w:left="9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11,883</w:t>
            </w:r>
          </w:p>
        </w:tc>
      </w:tr>
      <w:tr>
        <w:trPr>
          <w:trHeight w:val="105"/>
        </w:trPr>
        <w:tc>
          <w:tcPr>
            <w:tcW w:w="680" w:type="dxa"/>
            <w:vAlign w:val="bottom"/>
            <w:tcBorders>
              <w:bottom w:val="single" w:sz="8" w:color="808080"/>
            </w:tcBorders>
          </w:tcPr>
          <w:p>
            <w:pPr>
              <w:spacing w:after="0"/>
              <w:rPr>
                <w:sz w:val="9"/>
                <w:szCs w:val="9"/>
                <w:color w:val="auto"/>
              </w:rPr>
            </w:pPr>
          </w:p>
        </w:tc>
        <w:tc>
          <w:tcPr>
            <w:tcW w:w="3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5"/>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Stephen A. Wynn served as managing member of Valvino from its inception to September 2002 and has served as Chief Executive Officer and President of Wynn Resorts Holdings since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5"/>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5"/>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5"/>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outstanding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w:t>
      </w:r>
    </w:p>
    <w:p>
      <w:pPr>
        <w:sectPr>
          <w:pgSz w:w="11900" w:h="16838" w:orient="portrait"/>
          <w:cols w:equalWidth="0" w:num="1">
            <w:col w:w="11420"/>
          </w:cols>
          <w:pgMar w:left="240" w:top="265" w:right="239" w:bottom="0" w:gutter="0" w:footer="0" w:header="0"/>
        </w:sectPr>
      </w:pPr>
    </w:p>
    <w:bookmarkStart w:id="73" w:name="page74"/>
    <w:bookmarkEnd w:id="73"/>
    <w:p>
      <w:pPr>
        <w:spacing w:after="0" w:line="14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John Strzemp, Marc D. Schorr, Marc H. Rubinstein, DeRuyter O. Butler and Kenneth R. Wynn.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Stephen A. Wynn's employment agreement, the annual base salary is $1,250,000 for the first year and will increase by $500,000 each year to a maximum of $2,750,000. Under Mr. Schorr's employment agreement, the annual base salary is $750,000 for the first year and $1,000,000 thereafter. The annual base salary is $459,000 for Mr. Strzemp, $360,000 for Mr. Rubinstein, $350,000 for Mr. Butler and $250,000 for Kenneth Wynn.</w:t>
      </w:r>
    </w:p>
    <w:p>
      <w:pPr>
        <w:spacing w:after="0" w:line="16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Except as provided below, if the executive's employment terminates for any other reason before the expiration of the term (i.e.,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w:t>
      </w:r>
    </w:p>
    <w:p>
      <w:pPr>
        <w:sectPr>
          <w:pgSz w:w="11900" w:h="16979" w:orient="portrait"/>
          <w:cols w:equalWidth="0" w:num="1">
            <w:col w:w="11400"/>
          </w:cols>
          <w:pgMar w:left="240" w:top="131" w:right="259" w:bottom="0" w:gutter="0" w:footer="0" w:header="0"/>
        </w:sectPr>
      </w:pPr>
    </w:p>
    <w:bookmarkStart w:id="74" w:name="page75"/>
    <w:bookmarkEnd w:id="74"/>
    <w:p>
      <w:pPr>
        <w:spacing w:after="0" w:line="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7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ectPr>
          <w:pgSz w:w="11900" w:h="16924" w:orient="portrait"/>
          <w:cols w:equalWidth="0" w:num="1">
            <w:col w:w="11420"/>
          </w:cols>
          <w:pgMar w:left="240" w:top="131" w:right="239" w:bottom="0" w:gutter="0" w:footer="0" w:header="0"/>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42"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309" w:lineRule="auto"/>
        <w:rPr>
          <w:sz w:val="20"/>
          <w:szCs w:val="20"/>
          <w:color w:val="auto"/>
        </w:rPr>
      </w:pPr>
      <w:r>
        <w:rPr>
          <w:rFonts w:ascii="Arial" w:cs="Arial" w:eastAsia="Arial" w:hAnsi="Arial"/>
          <w:sz w:val="15"/>
          <w:szCs w:val="15"/>
          <w:b w:val="1"/>
          <w:bCs w:val="1"/>
          <w:i w:val="1"/>
          <w:iCs w:val="1"/>
          <w:color w:val="auto"/>
        </w:rPr>
        <w:t xml:space="preserve">Aircraft Arrangements. </w:t>
      </w:r>
      <w:r>
        <w:rPr>
          <w:rFonts w:ascii="Arial" w:cs="Arial" w:eastAsia="Arial" w:hAnsi="Arial"/>
          <w:sz w:val="15"/>
          <w:szCs w:val="15"/>
          <w:color w:val="auto"/>
        </w:rPr>
        <w:t>Until January 2002, Valvino used a Gulfstream Aerospace model G-1159A aircraft in its business operations. The aircraft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w:t>
      </w:r>
    </w:p>
    <w:p>
      <w:pPr>
        <w:sectPr>
          <w:pgSz w:w="11900" w:h="16838" w:orient="portrait"/>
          <w:cols w:equalWidth="0" w:num="1">
            <w:col w:w="11400"/>
          </w:cols>
          <w:pgMar w:left="240" w:top="131" w:right="259" w:bottom="0" w:gutter="0" w:footer="0" w:header="0"/>
        </w:sectPr>
      </w:pPr>
    </w:p>
    <w:bookmarkStart w:id="76" w:name="page77"/>
    <w:bookmarkEnd w:id="76"/>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 by Mr. Wynn. Valvino paid Las Vegas Jet approximately $356,000 for the use of its aircraft during this period. Wynn Macau paid Las Vegas Jet approximately $211,000 for its use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aircraft during the period following the contribution by Wynn Macau to Valvino and prior to May 30, 2002.</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Management Agreement. </w:t>
      </w:r>
      <w:r>
        <w:rPr>
          <w:rFonts w:ascii="Arial" w:cs="Arial" w:eastAsia="Arial" w:hAnsi="Arial"/>
          <w:sz w:val="16"/>
          <w:szCs w:val="16"/>
          <w:color w:val="auto"/>
        </w:rPr>
        <w:t>Wynn Resorts will enter into a management agreement with the restricted entities to provide management and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Valvino and its subsidiaries.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b w:val="1"/>
          <w:bCs w:val="1"/>
          <w:i w:val="1"/>
          <w:iCs w:val="1"/>
          <w:color w:val="auto"/>
        </w:rPr>
        <w:t xml:space="preserve">Certain Business Relationships. </w:t>
      </w:r>
      <w:r>
        <w:rPr>
          <w:rFonts w:ascii="Arial" w:cs="Arial" w:eastAsia="Arial" w:hAnsi="Arial"/>
          <w:sz w:val="15"/>
          <w:szCs w:val="15"/>
          <w:color w:val="auto"/>
        </w:rPr>
        <w:t>From July 1999 to October 2001, Ronald J. Kramer was a managing director at Dresdner Kleinwort Wasserstein and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predecessor, Wasserstein Perella &amp; Co. Affiliates of Dresdner Kleinwort Wasserstein are acting as a co-lead managing underwriter in this offering and a joint</w:t>
      </w:r>
    </w:p>
    <w:p>
      <w:pPr>
        <w:sectPr>
          <w:pgSz w:w="11900" w:h="16962" w:orient="portrait"/>
          <w:cols w:equalWidth="0" w:num="1">
            <w:col w:w="11420"/>
          </w:cols>
          <w:pgMar w:left="240" w:top="131" w:right="239" w:bottom="0" w:gutter="0" w:footer="0" w:header="0"/>
        </w:sectPr>
      </w:pPr>
    </w:p>
    <w:bookmarkStart w:id="77" w:name="page78"/>
    <w:bookmarkEnd w:id="77"/>
    <w:p>
      <w:pPr>
        <w:ind w:right="700"/>
        <w:spacing w:after="0" w:line="268" w:lineRule="auto"/>
        <w:rPr>
          <w:sz w:val="20"/>
          <w:szCs w:val="20"/>
          <w:color w:val="auto"/>
        </w:rPr>
      </w:pPr>
      <w:r>
        <w:rPr>
          <w:rFonts w:ascii="Arial" w:cs="Arial" w:eastAsia="Arial" w:hAnsi="Arial"/>
          <w:sz w:val="18"/>
          <w:szCs w:val="18"/>
          <w:color w:val="auto"/>
        </w:rPr>
        <w:t>book-running manager in the offering of the second mortgage notes by Wynn Las Vegas and Wynn Capital. In addition, affiliates of Dresdner Kleinwort Wasserstein may participate in the credit facilities and/or FF&amp;E facility.</w:t>
      </w:r>
    </w:p>
    <w:p>
      <w:pPr>
        <w:spacing w:after="0" w:line="186"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w:t>
      </w:r>
      <w:r>
        <w:rPr>
          <w:rFonts w:ascii="Arial" w:cs="Arial" w:eastAsia="Arial" w:hAnsi="Arial"/>
          <w:sz w:val="16"/>
          <w:szCs w:val="16"/>
          <w:color w:val="auto"/>
        </w:rPr>
        <w:t>Each of Stephen A. Wynn, Chairman of the Board, Chief Executive Officer and a principal stockholder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Aruze USA, a principal stockholder of Wynn Resorts, has expressed interest in purchasing 5,769,231 shares of common stock directly from us at the price being offered to the public. Wynn Resorts intends to offer these shares directly to Mr. Wynn and Aruze USA as part of this offering.</w:t>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underwriters will not receive any underwriting discounts or commissions on any shares of common stock purchased by Mr. Wynn or Aruze USA.</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74,615,000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24,741,530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24,741,530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24,741,530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49,541,377</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240" w:hanging="532"/>
        <w:spacing w:after="0" w:line="205" w:lineRule="auto"/>
        <w:tabs>
          <w:tab w:leader="none" w:pos="540" w:val="left"/>
        </w:tabs>
        <w:numPr>
          <w:ilvl w:val="0"/>
          <w:numId w:val="92"/>
        </w:numPr>
        <w:rPr>
          <w:rFonts w:ascii="Arial" w:cs="Arial" w:eastAsia="Arial" w:hAnsi="Arial"/>
          <w:sz w:val="26"/>
          <w:szCs w:val="26"/>
          <w:color w:val="auto"/>
          <w:vertAlign w:val="subscript"/>
        </w:rPr>
      </w:pPr>
      <w:r>
        <w:rPr>
          <w:rFonts w:ascii="Arial" w:cs="Arial" w:eastAsia="Arial" w:hAnsi="Arial"/>
          <w:sz w:val="13"/>
          <w:szCs w:val="13"/>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 and percentage ownership after the offering include 5,769,231 shares of our common stock for which each of Mr. Wynn and Aruze USA, Inc. has expressed an interest in purchasing in this offering.</w:t>
      </w:r>
    </w:p>
    <w:p>
      <w:pPr>
        <w:spacing w:after="0" w:line="71" w:lineRule="exact"/>
        <w:rPr>
          <w:rFonts w:ascii="Arial" w:cs="Arial" w:eastAsia="Arial" w:hAnsi="Arial"/>
          <w:sz w:val="26"/>
          <w:szCs w:val="26"/>
          <w:color w:val="auto"/>
          <w:vertAlign w:val="subscript"/>
        </w:rPr>
      </w:pPr>
    </w:p>
    <w:p>
      <w:pPr>
        <w:ind w:left="540" w:right="200" w:hanging="532"/>
        <w:spacing w:after="0" w:line="186" w:lineRule="auto"/>
        <w:tabs>
          <w:tab w:leader="none" w:pos="540" w:val="left"/>
        </w:tabs>
        <w:numPr>
          <w:ilvl w:val="0"/>
          <w:numId w:val="92"/>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is denied by Nevada gaming authorities or withdrawn or is not filled within 90 days after the filing of Wynn Resorts' application.</w:t>
      </w:r>
    </w:p>
    <w:p>
      <w:pPr>
        <w:spacing w:after="0" w:line="163" w:lineRule="exact"/>
        <w:rPr>
          <w:sz w:val="20"/>
          <w:szCs w:val="20"/>
          <w:color w:val="auto"/>
        </w:rPr>
      </w:pPr>
    </w:p>
    <w:p>
      <w:pPr>
        <w:ind w:left="540" w:right="200" w:hanging="532"/>
        <w:spacing w:after="0" w:line="186" w:lineRule="auto"/>
        <w:tabs>
          <w:tab w:leader="none" w:pos="540" w:val="left"/>
        </w:tabs>
        <w:numPr>
          <w:ilvl w:val="0"/>
          <w:numId w:val="93"/>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87" w:lineRule="auto"/>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1" w:lineRule="exact"/>
        <w:rPr>
          <w:rFonts w:ascii="Arial" w:cs="Arial" w:eastAsia="Arial" w:hAnsi="Arial"/>
          <w:sz w:val="27"/>
          <w:szCs w:val="27"/>
          <w:color w:val="auto"/>
          <w:vertAlign w:val="subscript"/>
        </w:rPr>
      </w:pPr>
    </w:p>
    <w:p>
      <w:pPr>
        <w:ind w:left="540" w:right="220" w:hanging="532"/>
        <w:spacing w:after="0" w:line="186" w:lineRule="auto"/>
        <w:tabs>
          <w:tab w:leader="none" w:pos="540" w:val="left"/>
        </w:tabs>
        <w:numPr>
          <w:ilvl w:val="0"/>
          <w:numId w:val="93"/>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 Includes 11,538,462 shares in which Mr. Wynn and Aruze USA have expressed an interest in purchasing in this offering.</w:t>
      </w:r>
    </w:p>
    <w:p>
      <w:pPr>
        <w:spacing w:after="0" w:line="195" w:lineRule="exact"/>
        <w:rPr>
          <w:sz w:val="20"/>
          <w:szCs w:val="20"/>
          <w:color w:val="auto"/>
        </w:rPr>
      </w:pPr>
    </w:p>
    <w:p>
      <w:pPr>
        <w:ind w:right="8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ectPr>
          <w:pgSz w:w="11900" w:h="16838" w:orient="portrait"/>
          <w:cols w:equalWidth="0" w:num="1">
            <w:col w:w="11400"/>
          </w:cols>
          <w:pgMar w:left="240" w:top="131" w:right="259" w:bottom="0" w:gutter="0" w:footer="0" w:header="0"/>
        </w:sectPr>
      </w:pPr>
    </w:p>
    <w:bookmarkStart w:id="78" w:name="page79"/>
    <w:bookmarkEnd w:id="78"/>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ectPr>
          <w:pgSz w:w="11900" w:h="16838" w:orient="portrait"/>
          <w:cols w:equalWidth="0" w:num="1">
            <w:col w:w="11420"/>
          </w:cols>
          <w:pgMar w:left="240" w:top="131" w:right="239" w:bottom="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3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61"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ectPr>
          <w:pgSz w:w="11900" w:h="16838" w:orient="portrait"/>
          <w:cols w:equalWidth="0" w:num="1">
            <w:col w:w="11380"/>
          </w:cols>
          <w:pgMar w:left="240" w:top="125" w:right="279" w:bottom="0" w:gutter="0" w:footer="0" w:header="0"/>
        </w:sectPr>
      </w:pPr>
    </w:p>
    <w:bookmarkStart w:id="80" w:name="page81"/>
    <w:bookmarkEnd w:id="80"/>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21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w:t>
      </w:r>
    </w:p>
    <w:p>
      <w:pPr>
        <w:spacing w:after="0" w:line="38" w:lineRule="exact"/>
        <w:rPr>
          <w:sz w:val="20"/>
          <w:szCs w:val="20"/>
          <w:color w:val="auto"/>
        </w:rPr>
      </w:pPr>
    </w:p>
    <w:p>
      <w:pPr>
        <w:ind w:left="1080" w:right="380"/>
        <w:spacing w:after="0" w:line="250" w:lineRule="auto"/>
        <w:rPr>
          <w:sz w:val="20"/>
          <w:szCs w:val="20"/>
          <w:color w:val="auto"/>
        </w:rPr>
      </w:pPr>
      <w:r>
        <w:rPr>
          <w:rFonts w:ascii="Arial" w:cs="Arial" w:eastAsia="Arial" w:hAnsi="Arial"/>
          <w:sz w:val="18"/>
          <w:szCs w:val="18"/>
          <w:color w:val="auto"/>
        </w:rPr>
        <w:t>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81" w:name="page82"/>
    <w:bookmarkEnd w:id="81"/>
    <w:p>
      <w:pPr>
        <w:spacing w:after="0" w:line="40" w:lineRule="exact"/>
        <w:rPr>
          <w:sz w:val="20"/>
          <w:szCs w:val="20"/>
          <w:color w:val="auto"/>
        </w:rPr>
      </w:pPr>
    </w:p>
    <w:p>
      <w:pPr>
        <w:ind w:left="1080" w:right="360"/>
        <w:spacing w:after="0" w:line="259" w:lineRule="auto"/>
        <w:rPr>
          <w:sz w:val="20"/>
          <w:szCs w:val="20"/>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use a total of $715.8 million of the proceeds of the credit facilities to finance development and construction of Le Rêve and to meet our pre-opening expenses and debt service obligations with an additional anticipated $31.2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term loans or (ii) the reserve adjusted Eurodollar Rate plus 4.00% per annum for revolving loans or the reserve adjusted Eurodollar Rate plus 5.50% per annum for term loans; and</w:t>
      </w:r>
    </w:p>
    <w:p>
      <w:pPr>
        <w:spacing w:after="0" w:line="213" w:lineRule="exact"/>
        <w:rPr>
          <w:sz w:val="20"/>
          <w:szCs w:val="20"/>
          <w:color w:val="auto"/>
        </w:rPr>
      </w:pPr>
    </w:p>
    <w:p>
      <w:pPr>
        <w:ind w:left="1080" w:right="3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credit facilities, Valvino, its subsidiaries and certain of its affiliates will be considered restricted entities and will guarantee the obligations of Wynn Las Vegas under the credit facilities. Wynn Resorts will also guarantee the credit facilities, the FF&amp;E facility and the second mortgage notes, but will not be subject to the restrictive covenants in its subsidiaries' debt facilities. In the event that Wynn Resorts grants specified liens to secure other guarantees or indebtedness, the credit facilities will be secured by liens on the same assets. The obligations of each guarantor under its guarantee will be limited as necessary to reduce the risk that the guarantee would be treated as a fraudulent conveyance under applicable law. Each guarantee (except the unsecured Wynn Resorts' guarantee) of the obligations under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credit facilities will be a senior secured obligation of each such guarantor, secured by a security interest in certain of the guarantors' existing and future assets, and will rank pari passu in right of payment with any existing and future senior indebtedness of such guarantors. In addition, each guarantee will rank senior in right of payment to all of the existing and future subordinated indebtedness of each guarantor.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ectPr>
          <w:pgSz w:w="11900" w:h="16879" w:orient="portrait"/>
          <w:cols w:equalWidth="0" w:num="1">
            <w:col w:w="11420"/>
          </w:cols>
          <w:pgMar w:left="240" w:top="131" w:right="239" w:bottom="0" w:gutter="0" w:footer="0" w:header="0"/>
        </w:sectPr>
      </w:pPr>
    </w:p>
    <w:bookmarkStart w:id="82" w:name="page83"/>
    <w:bookmarkEnd w:id="82"/>
    <w:p>
      <w:pPr>
        <w:ind w:left="1080" w:hanging="532"/>
        <w:spacing w:after="0" w:line="28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ectPr>
          <w:pgSz w:w="11900" w:h="16838" w:orient="portrait"/>
          <w:cols w:equalWidth="0" w:num="1">
            <w:col w:w="11420"/>
          </w:cols>
          <w:pgMar w:left="240" w:top="145" w:right="239" w:bottom="194" w:gutter="0" w:footer="0" w:header="0"/>
        </w:sectPr>
      </w:pPr>
    </w:p>
    <w:bookmarkStart w:id="83" w:name="page84"/>
    <w:bookmarkEnd w:id="83"/>
    <w:p>
      <w:pPr>
        <w:spacing w:after="0" w:line="1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National Association as trustee, pursuant to which the issuers will issue second mortgage notes with an aggregate principal amount at maturity of $365 million. The second mortgage notes will:</w:t>
      </w:r>
    </w:p>
    <w:p>
      <w:pPr>
        <w:spacing w:after="0" w:line="208"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36" w:lineRule="exact"/>
        <w:rPr>
          <w:rFonts w:ascii="Arial" w:cs="Arial" w:eastAsia="Arial" w:hAnsi="Arial"/>
          <w:sz w:val="18"/>
          <w:szCs w:val="18"/>
          <w:color w:val="auto"/>
        </w:rPr>
      </w:pPr>
    </w:p>
    <w:p>
      <w:pPr>
        <w:ind w:left="1080" w:right="260" w:hanging="532"/>
        <w:spacing w:after="0" w:line="25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7" w:lineRule="exact"/>
        <w:rPr>
          <w:rFonts w:ascii="Arial" w:cs="Arial" w:eastAsia="Arial" w:hAnsi="Arial"/>
          <w:sz w:val="18"/>
          <w:szCs w:val="18"/>
          <w:color w:val="auto"/>
        </w:rPr>
      </w:pPr>
    </w:p>
    <w:p>
      <w:pPr>
        <w:jc w:val="both"/>
        <w:ind w:left="1080" w:right="320" w:hanging="532"/>
        <w:spacing w:after="0" w:line="283"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0"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 unconditionally guaranteed by the guarantors, and Wynn Resorts. See "—Guarantees."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right="640" w:firstLine="348"/>
        <w:spacing w:after="0" w:line="305" w:lineRule="auto"/>
        <w:rPr>
          <w:sz w:val="20"/>
          <w:szCs w:val="20"/>
          <w:color w:val="auto"/>
        </w:rPr>
      </w:pPr>
      <w:r>
        <w:rPr>
          <w:rFonts w:ascii="Arial" w:cs="Arial" w:eastAsia="Arial" w:hAnsi="Arial"/>
          <w:sz w:val="15"/>
          <w:szCs w:val="15"/>
          <w:color w:val="auto"/>
        </w:rPr>
        <w:t>The second mortgage notes will bear interest on the principal amount at maturity at a rate that will be established at the time of pricing of the second mortgage notes, which pricing is expected to occur concurrently with the pricing of the equity offering. Interest will be payable semi-annually in arrears</w:t>
      </w:r>
    </w:p>
    <w:p>
      <w:pPr>
        <w:spacing w:after="0" w:line="261" w:lineRule="auto"/>
        <w:rPr>
          <w:sz w:val="20"/>
          <w:szCs w:val="20"/>
          <w:color w:val="auto"/>
        </w:rPr>
      </w:pPr>
      <w:r>
        <w:rPr>
          <w:rFonts w:ascii="Arial" w:cs="Arial" w:eastAsia="Arial" w:hAnsi="Arial"/>
          <w:sz w:val="18"/>
          <w:szCs w:val="18"/>
          <w:color w:val="auto"/>
        </w:rPr>
        <w:t>on and , commencing on , 2003. The issuers will make each interest payment to the holders of record of the second mortgage notes on the immediately preceding and .</w:t>
      </w:r>
    </w:p>
    <w:p>
      <w:pPr>
        <w:spacing w:after="0" w:line="192"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8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0" w:firstLine="348"/>
        <w:spacing w:after="0" w:line="288"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Wynn Resorts will guarantee the credit facilities, the FF&amp;E facility and the second mortgage notes, but will not be subject to the restrictive covenants in its subsidiaries' debt facilities.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pacing w:after="0" w:line="262" w:lineRule="exact"/>
        <w:rPr>
          <w:sz w:val="20"/>
          <w:szCs w:val="20"/>
          <w:color w:val="auto"/>
        </w:rPr>
      </w:pPr>
    </w:p>
    <w:p>
      <w:pPr>
        <w:ind w:left="1080" w:right="500" w:hanging="532"/>
        <w:spacing w:after="0" w:line="254"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7"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 four full consecutive quarters after Le Rêve opens, any remaining amounts in the liquidity reserve account will be used to reduce the outstanding balance of the revolving credit facility;</w:t>
      </w:r>
    </w:p>
    <w:p>
      <w:pPr>
        <w:spacing w:after="0" w:line="21"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45"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w:t>
      </w:r>
    </w:p>
    <w:p>
      <w:pPr>
        <w:sectPr>
          <w:pgSz w:w="11900" w:h="16854" w:orient="portrait"/>
          <w:cols w:equalWidth="0" w:num="1">
            <w:col w:w="11420"/>
          </w:cols>
          <w:pgMar w:left="240" w:top="131" w:right="239" w:bottom="0" w:gutter="0" w:footer="0" w:header="0"/>
        </w:sectPr>
      </w:pPr>
    </w:p>
    <w:bookmarkStart w:id="84" w:name="page85"/>
    <w:bookmarkEnd w:id="84"/>
    <w:p>
      <w:pPr>
        <w:ind w:left="1080" w:right="280"/>
        <w:spacing w:after="0" w:line="259" w:lineRule="auto"/>
        <w:rPr>
          <w:sz w:val="20"/>
          <w:szCs w:val="20"/>
          <w:color w:val="auto"/>
        </w:rPr>
      </w:pPr>
      <w:r>
        <w:rPr>
          <w:rFonts w:ascii="Arial" w:cs="Arial" w:eastAsia="Arial" w:hAnsi="Arial"/>
          <w:sz w:val="18"/>
          <w:szCs w:val="18"/>
          <w:color w:val="auto"/>
        </w:rPr>
        <w:t>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54"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21"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After ,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ectPr>
          <w:pgSz w:w="11900" w:h="16838" w:orient="portrait"/>
          <w:cols w:equalWidth="0" w:num="1">
            <w:col w:w="11420"/>
          </w:cols>
          <w:pgMar w:left="240" w:top="131" w:right="239" w:bottom="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97"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facility agent, and Deutsche Bank Trust Company Americas, as the disbursement agent. This summary is qualified in its entirety by reference to the contract itself.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ectPr>
          <w:pgSz w:w="11900" w:h="16838" w:orient="portrait"/>
          <w:cols w:equalWidth="0" w:num="1">
            <w:col w:w="11420"/>
          </w:cols>
          <w:pgMar w:left="240" w:top="125" w:right="239" w:bottom="0" w:gutter="0" w:footer="0" w:header="0"/>
        </w:sectPr>
      </w:pPr>
    </w:p>
    <w:bookmarkStart w:id="86" w:name="page87"/>
    <w:bookmarkEnd w:id="86"/>
    <w:p>
      <w:pPr>
        <w:spacing w:after="0" w:line="3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ectPr>
          <w:pgSz w:w="11900" w:h="16871" w:orient="portrait"/>
          <w:cols w:equalWidth="0" w:num="1">
            <w:col w:w="11400"/>
          </w:cols>
          <w:pgMar w:left="240" w:top="131" w:right="259" w:bottom="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Liquidity Reserve Account</w:t>
      </w:r>
    </w:p>
    <w:p>
      <w:pPr>
        <w:sectPr>
          <w:pgSz w:w="11900" w:h="16871" w:orient="portrait"/>
          <w:cols w:equalWidth="0" w:num="1">
            <w:col w:w="11400"/>
          </w:cols>
          <w:pgMar w:left="240" w:top="131" w:right="259" w:bottom="0" w:gutter="0" w:footer="0" w:header="0"/>
          <w:type w:val="continuous"/>
        </w:sectPr>
      </w:pPr>
    </w:p>
    <w:bookmarkStart w:id="87" w:name="page88"/>
    <w:bookmarkEnd w:id="87"/>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ectPr>
          <w:pgSz w:w="11900" w:h="16838" w:orient="portrait"/>
          <w:cols w:equalWidth="0" w:num="1">
            <w:col w:w="11400"/>
          </w:cols>
          <w:pgMar w:left="240" w:top="131" w:right="259" w:bottom="6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1" w:gutter="0" w:footer="0" w:header="0"/>
          <w:type w:val="continuous"/>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74,615,000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that are subject to the lock-up agreements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w:t>
      </w:r>
    </w:p>
    <w:p>
      <w:pPr>
        <w:sectPr>
          <w:pgSz w:w="11900" w:h="16838" w:orient="portrait"/>
          <w:cols w:equalWidth="0" w:num="1">
            <w:col w:w="11400"/>
          </w:cols>
          <w:pgMar w:left="240" w:top="341" w:right="259" w:bottom="0" w:gutter="0" w:footer="0" w:header="0"/>
        </w:sectPr>
      </w:pPr>
    </w:p>
    <w:bookmarkStart w:id="89" w:name="page90"/>
    <w:bookmarkEnd w:id="89"/>
    <w:p>
      <w:pPr>
        <w:jc w:val="both"/>
        <w:ind w:right="40"/>
        <w:spacing w:after="0" w:line="306" w:lineRule="auto"/>
        <w:rPr>
          <w:sz w:val="20"/>
          <w:szCs w:val="20"/>
          <w:color w:val="auto"/>
        </w:rPr>
      </w:pPr>
      <w:r>
        <w:rPr>
          <w:rFonts w:ascii="Arial" w:cs="Arial" w:eastAsia="Arial" w:hAnsi="Arial"/>
          <w:sz w:val="16"/>
          <w:szCs w:val="16"/>
          <w:color w:val="auto"/>
        </w:rPr>
        <w:t>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w:t>
      </w:r>
    </w:p>
    <w:p>
      <w:pPr>
        <w:sectPr>
          <w:pgSz w:w="11900" w:h="16838" w:orient="portrait"/>
          <w:cols w:equalWidth="0" w:num="1">
            <w:col w:w="11400"/>
          </w:cols>
          <w:pgMar w:left="240" w:top="131" w:right="259" w:bottom="0" w:gutter="0" w:footer="0" w:header="0"/>
        </w:sectPr>
      </w:pPr>
    </w:p>
    <w:bookmarkStart w:id="90" w:name="page91"/>
    <w:bookmarkEnd w:id="90"/>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decedents dying in 2010, the repeal expires and, unless extended by new legislation, the U.S. federal estate tax will be reinstated beginning January 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40" w:firstLine="8"/>
        <w:spacing w:after="0" w:line="287"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remaining 13,538,462 shares that are not being purchased by the underwriters pursuant to the underwriting agreement are being offered by Wynn Resorts directly to certain purchasers at the price being offered to the public. Such purchasers include Stephen A. Wynn, Chairman of the Board, Chief Executive</w:t>
      </w:r>
    </w:p>
    <w:p>
      <w:pPr>
        <w:sectPr>
          <w:pgSz w:w="11900" w:h="17002" w:orient="portrait"/>
          <w:cols w:equalWidth="0" w:num="1">
            <w:col w:w="11360"/>
          </w:cols>
          <w:pgMar w:left="240" w:top="131" w:right="299" w:bottom="0" w:gutter="0" w:footer="0" w:header="0"/>
        </w:sectPr>
      </w:pPr>
    </w:p>
    <w:bookmarkStart w:id="91" w:name="page92"/>
    <w:bookmarkEnd w:id="91"/>
    <w:p>
      <w:pPr>
        <w:ind w:right="360"/>
        <w:spacing w:after="0" w:line="306" w:lineRule="auto"/>
        <w:rPr>
          <w:sz w:val="20"/>
          <w:szCs w:val="20"/>
          <w:color w:val="auto"/>
        </w:rPr>
      </w:pPr>
      <w:r>
        <w:rPr>
          <w:rFonts w:ascii="Arial" w:cs="Arial" w:eastAsia="Arial" w:hAnsi="Arial"/>
          <w:sz w:val="16"/>
          <w:szCs w:val="16"/>
          <w:color w:val="auto"/>
        </w:rPr>
        <w:t>Officer and a principal stockholder of Wynn Resorts, Limited and Aruze USA, a principal stockholder of Wynn Resorts, Limited. The underwriters will not receive any underwriting discounts or commissions on any shares of common stock purchased by such purchasers. The consummation of the purchase by the underwriters under the underwriting agreement and by such purchasers are conditioned on concurrent closings of all such purchases.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 ] per share under the public offering price. The underwriters may allow, and these dealers may re-allow, a concession of not more than $[ ] per share to other dealers. After the initial public offering, representatives of the underwriters may change the offering price and other selling terms.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have granted to the underwriters an option, exercisable not later than 30 days after the date of this prospectus, to purchase up to 3,161,481 additional shares of common stock at the public offering price less the underwriting discounts and commissions set forth on the cover page of this prospectus. The underwriters may exercise this option only to cover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ectPr>
          <w:pgSz w:w="11900" w:h="16838" w:orient="portrait"/>
          <w:cols w:equalWidth="0" w:num="1">
            <w:col w:w="11420"/>
          </w:cols>
          <w:pgMar w:left="240" w:top="131" w:right="239" w:bottom="0" w:gutter="0" w:footer="0" w:header="0"/>
        </w:sectPr>
      </w:pPr>
    </w:p>
    <w:bookmarkStart w:id="92" w:name="page93"/>
    <w:bookmarkEnd w:id="92"/>
    <w:p>
      <w:pPr>
        <w:spacing w:after="0" w:line="11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500,000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J.P. Morgan Securities Inc. will act as joint documentation agent, and 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Certain Indebtedness—FF&amp;E Facility."</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2" w:lineRule="exact"/>
        <w:rPr>
          <w:rFonts w:ascii="Arial" w:cs="Arial" w:eastAsia="Arial" w:hAnsi="Arial"/>
          <w:sz w:val="18"/>
          <w:szCs w:val="18"/>
          <w:color w:val="auto"/>
        </w:rPr>
      </w:pPr>
    </w:p>
    <w:p>
      <w:pPr>
        <w:ind w:left="1080" w:right="700" w:hanging="532"/>
        <w:spacing w:after="0" w:line="254"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w:t>
      </w:r>
    </w:p>
    <w:p>
      <w:pPr>
        <w:sectPr>
          <w:pgSz w:w="11900" w:h="16950" w:orient="portrait"/>
          <w:cols w:equalWidth="0" w:num="1">
            <w:col w:w="11420"/>
          </w:cols>
          <w:pgMar w:left="240" w:top="131" w:right="239" w:bottom="0" w:gutter="0" w:footer="0" w:header="0"/>
        </w:sectPr>
      </w:pPr>
    </w:p>
    <w:bookmarkStart w:id="93" w:name="page94"/>
    <w:bookmarkEnd w:id="93"/>
    <w:p>
      <w:pPr>
        <w:ind w:right="60"/>
        <w:spacing w:after="0" w:line="332" w:lineRule="auto"/>
        <w:rPr>
          <w:sz w:val="20"/>
          <w:szCs w:val="20"/>
          <w:color w:val="auto"/>
        </w:rPr>
      </w:pPr>
      <w:r>
        <w:rPr>
          <w:rFonts w:ascii="Arial" w:cs="Arial" w:eastAsia="Arial" w:hAnsi="Arial"/>
          <w:sz w:val="16"/>
          <w:szCs w:val="16"/>
          <w:color w:val="auto"/>
        </w:rPr>
        <w:t>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3940" w:type="dxa"/>
            <w:vAlign w:val="bottom"/>
          </w:tcPr>
          <w:p>
            <w:pPr>
              <w:ind w:left="3700"/>
              <w:spacing w:after="0"/>
              <w:rPr>
                <w:sz w:val="20"/>
                <w:szCs w:val="20"/>
                <w:color w:val="auto"/>
              </w:rPr>
            </w:pPr>
            <w:r>
              <w:rPr>
                <w:rFonts w:ascii="Arial" w:cs="Arial" w:eastAsia="Arial" w:hAnsi="Arial"/>
                <w:sz w:val="18"/>
                <w:szCs w:val="18"/>
                <w:color w:val="auto"/>
                <w:w w:val="81"/>
              </w:rPr>
              <w:t>F-2</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3940" w:type="dxa"/>
            <w:vAlign w:val="bottom"/>
          </w:tcPr>
          <w:p>
            <w:pPr>
              <w:ind w:left="3700"/>
              <w:spacing w:after="0"/>
              <w:rPr>
                <w:sz w:val="20"/>
                <w:szCs w:val="20"/>
                <w:color w:val="auto"/>
              </w:rPr>
            </w:pPr>
            <w:r>
              <w:rPr>
                <w:rFonts w:ascii="Arial" w:cs="Arial" w:eastAsia="Arial" w:hAnsi="Arial"/>
                <w:sz w:val="18"/>
                <w:szCs w:val="18"/>
                <w:color w:val="auto"/>
                <w:w w:val="81"/>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3940" w:type="dxa"/>
            <w:vAlign w:val="bottom"/>
          </w:tcPr>
          <w:p>
            <w:pPr>
              <w:ind w:left="3700"/>
              <w:spacing w:after="0"/>
              <w:rPr>
                <w:sz w:val="20"/>
                <w:szCs w:val="20"/>
                <w:color w:val="auto"/>
              </w:rPr>
            </w:pPr>
            <w:r>
              <w:rPr>
                <w:rFonts w:ascii="Arial" w:cs="Arial" w:eastAsia="Arial" w:hAnsi="Arial"/>
                <w:sz w:val="18"/>
                <w:szCs w:val="18"/>
                <w:color w:val="auto"/>
                <w:w w:val="81"/>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r>
      <w:tr>
        <w:trPr>
          <w:trHeight w:val="430"/>
        </w:trPr>
        <w:tc>
          <w:tcPr>
            <w:tcW w:w="4840" w:type="dxa"/>
            <w:vAlign w:val="bottom"/>
          </w:tcPr>
          <w:p>
            <w:pPr>
              <w:spacing w:after="0"/>
              <w:rPr>
                <w:sz w:val="24"/>
                <w:szCs w:val="24"/>
                <w:color w:val="auto"/>
              </w:rPr>
            </w:pPr>
          </w:p>
        </w:tc>
        <w:tc>
          <w:tcPr>
            <w:tcW w:w="3940" w:type="dxa"/>
            <w:vAlign w:val="bottom"/>
          </w:tcPr>
          <w:p>
            <w:pPr>
              <w:ind w:left="760"/>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4763"/>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4" w:name="page95"/>
    <w:bookmarkEnd w:id="9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10795"/>
                    </a:xfrm>
                    <a:prstGeom prst="rect">
                      <a:avLst/>
                    </a:prstGeom>
                    <a:noFill/>
                  </pic:spPr>
                </pic:pic>
              </a:graphicData>
            </a:graphic>
          </wp:anchor>
        </w:drawing>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(As restated, see Note 12)</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See Note 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337,467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6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7,272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-4857750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-4857750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-4325620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-4325620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-4325620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-4325620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-4325620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-4325620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-4325620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-4325620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-2687955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-2687955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-2687955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-2687955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-2687955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-2687955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-1692910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-1692910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-1692910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-1692910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-1692910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-1692910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-234950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-234950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-234950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-234950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-234950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-234950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571" w:right="27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VALVINO LAMORE, LLC AND SUBSIDIARIES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8"/>
          </w:tcPr>
          <w:p>
            <w:pPr>
              <w:jc w:val="center"/>
              <w:ind w:left="250"/>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30"/>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50"/>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(As restated, see Note 12)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 2001</w:t>
            </w:r>
          </w:p>
        </w:tc>
        <w:tc>
          <w:tcPr>
            <w:tcW w:w="10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Airplane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726</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21"/>
                <w:szCs w:val="21"/>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1,077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1,890</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2,189</w:t>
            </w:r>
          </w:p>
        </w:tc>
        <w:tc>
          <w:tcPr>
            <w:tcW w:w="1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26,610</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16,807</w:t>
            </w:r>
          </w:p>
        </w:tc>
        <w:tc>
          <w:tcPr>
            <w:tcW w:w="180" w:type="dxa"/>
            <w:vAlign w:val="bottom"/>
            <w:shd w:val="clear" w:color="auto" w:fill="CCEEFF"/>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w w:val="97"/>
              </w:rPr>
              <w:t>Loss on sale of fixed assets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499</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shd w:val="clear" w:color="auto" w:fill="CCEEFF"/>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1,579</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1,428</w:t>
            </w:r>
          </w:p>
        </w:tc>
        <w:tc>
          <w:tcPr>
            <w:tcW w:w="180" w:type="dxa"/>
            <w:vAlign w:val="bottom"/>
            <w:shd w:val="clear" w:color="auto" w:fill="CCEEFF"/>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8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14,348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10,456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47,685</w:t>
            </w:r>
          </w:p>
        </w:tc>
        <w:tc>
          <w:tcPr>
            <w:tcW w:w="1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4,594</w:t>
            </w:r>
          </w:p>
        </w:tc>
        <w:tc>
          <w:tcPr>
            <w:tcW w:w="1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Net loss accumulated during</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the development stage</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9"/>
              </w:rPr>
              <w:t>Pro Forma Share Information:</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Loss Per Share—Basic and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-7196455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-7196455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-5781675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-5781675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-5438775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-5438775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-5438775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-5438775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-5438775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-5438775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-5438775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-5438775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-5438775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-5438775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-4323715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-4323715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-4323715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-4323715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-4323715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-4323715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-4323715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-4323715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-4323715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-4323715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-2642870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-2642870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-2642870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-2642870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-2642870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-2642870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-2642870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-2642870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-2642870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-2642870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-2393950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-2393950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-2393950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-2393950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-2393950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-2393950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-2393950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-2393950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-2393950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-2393950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-1648460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-1648460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-1648460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-1648460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-1648460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-1648460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-1648460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-1648460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-1648460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-1648460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-1304925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-1304925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-1304925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-1304925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-1304925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-1304925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-1304925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-1304925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-1304925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-1304925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96" w:name="page97"/>
    <w:bookmarkEnd w:id="96"/>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(As restated, see Note 12)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(8,234)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-1840230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-1840230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-1497330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-1497330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-1497330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-1497330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-1497330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-1497330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-1497330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-1497330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-1497330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-1497330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840"/>
          </w:cols>
          <w:pgMar w:left="240" w:top="129" w:right="819"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w w:val="98"/>
              </w:rPr>
              <w:t>Increase (decrease) in cash from changes in:</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380" w:type="dxa"/>
            <w:vAlign w:val="bottom"/>
          </w:tcPr>
          <w:p>
            <w:pPr>
              <w:jc w:val="right"/>
              <w:spacing w:after="0"/>
              <w:rPr>
                <w:sz w:val="20"/>
                <w:szCs w:val="20"/>
                <w:color w:val="auto"/>
              </w:rPr>
            </w:pPr>
            <w:r>
              <w:rPr>
                <w:rFonts w:ascii="Arial" w:cs="Arial" w:eastAsia="Arial" w:hAnsi="Arial"/>
                <w:sz w:val="14"/>
                <w:szCs w:val="14"/>
                <w:color w:val="auto"/>
              </w:rPr>
              <w:t>544</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112</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Accounts payable and accrued expenses</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Cash Provided by / (Used in) Operating</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1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80" w:type="dxa"/>
            <w:vAlign w:val="bottom"/>
            <w:gridSpan w:val="2"/>
            <w:vMerge w:val="continue"/>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200"/>
              <w:spacing w:after="0" w:line="138" w:lineRule="exact"/>
              <w:rPr>
                <w:sz w:val="20"/>
                <w:szCs w:val="20"/>
                <w:color w:val="auto"/>
              </w:rPr>
            </w:pPr>
            <w:r>
              <w:rPr>
                <w:rFonts w:ascii="Arial" w:cs="Arial" w:eastAsia="Arial" w:hAnsi="Arial"/>
                <w:sz w:val="14"/>
                <w:szCs w:val="14"/>
                <w:color w:val="auto"/>
              </w:rPr>
              <w:t>Capital expenditures, net of construction</w:t>
            </w: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(14,961)</w:t>
            </w: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1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1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380" w:type="dxa"/>
            <w:vAlign w:val="bottom"/>
          </w:tcPr>
          <w:p>
            <w:pPr>
              <w:jc w:val="right"/>
              <w:spacing w:after="0"/>
              <w:rPr>
                <w:sz w:val="20"/>
                <w:szCs w:val="20"/>
                <w:color w:val="auto"/>
              </w:rPr>
            </w:pPr>
            <w:r>
              <w:rPr>
                <w:rFonts w:ascii="Arial" w:cs="Arial" w:eastAsia="Arial" w:hAnsi="Arial"/>
                <w:sz w:val="14"/>
                <w:szCs w:val="14"/>
                <w:color w:val="auto"/>
              </w:rPr>
              <w:t>5,462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(6,351)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380" w:type="dxa"/>
            <w:vAlign w:val="bottom"/>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(15,507)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ectPr>
          <w:pgSz w:w="11900" w:h="16838" w:orient="portrait"/>
          <w:cols w:equalWidth="0" w:num="1">
            <w:col w:w="11260"/>
          </w:cols>
          <w:pgMar w:left="240" w:top="140" w:right="399" w:bottom="0" w:gutter="0" w:footer="0" w:header="0"/>
        </w:sectPr>
      </w:pPr>
    </w:p>
    <w:bookmarkStart w:id="98" w:name="page99"/>
    <w:bookmarkEnd w:id="98"/>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94"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540" w:hanging="532"/>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213"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ectPr>
          <w:pgSz w:w="11900" w:h="16838" w:orient="portrait"/>
          <w:cols w:equalWidth="0" w:num="1">
            <w:col w:w="10880"/>
          </w:cols>
          <w:pgMar w:left="780" w:top="145" w:right="239" w:bottom="0" w:gutter="0" w:footer="0" w:header="0"/>
        </w:sectPr>
      </w:pPr>
    </w:p>
    <w:bookmarkStart w:id="99" w:name="page100"/>
    <w:bookmarkEnd w:id="99"/>
    <w:p>
      <w:pPr>
        <w:spacing w:after="0" w:line="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11"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ectPr>
          <w:pgSz w:w="11900" w:h="16866" w:orient="portrait"/>
          <w:cols w:equalWidth="0" w:num="1">
            <w:col w:w="10860"/>
          </w:cols>
          <w:pgMar w:left="780" w:top="131" w:right="259" w:bottom="0" w:gutter="0" w:footer="0" w:header="0"/>
        </w:sectPr>
      </w:pPr>
    </w:p>
    <w:bookmarkStart w:id="100" w:name="page101"/>
    <w:bookmarkEnd w:id="100"/>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Pre-opening costs are expensed as incurred.</w:t>
      </w:r>
    </w:p>
    <w:p>
      <w:pPr>
        <w:spacing w:after="0" w:line="239"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w:t>
      </w:r>
    </w:p>
    <w:p>
      <w:pPr>
        <w:sectPr>
          <w:pgSz w:w="11900" w:h="16838" w:orient="portrait"/>
          <w:cols w:equalWidth="0" w:num="1">
            <w:col w:w="10860"/>
          </w:cols>
          <w:pgMar w:left="780" w:top="388" w:right="259" w:bottom="0" w:gutter="0" w:footer="0" w:header="0"/>
        </w:sectPr>
      </w:pPr>
    </w:p>
    <w:bookmarkStart w:id="101" w:name="page102"/>
    <w:bookmarkEnd w:id="101"/>
    <w:p>
      <w:pPr>
        <w:ind w:left="540"/>
        <w:spacing w:after="0"/>
        <w:rPr>
          <w:sz w:val="20"/>
          <w:szCs w:val="20"/>
          <w:color w:val="auto"/>
        </w:rPr>
      </w:pPr>
      <w:r>
        <w:rPr>
          <w:rFonts w:ascii="Arial" w:cs="Arial" w:eastAsia="Arial" w:hAnsi="Arial"/>
          <w:sz w:val="18"/>
          <w:szCs w:val="18"/>
          <w:color w:val="auto"/>
        </w:rPr>
        <w:t>appraisals, discounted cash flows, market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1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2" w:name="page103"/>
    <w:bookmarkEnd w:id="102"/>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88"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08"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52"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ectPr>
          <w:pgSz w:w="11900" w:h="16838" w:orient="portrait"/>
          <w:cols w:equalWidth="0" w:num="1">
            <w:col w:w="11400"/>
          </w:cols>
          <w:pgMar w:left="240" w:top="131" w:right="259" w:bottom="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94"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3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10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8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8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75"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88"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306" w:lineRule="auto"/>
        <w:rPr>
          <w:sz w:val="20"/>
          <w:szCs w:val="20"/>
          <w:color w:val="auto"/>
        </w:rPr>
      </w:pPr>
      <w:r>
        <w:rPr>
          <w:rFonts w:ascii="Arial" w:cs="Arial" w:eastAsia="Arial" w:hAnsi="Arial"/>
          <w:sz w:val="16"/>
          <w:szCs w:val="16"/>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w:t>
      </w:r>
    </w:p>
    <w:p>
      <w:pPr>
        <w:sectPr>
          <w:pgSz w:w="11900" w:h="16838" w:orient="portrait"/>
          <w:cols w:equalWidth="0" w:num="1">
            <w:col w:w="11420"/>
          </w:cols>
          <w:pgMar w:left="240" w:top="131" w:right="239" w:bottom="0" w:gutter="0" w:footer="0" w:header="0"/>
        </w:sectPr>
      </w:pPr>
    </w:p>
    <w:bookmarkStart w:id="104" w:name="page105"/>
    <w:bookmarkEnd w:id="104"/>
    <w:p>
      <w:pPr>
        <w:ind w:left="540" w:right="660"/>
        <w:spacing w:after="0" w:line="268" w:lineRule="auto"/>
        <w:rPr>
          <w:sz w:val="20"/>
          <w:szCs w:val="20"/>
          <w:color w:val="auto"/>
        </w:rPr>
      </w:pPr>
      <w:r>
        <w:rPr>
          <w:rFonts w:ascii="Arial" w:cs="Arial" w:eastAsia="Arial" w:hAnsi="Arial"/>
          <w:sz w:val="18"/>
          <w:szCs w:val="18"/>
          <w:color w:val="auto"/>
        </w:rPr>
        <w:t>opening expenses and meet debt service obligations. Following completion of Le Rêve, proceeds will be used for operating expenses and general corporate purposes.</w:t>
      </w:r>
    </w:p>
    <w:p>
      <w:pPr>
        <w:spacing w:after="0" w:line="186" w:lineRule="exact"/>
        <w:rPr>
          <w:sz w:val="20"/>
          <w:szCs w:val="20"/>
          <w:color w:val="auto"/>
        </w:rPr>
      </w:pPr>
    </w:p>
    <w:p>
      <w:pPr>
        <w:ind w:left="540" w:right="8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left="540" w:right="2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left="540" w:right="16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12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left="540" w:right="10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left="540" w:right="44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both"/>
        <w:ind w:left="540" w:right="36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1200" w:hanging="301"/>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left="540" w:right="38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83"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ectPr>
          <w:pgSz w:w="11900" w:h="16838" w:orient="portrait"/>
          <w:cols w:equalWidth="0" w:num="1">
            <w:col w:w="11400"/>
          </w:cols>
          <w:pgMar w:left="240" w:top="131" w:right="259" w:bottom="42" w:gutter="0" w:footer="0" w:header="0"/>
        </w:sectPr>
      </w:pPr>
    </w:p>
    <w:bookmarkStart w:id="105" w:name="page106"/>
    <w:bookmarkEnd w:id="105"/>
    <w:p>
      <w:pPr>
        <w:spacing w:after="0" w:line="16"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960" w:firstLine="348"/>
        <w:spacing w:after="0" w:line="268"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2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-5293360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-5293360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-5293360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-5293360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-5293360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-5293360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-5293360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-5293360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-5293360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-5293360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-5293360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-5293360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-3767455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-3767455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-3767455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-3767455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-3767455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-3767455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-3767455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-3767455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-3767455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-3767455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-3767455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-3767455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-2772410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-2772410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-2772410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-2772410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-2772410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-2772410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-2772410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-2772410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-2772410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-2772410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-2772410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-2772410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-1194435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-1194435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-1194435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-1194435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-1194435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-1194435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-1194435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-1194435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-1194435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-1194435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-1194435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-1194435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520"/>
          </w:cols>
          <w:pgMar w:left="240" w:top="131" w:right="139"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600" w:type="dxa"/>
            <w:vAlign w:val="bottom"/>
          </w:tcPr>
          <w:p>
            <w:pPr>
              <w:jc w:val="right"/>
              <w:ind w:right="43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58"/>
              <w:spacing w:after="0"/>
              <w:rPr>
                <w:sz w:val="20"/>
                <w:szCs w:val="20"/>
                <w:color w:val="auto"/>
              </w:rPr>
            </w:pPr>
            <w:r>
              <w:rPr>
                <w:rFonts w:ascii="Arial" w:cs="Arial" w:eastAsia="Arial" w:hAnsi="Arial"/>
                <w:sz w:val="18"/>
                <w:szCs w:val="18"/>
                <w:color w:val="auto"/>
                <w:w w:val="91"/>
              </w:rPr>
              <w:t>F-22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1699260</wp:posOffset>
            </wp:positionH>
            <wp:positionV relativeFrom="page">
              <wp:posOffset>88900</wp:posOffset>
            </wp:positionV>
            <wp:extent cx="5732780" cy="190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732780" cy="1905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right"/>
              <w:ind w:right="83"/>
              <w:spacing w:after="0"/>
              <w:rPr>
                <w:sz w:val="20"/>
                <w:szCs w:val="20"/>
                <w:color w:val="auto"/>
              </w:rPr>
            </w:pPr>
            <w:r>
              <w:rPr>
                <w:rFonts w:ascii="Arial" w:cs="Arial" w:eastAsia="Arial" w:hAnsi="Arial"/>
                <w:sz w:val="18"/>
                <w:szCs w:val="18"/>
                <w:color w:val="auto"/>
              </w:rPr>
              <w:t>F-23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-6635115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-6635115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-6635115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-6635115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-6635115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-6635115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-6635115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-6635115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-6635115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-6635115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-6635115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-6635115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-5245735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-5245735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-5245735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-5245735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-5245735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-5245735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-5245735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-5245735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-5245735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-5245735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-5245735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-5245735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-3976370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-3976370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-3976370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-3976370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-3976370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-3976370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-3976370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-3976370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-3976370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-3976370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-3976370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-3976370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-2518410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-2518410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-2518410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-2518410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-2518410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-2518410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-2518410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-2518410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-2518410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-2518410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-2518410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-1249045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-1249045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-1249045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-957580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-957580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-957580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ectPr>
          <w:pgSz w:w="11900" w:h="16838" w:orient="portrait"/>
          <w:cols w:equalWidth="0" w:num="1">
            <w:col w:w="11520"/>
          </w:cols>
          <w:pgMar w:left="240" w:top="356" w:right="139" w:bottom="5"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-6892290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-6892290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-6892290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-6892290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-6892290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-6892290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-6892290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-6892290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-6892290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-5571490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-5571490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-5571490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-5571490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-5571490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-5571490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-5571490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-5571490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-5571490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-5571490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-4422140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-4422140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-4422140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-4422140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-4422140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-4422140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-4422140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-4422140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-4422140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-4422140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-2809875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-2809875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-2809875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-2809875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-2809875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-2809875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-2809875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-2809875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-2809875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-2809875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Wynn Las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Vegas, LLC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and Wynn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Valvino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0"/>
              </w:rPr>
              <w:t>Las Vegas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3"/>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Capital Corp.</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04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1,609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8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-527050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-527050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-527050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-527050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-527050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-527050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-527050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-527050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-527050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-527050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-527050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-527050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8" w:name="page109"/>
    <w:bookmarkEnd w:id="10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(6,944)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(843) $</w:t>
            </w: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(4,424) $</w:t>
            </w:r>
          </w:p>
        </w:tc>
        <w:tc>
          <w:tcPr>
            <w:tcW w:w="3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(3,380) $</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left="433"/>
              <w:spacing w:after="0"/>
              <w:rPr>
                <w:sz w:val="20"/>
                <w:szCs w:val="20"/>
                <w:color w:val="auto"/>
              </w:rPr>
            </w:pPr>
            <w:r>
              <w:rPr>
                <w:rFonts w:ascii="Arial" w:cs="Arial" w:eastAsia="Arial" w:hAnsi="Arial"/>
                <w:sz w:val="18"/>
                <w:szCs w:val="18"/>
                <w:color w:val="auto"/>
                <w:w w:val="91"/>
              </w:rPr>
              <w:t>F-25</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gridSpan w:val="2"/>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14"/>
          </w:tcPr>
          <w:p>
            <w:pPr>
              <w:jc w:val="center"/>
              <w:ind w:left="55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80" w:type="dxa"/>
            <w:vAlign w:val="bottom"/>
            <w:gridSpan w:val="19"/>
          </w:tcPr>
          <w:p>
            <w:pPr>
              <w:jc w:val="center"/>
              <w:ind w:right="76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8"/>
              </w:rPr>
              <w:t>Six Months Ended June 30, 2001</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left="393"/>
              <w:spacing w:after="0"/>
              <w:rPr>
                <w:sz w:val="20"/>
                <w:szCs w:val="20"/>
                <w:color w:val="auto"/>
              </w:rPr>
            </w:pPr>
            <w:r>
              <w:rPr>
                <w:rFonts w:ascii="Arial" w:cs="Arial" w:eastAsia="Arial" w:hAnsi="Arial"/>
                <w:sz w:val="18"/>
                <w:szCs w:val="18"/>
                <w:b w:val="1"/>
                <w:bCs w:val="1"/>
                <w:color w:val="auto"/>
                <w:w w:val="89"/>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Valvino</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24"/>
                <w:szCs w:val="24"/>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4"/>
              </w:rPr>
              <w:t>All Other</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Guarantors</w:t>
            </w:r>
          </w:p>
        </w:tc>
        <w:tc>
          <w:tcPr>
            <w:tcW w:w="320" w:type="dxa"/>
            <w:vAlign w:val="bottom"/>
          </w:tcPr>
          <w:p>
            <w:pPr>
              <w:spacing w:after="0"/>
              <w:rPr>
                <w:sz w:val="15"/>
                <w:szCs w:val="15"/>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9"/>
              </w:rPr>
              <w:t>Non-Guarantors</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spacing w:after="0"/>
              <w:rPr>
                <w:sz w:val="21"/>
                <w:szCs w:val="21"/>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4"/>
          </w:tcPr>
          <w:p>
            <w:pPr>
              <w:ind w:left="9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620" w:type="dxa"/>
            <w:vAlign w:val="bottom"/>
            <w:gridSpan w:val="4"/>
          </w:tcPr>
          <w:p>
            <w:pPr>
              <w:ind w:left="11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3,059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Selling, General &amp; Administrative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gridSpan w:val="3"/>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(7,220)</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32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66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Interest Expense, Net of Amounts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12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-10133330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-10133330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-10133330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-10133330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-10133330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-10133330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-10133330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-10133330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-10133330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-10133330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-10133330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-10133330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-8246745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-8246745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-8246745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-8246745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-8246745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-8246745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-8246745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-8246745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-8246745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-8246745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-8246745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-8246745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-7938135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-7938135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-7938135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-7938135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-7938135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-7938135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-7938135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-7938135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-7938135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-7938135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-7938135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-7938135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-6925945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-6925945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-6925945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-6925945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-6925945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-6925945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-6925945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-6925945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-6925945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-6925945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-6925945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-6925945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-5536565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-5536565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-3615690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-3615690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-3615690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-3615690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-3615690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-3615690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-3615690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-3615690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-3615690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-3615690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-3615690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-3615690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-3015615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-3015615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-3015615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-3015615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-3015615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-3015615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-3015615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-3015615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-3015615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-3015615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-3015615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-3015615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-1386205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-1386205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-1386205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-1386205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-1386205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-1386205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-1386205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-1386205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-1386205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-99695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-99695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-99695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-99695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-99695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-99695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-99695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-99695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-99695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-99695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-99695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-99695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09" w:name="page110"/>
    <w:bookmarkEnd w:id="10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ind w:right="23"/>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-5914390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-5914390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-5914390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-5914390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-5914390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-5914390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-5914390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-5914390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-5914390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-5914390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-5914390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-5914390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-5005705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-5005705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-5005705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-5005705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-5005705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-5005705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-5005705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-5005705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-5005705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-5005705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-5005705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-5005705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-2981325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-2981325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-2981325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-2981325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-2981325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-2981325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-2981325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-2981325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-2981325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-2981325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-2981325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-2981325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-2672715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-2672715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-2672715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-2672715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-2672715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-2672715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-2672715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-2672715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-2672715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-2672715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-2672715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-2672715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-1540510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-1540510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-1540510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-1540510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-1540510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-1540510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-1540510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-1540510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-1540510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-1540510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-1540510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-1540510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-1231900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-1231900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-1231900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-1231900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-1231900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-1231900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-1231900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-1231900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-1231900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-1231900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220" w:type="dxa"/>
            <w:vAlign w:val="bottom"/>
          </w:tcPr>
          <w:p>
            <w:pPr>
              <w:spacing w:after="0"/>
              <w:rPr>
                <w:sz w:val="13"/>
                <w:szCs w:val="13"/>
                <w:color w:val="auto"/>
              </w:rPr>
            </w:pP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131"/>
        </w:trPr>
        <w:tc>
          <w:tcPr>
            <w:tcW w:w="16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Lamore, LLC</w:t>
            </w:r>
          </w:p>
        </w:tc>
        <w:tc>
          <w:tcPr>
            <w:tcW w:w="22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Guarantors</w:t>
            </w:r>
          </w:p>
        </w:tc>
        <w:tc>
          <w:tcPr>
            <w:tcW w:w="200" w:type="dxa"/>
            <w:vAlign w:val="bottom"/>
          </w:tcPr>
          <w:p>
            <w:pPr>
              <w:spacing w:after="0"/>
              <w:rPr>
                <w:sz w:val="11"/>
                <w:szCs w:val="11"/>
                <w:color w:val="auto"/>
              </w:rPr>
            </w:pPr>
          </w:p>
        </w:tc>
        <w:tc>
          <w:tcPr>
            <w:tcW w:w="18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Non-Guarantors</w:t>
            </w:r>
          </w:p>
        </w:tc>
        <w:tc>
          <w:tcPr>
            <w:tcW w:w="2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r>
      <w:tr>
        <w:trPr>
          <w:trHeight w:val="128"/>
        </w:trPr>
        <w:tc>
          <w:tcPr>
            <w:tcW w:w="16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-13970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-13970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-13970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-13970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-13970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-13970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-13970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-13970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-107950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-107950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10" w:name="page111"/>
    <w:bookmarkEnd w:id="11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Interest Expense, Net of Amounts</w:t>
            </w: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140" w:type="dxa"/>
            <w:vAlign w:val="bottom"/>
            <w:gridSpan w:val="5"/>
          </w:tcPr>
          <w:p>
            <w:pPr>
              <w:ind w:left="440"/>
              <w:spacing w:after="0"/>
              <w:rPr>
                <w:sz w:val="20"/>
                <w:szCs w:val="20"/>
                <w:color w:val="auto"/>
              </w:rPr>
            </w:pPr>
            <w:r>
              <w:rPr>
                <w:rFonts w:ascii="Arial" w:cs="Arial" w:eastAsia="Arial" w:hAnsi="Arial"/>
                <w:sz w:val="18"/>
                <w:szCs w:val="18"/>
                <w:color w:val="auto"/>
              </w:rPr>
              <w:t>Net Loss Accumulated During the</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8"/>
          </w:tcPr>
          <w:p>
            <w:pPr>
              <w:jc w:val="center"/>
              <w:ind w:right="65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19"/>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2"/>
          </w:tcPr>
          <w:p>
            <w:pPr>
              <w:jc w:val="center"/>
              <w:ind w:left="196"/>
              <w:spacing w:after="0"/>
              <w:rPr>
                <w:sz w:val="20"/>
                <w:szCs w:val="20"/>
                <w:color w:val="auto"/>
              </w:rPr>
            </w:pPr>
            <w:r>
              <w:rPr>
                <w:rFonts w:ascii="Arial" w:cs="Arial" w:eastAsia="Arial" w:hAnsi="Arial"/>
                <w:sz w:val="18"/>
                <w:szCs w:val="18"/>
                <w:b w:val="1"/>
                <w:bCs w:val="1"/>
                <w:color w:val="auto"/>
                <w:w w:val="88"/>
              </w:rPr>
              <w:t>From Inception to June 30, 2002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Wynn Las Vegas,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rPr>
              <w:t>Valvino</w:t>
            </w:r>
          </w:p>
        </w:tc>
        <w:tc>
          <w:tcPr>
            <w:tcW w:w="1320" w:type="dxa"/>
            <w:vAlign w:val="bottom"/>
            <w:gridSpan w:val="5"/>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13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9"/>
              </w:rPr>
              <w:t>Vegas Capital Corp.</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w:t>
            </w: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4,205</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(2,315)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152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10,779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27,855</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16,271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(2,402)</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(27,855)</w:t>
            </w:r>
          </w:p>
        </w:tc>
        <w:tc>
          <w:tcPr>
            <w:tcW w:w="13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(11,790)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4,572</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3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(2,534)</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4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1,980</w:t>
            </w: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gridSpan w:val="5"/>
          </w:tcPr>
          <w:p>
            <w:pPr>
              <w:jc w:val="right"/>
              <w:ind w:right="20"/>
              <w:spacing w:after="0"/>
              <w:rPr>
                <w:sz w:val="20"/>
                <w:szCs w:val="20"/>
                <w:color w:val="auto"/>
              </w:rPr>
            </w:pPr>
            <w:r>
              <w:rPr>
                <w:rFonts w:ascii="Arial" w:cs="Arial" w:eastAsia="Arial" w:hAnsi="Arial"/>
                <w:sz w:val="18"/>
                <w:szCs w:val="18"/>
                <w:color w:val="auto"/>
              </w:rPr>
              <w:t>(439)</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-9215755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-9215755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-9215755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-9215755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-9215755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-9215755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-9215755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-9215755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-9215755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-9215755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-8907145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-8907145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-8907145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-8907145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-8907145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-8907145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-8907145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-8907145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-8907145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-8907145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-7774940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-7774940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-7774940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-7774940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-7774940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-7774940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-7774940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-7774940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-7774940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-7774940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-7466330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-7466330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-7466330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-7466330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-7466330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-7466330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-7466330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-7466330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-7466330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-7466330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-6522720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-6522720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-4507865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-4507865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-4507865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-4507865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-4507865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-4507865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-4507865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-4507865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-4507865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-4507865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-4507865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-4507865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-3598545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-3598545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-3598545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-3598545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-3598545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-3598545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-3598545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-3598545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-3598545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-3598545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-3598545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-3598545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-1437640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-1437640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-1437640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-1437640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-1437640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-1437640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-1437640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-1437640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-1437640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-1437640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-1437640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-1437640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-271145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-271145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-271145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-271145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-271145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-271145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-271145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-271145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-271145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-271145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-271145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-271145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34" w:right="239"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2,815 $</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6"/>
              </w:rPr>
              <w:t>F-29</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85"/>
              </w:rPr>
              <w:t>Wynn Las Vegas,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3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9"/>
              </w:rPr>
              <w:t>Vegas Capital Corp.</w:t>
            </w:r>
          </w:p>
        </w:tc>
        <w:tc>
          <w:tcPr>
            <w:tcW w:w="300" w:type="dxa"/>
            <w:vAlign w:val="bottom"/>
          </w:tcPr>
          <w:p>
            <w:pPr>
              <w:spacing w:after="0"/>
              <w:rPr>
                <w:sz w:val="15"/>
                <w:szCs w:val="15"/>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(843)</w:t>
            </w:r>
          </w:p>
        </w:tc>
        <w:tc>
          <w:tcPr>
            <w:tcW w:w="300" w:type="dxa"/>
            <w:vAlign w:val="bottom"/>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23,805</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3,300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31,275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2,711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1,607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Financing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89"/>
              </w:rPr>
              <w:t>Principal Payments of Long-Term Debt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Net Cash Provided by Financing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5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(23,804)</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w w:val="99"/>
              </w:rPr>
              <w:t>Increase/(Decrease) in Cash and Cash</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122,513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(967)</w:t>
            </w:r>
          </w:p>
        </w:tc>
        <w:tc>
          <w:tcPr>
            <w:tcW w:w="260" w:type="dxa"/>
            <w:vAlign w:val="bottom"/>
          </w:tcPr>
          <w:p>
            <w:pPr>
              <w:spacing w:after="0"/>
              <w:rPr>
                <w:sz w:val="13"/>
                <w:szCs w:val="13"/>
                <w:color w:val="auto"/>
              </w:rPr>
            </w:pP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4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162,103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(1,240)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26,997</w:t>
            </w:r>
          </w:p>
        </w:tc>
        <w:tc>
          <w:tcPr>
            <w:tcW w:w="100" w:type="dxa"/>
            <w:vAlign w:val="bottom"/>
          </w:tcPr>
          <w:p>
            <w:pPr>
              <w:spacing w:after="0"/>
              <w:rPr>
                <w:sz w:val="23"/>
                <w:szCs w:val="23"/>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w w:val="92"/>
              </w:rPr>
              <w:t>Interest Paid, Net of Amounts Capitalized</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4"/>
                <w:szCs w:val="14"/>
                <w:color w:val="auto"/>
              </w:rPr>
            </w:pP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6"/>
              </w:rPr>
              <w:t>F-30</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-9841865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-9841865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-9841865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-9841865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-9841865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-9841865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-9841865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-9841865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-9841865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-9841865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-9841865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-9841865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-8761730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-8761730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-6746240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-6746240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-6746240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-6746240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-6746240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-6746240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-6746240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-6746240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-6746240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-6746240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-6746240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-6746240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-4164965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-4164965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-4164965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-4164965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-4164965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-4164965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-4164965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-4164965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-4164965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-4164965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-4164965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-4164965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-3822065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-3822065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-3822065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-3822065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-3822065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-3822065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-3822065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-3822065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-3822065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-3822065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-3822065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-3822065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-2801620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-2801620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-2801620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-2801620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-2801620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-2801620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-2801620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-2801620</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-2801620</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-2801620</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-2801620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-2801620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-2458085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-2458085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-2458085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-2458085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-2458085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-2458085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-2458085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-2458085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-2458085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-2458085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-2458085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-2458085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-1746885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-1746885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-1746885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-1746885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-1746885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-1746885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-1746885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-1746885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-1746885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-1746885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-1746885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-1403350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-1403350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-1403350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-1403350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-1403350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-1403350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-1403350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-1403350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-1403350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-1403350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-966470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-966470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-966470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-966470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-966470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-966470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-966470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-966470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-966470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-966470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-966470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-966470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VALVINO LAMORE, LLC AND SUBSIDIARIES</w:t>
      </w:r>
    </w:p>
    <w:p>
      <w:pPr>
        <w:sectPr>
          <w:pgSz w:w="11900" w:h="16838" w:orient="portrait"/>
          <w:cols w:equalWidth="0" w:num="1">
            <w:col w:w="11420"/>
          </w:cols>
          <w:pgMar w:left="240" w:top="140" w:right="239" w:bottom="0" w:gutter="0" w:footer="0" w:header="0"/>
          <w:type w:val="continuous"/>
        </w:sectPr>
      </w:pPr>
    </w:p>
    <w:bookmarkStart w:id="112" w:name="page113"/>
    <w:bookmarkEnd w:id="112"/>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CONSOLIDATING STATEMENTS OF CASH FLOW INFORMATION</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904" w:orient="portrait"/>
          <w:cols w:equalWidth="0" w:num="1">
            <w:col w:w="11420"/>
          </w:cols>
          <w:pgMar w:left="240" w:top="341"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-5427345</wp:posOffset>
            </wp:positionV>
            <wp:extent cx="7246620" cy="9461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28321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-4707255</wp:posOffset>
            </wp:positionV>
            <wp:extent cx="7246620" cy="15430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-4398645</wp:posOffset>
            </wp:positionV>
            <wp:extent cx="7246620" cy="9461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-4149725</wp:posOffset>
            </wp:positionV>
            <wp:extent cx="7246620" cy="15430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15430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7246620" cy="9461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15430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15430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18859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5430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9461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-5509260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-5509260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-5509260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-5509260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-3613785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-3613785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-3613785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-3613785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-3270885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-3270885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-3270885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-3270885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-2250440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-2250440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-2250440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-2250440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-1906905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-1906905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-1906905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-1906905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(2,130)</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-5515610</wp:posOffset>
            </wp:positionV>
            <wp:extent cx="3425825" cy="215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-3620135</wp:posOffset>
            </wp:positionV>
            <wp:extent cx="3425825" cy="215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-3277235</wp:posOffset>
            </wp:positionV>
            <wp:extent cx="3425825" cy="215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-2256790</wp:posOffset>
            </wp:positionV>
            <wp:extent cx="3425825" cy="215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-1913255</wp:posOffset>
            </wp:positionV>
            <wp:extent cx="3425825" cy="215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195" w:lineRule="exact"/>
        <w:rPr>
          <w:sz w:val="20"/>
          <w:szCs w:val="20"/>
          <w:color w:val="auto"/>
        </w:rPr>
      </w:pPr>
    </w:p>
    <w:p>
      <w:pPr>
        <w:sectPr>
          <w:pgSz w:w="11900" w:h="16904" w:orient="portrait"/>
          <w:cols w:equalWidth="0" w:num="2">
            <w:col w:w="6040" w:space="220"/>
            <w:col w:w="5160"/>
          </w:cols>
          <w:pgMar w:left="240" w:top="341"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Valvino</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Entries</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-1456690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-1456690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-1456690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-1456690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-1456690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-1456690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-1456690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-1456690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-1456690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-1456690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-1456690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-1456690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4" w:orient="portrait"/>
          <w:cols w:equalWidth="0" w:num="1">
            <w:col w:w="11420"/>
          </w:cols>
          <w:pgMar w:left="240" w:top="341" w:right="239" w:bottom="0" w:gutter="0" w:footer="0" w:header="0"/>
          <w:type w:val="continuous"/>
        </w:sectPr>
      </w:pPr>
    </w:p>
    <w:bookmarkStart w:id="113" w:name="page114"/>
    <w:bookmarkEnd w:id="1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5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5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5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5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5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5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(19,390)</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25,293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(655)</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10,017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10,035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5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5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5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(243)</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10,035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(10,035)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60" w:type="dxa"/>
            <w:vAlign w:val="bottom"/>
          </w:tcPr>
          <w:p>
            <w:pPr>
              <w:jc w:val="right"/>
              <w:ind w:right="4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560" w:type="dxa"/>
            <w:vAlign w:val="bottom"/>
          </w:tcPr>
          <w:p>
            <w:pPr>
              <w:jc w:val="right"/>
              <w:ind w:right="39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(273)</w:t>
            </w:r>
          </w:p>
        </w:tc>
        <w:tc>
          <w:tcPr>
            <w:tcW w:w="1180" w:type="dxa"/>
            <w:vAlign w:val="bottom"/>
          </w:tcPr>
          <w:p>
            <w:pPr>
              <w:jc w:val="right"/>
              <w:ind w:right="101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60" w:type="dxa"/>
            <w:vAlign w:val="bottom"/>
          </w:tcPr>
          <w:p>
            <w:pPr>
              <w:jc w:val="right"/>
              <w:ind w:right="4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60" w:type="dxa"/>
            <w:vAlign w:val="bottom"/>
          </w:tcPr>
          <w:p>
            <w:pPr>
              <w:jc w:val="right"/>
              <w:ind w:right="39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92"/>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1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F-32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70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78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88"/>
              </w:rPr>
              <w:t>Inception to December 31, 2000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Valvino</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24"/>
                <w:szCs w:val="24"/>
                <w:color w:val="auto"/>
              </w:rPr>
            </w:pPr>
          </w:p>
        </w:tc>
        <w:tc>
          <w:tcPr>
            <w:tcW w:w="980" w:type="dxa"/>
            <w:vAlign w:val="bottom"/>
            <w:gridSpan w:val="4"/>
          </w:tcPr>
          <w:p>
            <w:pPr>
              <w:ind w:left="280"/>
              <w:spacing w:after="0"/>
              <w:rPr>
                <w:sz w:val="20"/>
                <w:szCs w:val="20"/>
                <w:color w:val="auto"/>
              </w:rPr>
            </w:pPr>
            <w:r>
              <w:rPr>
                <w:rFonts w:ascii="Arial" w:cs="Arial" w:eastAsia="Arial" w:hAnsi="Arial"/>
                <w:sz w:val="14"/>
                <w:szCs w:val="14"/>
                <w:b w:val="1"/>
                <w:bCs w:val="1"/>
                <w:color w:val="auto"/>
                <w:w w:val="90"/>
              </w:rPr>
              <w:t>Eliminating</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8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560" w:type="dxa"/>
            <w:vAlign w:val="bottom"/>
          </w:tcPr>
          <w:p>
            <w:pPr>
              <w:spacing w:after="0"/>
              <w:rPr>
                <w:sz w:val="19"/>
                <w:szCs w:val="19"/>
                <w:color w:val="auto"/>
              </w:rPr>
            </w:pPr>
          </w:p>
        </w:tc>
        <w:tc>
          <w:tcPr>
            <w:tcW w:w="920" w:type="dxa"/>
            <w:vAlign w:val="bottom"/>
          </w:tcPr>
          <w:p>
            <w:pPr>
              <w:jc w:val="right"/>
              <w:ind w:right="75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680" w:type="dxa"/>
            <w:vAlign w:val="bottom"/>
            <w:gridSpan w:val="2"/>
          </w:tcPr>
          <w:p>
            <w:pPr>
              <w:jc w:val="right"/>
              <w:ind w:right="4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54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jc w:val="right"/>
              <w:ind w:right="1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Accumulated During the Development</w:t>
            </w:r>
          </w:p>
        </w:tc>
        <w:tc>
          <w:tcPr>
            <w:tcW w:w="5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Stage to Net Cash Provided by / (Used in)</w:t>
            </w: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Increase (Decrease) in Cash from Changes</w:t>
            </w: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5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6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20" w:type="dxa"/>
            <w:vAlign w:val="bottom"/>
            <w:tcBorders>
              <w:right w:val="single" w:sz="8" w:color="CCEEFF"/>
            </w:tcBorders>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-8812530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-8812530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-8812530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-8812530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-8812530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-8812530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-8812530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-8812530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-8812530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-8812530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-8812530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-8812530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-8383905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-8383905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-8383905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-8383905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-8383905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-8383905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-8383905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-8383905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-8383905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-8383905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-8383905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-8383905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-7268845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-7268845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-7268845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-7268845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-7268845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-7268845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-7268845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-7268845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-7268845</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-7268845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-7268845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-7268845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-6840220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-6840220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-6840220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-6840220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-6840220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-6840220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-6840220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-6840220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-6840220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-6840220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-6840220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-6840220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-5862320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-5862320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-5862320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-5862320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-5862320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-5862320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-5862320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-5862320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-5862320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-5862320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-5862320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-5862320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-5433695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-5433695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-5433695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-5433695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-5433695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-5433695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-5433695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-5433695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-5433695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-5433695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-5433695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-5433695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-4867910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-4867910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-4867910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-4867910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-4867910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-4867910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-4867910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-4867910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-4867910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-4867910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-4867910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-4867910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-3649980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-3649980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-2003425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-2003425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-2003425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-2003425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-2003425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-2003425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-2003425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-2003425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-2003425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-2003425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83" w:right="239" w:bottom="0" w:gutter="0" w:footer="0" w:header="0"/>
        </w:sectPr>
      </w:pPr>
    </w:p>
    <w:bookmarkStart w:id="114" w:name="page115"/>
    <w:bookmarkEnd w:id="11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Borders>
              <w:right w:val="single" w:sz="8" w:color="CCEEFF"/>
            </w:tcBorders>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(9,196)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(1,815)</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Flows From Investing Activities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(270,718)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(45,792)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(1,279)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w w:val="90"/>
              </w:rPr>
              <w:t>Net Cash Provided by / (Used in) Investing</w:t>
            </w: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(319,897)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Cash Flows From Financing Activities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Equity Contributions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480,713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(10,035)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Third Party Fee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87"/>
              </w:rPr>
              <w:t>Proceeds from Issuance of Long-Term Debt</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Principal Payments of Long-Term Debt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(125,018)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w w:val="93"/>
              </w:rPr>
              <w:t>Proceeds from Issuance of Related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Principal Payments of Related Party</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24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(10,035)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Increase/(Decrease) in Cash and Cash</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24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(10,035)</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020" w:type="dxa"/>
            <w:vAlign w:val="bottom"/>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(10,035)</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00" w:type="dxa"/>
            <w:vAlign w:val="bottom"/>
            <w:gridSpan w:val="2"/>
            <w:vMerge w:val="continue"/>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1020" w:type="dxa"/>
            <w:vAlign w:val="bottom"/>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left="127"/>
              <w:spacing w:after="0"/>
              <w:rPr>
                <w:sz w:val="20"/>
                <w:szCs w:val="20"/>
                <w:color w:val="auto"/>
              </w:rPr>
            </w:pPr>
            <w:r>
              <w:rPr>
                <w:rFonts w:ascii="Arial" w:cs="Arial" w:eastAsia="Arial" w:hAnsi="Arial"/>
                <w:sz w:val="18"/>
                <w:szCs w:val="18"/>
                <w:color w:val="auto"/>
                <w:w w:val="91"/>
              </w:rPr>
              <w:t>F-33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2"/>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260" w:type="dxa"/>
            <w:vAlign w:val="bottom"/>
            <w:tcBorders>
              <w:bottom w:val="single" w:sz="8" w:color="808080"/>
            </w:tcBorders>
            <w:gridSpan w:val="4"/>
          </w:tcPr>
          <w:p>
            <w:pPr>
              <w:spacing w:after="0"/>
              <w:rPr>
                <w:sz w:val="19"/>
                <w:szCs w:val="19"/>
                <w:color w:val="auto"/>
              </w:rPr>
            </w:pPr>
          </w:p>
        </w:tc>
        <w:tc>
          <w:tcPr>
            <w:tcW w:w="1440" w:type="dxa"/>
            <w:vAlign w:val="bottom"/>
            <w:tcBorders>
              <w:bottom w:val="single" w:sz="8" w:color="808080"/>
            </w:tcBorders>
            <w:gridSpan w:val="4"/>
          </w:tcPr>
          <w:p>
            <w:pPr>
              <w:spacing w:after="0"/>
              <w:rPr>
                <w:sz w:val="19"/>
                <w:szCs w:val="19"/>
                <w:color w:val="auto"/>
              </w:rPr>
            </w:pPr>
          </w:p>
        </w:tc>
        <w:tc>
          <w:tcPr>
            <w:tcW w:w="1260" w:type="dxa"/>
            <w:vAlign w:val="bottom"/>
            <w:tcBorders>
              <w:bottom w:val="single" w:sz="8" w:color="808080"/>
            </w:tcBorders>
            <w:gridSpan w:val="3"/>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15"/>
          </w:tcPr>
          <w:p>
            <w:pPr>
              <w:jc w:val="center"/>
              <w:ind w:right="62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40" w:type="dxa"/>
            <w:vAlign w:val="bottom"/>
            <w:gridSpan w:val="17"/>
          </w:tcPr>
          <w:p>
            <w:pPr>
              <w:jc w:val="center"/>
              <w:ind w:left="2618"/>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0" w:type="dxa"/>
            <w:vAlign w:val="bottom"/>
            <w:gridSpan w:val="12"/>
          </w:tcPr>
          <w:p>
            <w:pPr>
              <w:jc w:val="center"/>
              <w:ind w:right="260"/>
              <w:spacing w:after="0"/>
              <w:rPr>
                <w:sz w:val="20"/>
                <w:szCs w:val="20"/>
                <w:color w:val="auto"/>
              </w:rPr>
            </w:pPr>
            <w:r>
              <w:rPr>
                <w:rFonts w:ascii="Arial" w:cs="Arial" w:eastAsia="Arial" w:hAnsi="Arial"/>
                <w:sz w:val="18"/>
                <w:szCs w:val="18"/>
                <w:b w:val="1"/>
                <w:bCs w:val="1"/>
                <w:color w:val="auto"/>
                <w:w w:val="88"/>
              </w:rPr>
              <w:t>From Inception to June 30, 2002</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Wynn Las Vegas,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Valvino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146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11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0"/>
              </w:rPr>
              <w:t>Vegas Capital Corp.</w:t>
            </w: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Non-Guarantors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w w:val="91"/>
              </w:rPr>
              <w:t>Net Loss Accumulated During the Development Stage</w:t>
            </w:r>
          </w:p>
        </w:tc>
        <w:tc>
          <w:tcPr>
            <w:tcW w:w="240" w:type="dxa"/>
            <w:vAlign w:val="bottom"/>
          </w:tcPr>
          <w:p>
            <w:pPr>
              <w:jc w:val="right"/>
              <w:ind w:right="105"/>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5"/>
              </w:rPr>
              <w:t>(25,875)</w:t>
            </w:r>
          </w:p>
        </w:tc>
        <w:tc>
          <w:tcPr>
            <w:tcW w:w="280" w:type="dxa"/>
            <w:vAlign w:val="bottom"/>
            <w:gridSpan w:val="2"/>
          </w:tcPr>
          <w:p>
            <w:pPr>
              <w:jc w:val="right"/>
              <w:ind w:right="84"/>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480" w:type="dxa"/>
            <w:vAlign w:val="bottom"/>
          </w:tcPr>
          <w:p>
            <w:pPr>
              <w:jc w:val="right"/>
              <w:ind w:right="335"/>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920" w:type="dxa"/>
            <w:vAlign w:val="bottom"/>
          </w:tcPr>
          <w:p>
            <w:pPr>
              <w:jc w:val="right"/>
              <w:ind w:right="775"/>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(4,108)</w:t>
            </w:r>
          </w:p>
        </w:tc>
        <w:tc>
          <w:tcPr>
            <w:tcW w:w="580" w:type="dxa"/>
            <w:vAlign w:val="bottom"/>
          </w:tcPr>
          <w:p>
            <w:pPr>
              <w:jc w:val="right"/>
              <w:ind w:right="435"/>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8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24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During the Development Stage to Net Cash Provided</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240" w:type="dxa"/>
            <w:vAlign w:val="bottom"/>
            <w:tcBorders>
              <w:right w:val="single" w:sz="8" w:color="CCEEFF"/>
            </w:tcBorders>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13,682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1,053</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2,071</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240" w:type="dxa"/>
            <w:vAlign w:val="bottom"/>
            <w:tcBorders>
              <w:right w:val="single" w:sz="8" w:color="CCEEFF"/>
            </w:tcBorders>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2,534</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40" w:type="dxa"/>
            <w:vAlign w:val="bottom"/>
            <w:tcBorders>
              <w:right w:val="single" w:sz="8" w:color="CCEEFF"/>
            </w:tcBorders>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w:t>
            </w:r>
          </w:p>
        </w:tc>
        <w:tc>
          <w:tcPr>
            <w:tcW w:w="9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6,780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4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(2,288)</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40" w:type="dxa"/>
            <w:vAlign w:val="bottom"/>
            <w:tcBorders>
              <w:right w:val="single" w:sz="8" w:color="CCEEFF"/>
            </w:tcBorders>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7,676</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9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886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-9838055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-9838055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-9838055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-9838055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-9838055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-9838055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-9838055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-9838055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-9838055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-9838055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-9409430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-9409430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-9409430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-9409430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-9409430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-9409430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-9409430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-9409430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-9409430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-9409430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-8157210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-8157210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-8157210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-8157210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-8157210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-8157210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-8157210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-8157210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-8157210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-8157210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-7728585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-7728585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-7728585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-7728585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-7728585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-7728585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-7728585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-7728585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-7728585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-7728585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-6064885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-6064885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-6064885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-6064885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-6064885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-6064885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-6064885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-6064885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-6064885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-6064885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-5635625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-5635625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-5635625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-5635625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-5635625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-5635625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-5635625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-5635625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-5635625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-5635625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-5069840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-5069840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-5069840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-5069840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-5069840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-5069840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-5069840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-5069840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-5069840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-5069840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-3851910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-3851910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-1837055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-1837055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-1837055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-1837055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-1837055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-1837055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-1837055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-1837055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-1837055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-1837055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-1837055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-1837055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7" w:orient="portrait"/>
          <w:cols w:equalWidth="0" w:num="1">
            <w:col w:w="11420"/>
          </w:cols>
          <w:pgMar w:left="240" w:top="140"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4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5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52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4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5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5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4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left="474"/>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2000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432"/>
              <w:spacing w:after="0" w:line="149"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Pr>
          <w:p>
            <w:pPr>
              <w:spacing w:after="0"/>
              <w:rPr>
                <w:sz w:val="12"/>
                <w:szCs w:val="12"/>
                <w:color w:val="auto"/>
              </w:rPr>
            </w:pPr>
          </w:p>
        </w:tc>
        <w:tc>
          <w:tcPr>
            <w:tcW w:w="78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Previously</w:t>
            </w:r>
          </w:p>
        </w:tc>
        <w:tc>
          <w:tcPr>
            <w:tcW w:w="1080" w:type="dxa"/>
            <w:vAlign w:val="bottom"/>
            <w:gridSpan w:val="6"/>
          </w:tcPr>
          <w:p>
            <w:pPr>
              <w:jc w:val="center"/>
              <w:ind w:left="552"/>
              <w:spacing w:after="0" w:line="149" w:lineRule="exact"/>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7"/>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Previously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432"/>
              <w:spacing w:after="0"/>
              <w:rPr>
                <w:sz w:val="20"/>
                <w:szCs w:val="20"/>
                <w:color w:val="auto"/>
              </w:rPr>
            </w:pPr>
            <w:r>
              <w:rPr>
                <w:rFonts w:ascii="Arial" w:cs="Arial" w:eastAsia="Arial" w:hAnsi="Arial"/>
                <w:sz w:val="14"/>
                <w:szCs w:val="14"/>
                <w:b w:val="1"/>
                <w:bCs w:val="1"/>
                <w:color w:val="auto"/>
                <w:w w:val="84"/>
              </w:rPr>
              <w:t>Restated</w:t>
            </w:r>
          </w:p>
        </w:tc>
        <w:tc>
          <w:tcPr>
            <w:tcW w:w="140" w:type="dxa"/>
            <w:vAlign w:val="bottom"/>
          </w:tcPr>
          <w:p>
            <w:pPr>
              <w:spacing w:after="0"/>
              <w:rPr>
                <w:sz w:val="15"/>
                <w:szCs w:val="15"/>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jc w:val="center"/>
              <w:ind w:left="72"/>
              <w:spacing w:after="0"/>
              <w:rPr>
                <w:sz w:val="20"/>
                <w:szCs w:val="20"/>
                <w:color w:val="auto"/>
              </w:rPr>
            </w:pPr>
            <w:r>
              <w:rPr>
                <w:rFonts w:ascii="Arial" w:cs="Arial" w:eastAsia="Arial" w:hAnsi="Arial"/>
                <w:sz w:val="14"/>
                <w:szCs w:val="14"/>
                <w:b w:val="1"/>
                <w:bCs w:val="1"/>
                <w:color w:val="auto"/>
                <w:w w:val="87"/>
              </w:rPr>
              <w:t>Reported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380,236</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379,726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337,464</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337,467</w:t>
            </w:r>
          </w:p>
        </w:tc>
        <w:tc>
          <w:tcPr>
            <w:tcW w:w="5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313,022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322,696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72"/>
              <w:spacing w:after="0" w:line="149"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388,467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40,747</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41,118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26,054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9,155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Total Liabilities and Members' Equity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72"/>
              <w:spacing w:after="0" w:line="136"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spacing w:after="0" w:line="136"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w w:val="82"/>
              </w:rPr>
              <w:t>388,467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spacing w:after="0" w:line="136"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2"/>
                <w:szCs w:val="12"/>
                <w:color w:val="auto"/>
              </w:rPr>
            </w:pPr>
          </w:p>
        </w:tc>
        <w:tc>
          <w:tcPr>
            <w:tcW w:w="13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2"/>
                <w:szCs w:val="12"/>
                <w:color w:val="auto"/>
              </w:rPr>
            </w:pPr>
          </w:p>
        </w:tc>
        <w:tc>
          <w:tcPr>
            <w:tcW w:w="1460" w:type="dxa"/>
            <w:vAlign w:val="bottom"/>
            <w:gridSpan w:val="6"/>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Ended</w:t>
            </w:r>
          </w:p>
        </w:tc>
        <w:tc>
          <w:tcPr>
            <w:tcW w:w="920" w:type="dxa"/>
            <w:vAlign w:val="bottom"/>
            <w:gridSpan w:val="3"/>
          </w:tcPr>
          <w:p>
            <w:pPr>
              <w:jc w:val="center"/>
              <w:ind w:left="514"/>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60" w:type="dxa"/>
            <w:vAlign w:val="bottom"/>
            <w:gridSpan w:val="6"/>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780" w:type="dxa"/>
            <w:vAlign w:val="bottom"/>
            <w:gridSpan w:val="2"/>
          </w:tcPr>
          <w:p>
            <w:pPr>
              <w:jc w:val="center"/>
              <w:ind w:left="392"/>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6"/>
              </w:rPr>
              <w:t>as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9"/>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Previously</w:t>
            </w:r>
          </w:p>
        </w:tc>
        <w:tc>
          <w:tcPr>
            <w:tcW w:w="720" w:type="dxa"/>
            <w:vAlign w:val="bottom"/>
            <w:gridSpan w:val="4"/>
          </w:tcPr>
          <w:p>
            <w:pPr>
              <w:jc w:val="center"/>
              <w:ind w:left="372"/>
              <w:spacing w:after="0" w:line="149" w:lineRule="exact"/>
              <w:rPr>
                <w:sz w:val="20"/>
                <w:szCs w:val="20"/>
                <w:color w:val="auto"/>
              </w:rPr>
            </w:pPr>
            <w:r>
              <w:rPr>
                <w:rFonts w:ascii="Arial" w:cs="Arial" w:eastAsia="Arial" w:hAnsi="Arial"/>
                <w:sz w:val="14"/>
                <w:szCs w:val="14"/>
                <w:b w:val="1"/>
                <w:bCs w:val="1"/>
                <w:color w:val="auto"/>
                <w:w w:val="89"/>
              </w:rPr>
              <w:t>2001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5"/>
          </w:tcPr>
          <w:p>
            <w:pPr>
              <w:jc w:val="center"/>
              <w:ind w:right="452"/>
              <w:spacing w:after="0" w:line="149"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2"/>
                <w:szCs w:val="12"/>
                <w:color w:val="auto"/>
              </w:rPr>
            </w:pPr>
          </w:p>
        </w:tc>
        <w:tc>
          <w:tcPr>
            <w:tcW w:w="1920" w:type="dxa"/>
            <w:vAlign w:val="bottom"/>
            <w:gridSpan w:val="9"/>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5"/>
                <w:szCs w:val="15"/>
                <w:color w:val="auto"/>
              </w:rPr>
            </w:pPr>
          </w:p>
        </w:tc>
        <w:tc>
          <w:tcPr>
            <w:tcW w:w="13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5"/>
          </w:tcPr>
          <w:p>
            <w:pPr>
              <w:jc w:val="center"/>
              <w:ind w:right="472"/>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1920" w:type="dxa"/>
            <w:vAlign w:val="bottom"/>
            <w:gridSpan w:val="9"/>
          </w:tcPr>
          <w:p>
            <w:pPr>
              <w:jc w:val="center"/>
              <w:ind w:right="7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945</w:t>
            </w:r>
          </w:p>
        </w:tc>
        <w:tc>
          <w:tcPr>
            <w:tcW w:w="840" w:type="dxa"/>
            <w:vAlign w:val="bottom"/>
            <w:gridSpan w:val="2"/>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center"/>
              <w:ind w:right="392"/>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9,042</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5,490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10,980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11,862</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4,599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8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(14,348)</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(9,813)</w:t>
            </w:r>
          </w:p>
        </w:tc>
        <w:tc>
          <w:tcPr>
            <w:tcW w:w="1140" w:type="dxa"/>
            <w:vAlign w:val="bottom"/>
            <w:gridSpan w:val="7"/>
          </w:tcPr>
          <w:p>
            <w:pPr>
              <w:jc w:val="right"/>
              <w:ind w:right="20"/>
              <w:spacing w:after="0" w:line="149" w:lineRule="exact"/>
              <w:rPr>
                <w:sz w:val="20"/>
                <w:szCs w:val="20"/>
                <w:color w:val="auto"/>
              </w:rPr>
            </w:pPr>
            <w:r>
              <w:rPr>
                <w:rFonts w:ascii="Arial" w:cs="Arial" w:eastAsia="Arial" w:hAnsi="Arial"/>
                <w:sz w:val="14"/>
                <w:szCs w:val="14"/>
                <w:color w:val="auto"/>
              </w:rPr>
              <w:t>(10,456)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w w:val="84"/>
              </w:rPr>
              <w:t>(20,151)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(21,217)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(14,693)</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(12,776)</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5"/>
              </w:rPr>
              <w:t>(8,234)</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4"/>
              </w:rPr>
              <w:t>(16,899)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(17,726)</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right"/>
              <w:ind w:right="180"/>
              <w:spacing w:after="0" w:line="136" w:lineRule="exact"/>
              <w:rPr>
                <w:sz w:val="20"/>
                <w:szCs w:val="20"/>
                <w:color w:val="auto"/>
              </w:rPr>
            </w:pPr>
            <w:r>
              <w:rPr>
                <w:rFonts w:ascii="Arial" w:cs="Arial" w:eastAsia="Arial" w:hAnsi="Arial"/>
                <w:sz w:val="14"/>
                <w:szCs w:val="14"/>
                <w:color w:val="auto"/>
              </w:rPr>
              <w:t>(70.37)</w:t>
            </w:r>
          </w:p>
        </w:tc>
        <w:tc>
          <w:tcPr>
            <w:tcW w:w="80" w:type="dxa"/>
            <w:vAlign w:val="bottom"/>
          </w:tcPr>
          <w:p>
            <w:pPr>
              <w:spacing w:after="0"/>
              <w:rPr>
                <w:sz w:val="11"/>
                <w:szCs w:val="11"/>
                <w:color w:val="auto"/>
              </w:rPr>
            </w:pPr>
          </w:p>
        </w:tc>
        <w:tc>
          <w:tcPr>
            <w:tcW w:w="10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(61.19)</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4"/>
          </w:tcPr>
          <w:p>
            <w:pPr>
              <w:jc w:val="right"/>
              <w:ind w:right="100"/>
              <w:spacing w:after="0" w:line="136" w:lineRule="exact"/>
              <w:rPr>
                <w:sz w:val="20"/>
                <w:szCs w:val="20"/>
                <w:color w:val="auto"/>
              </w:rPr>
            </w:pPr>
            <w:r>
              <w:rPr>
                <w:rFonts w:ascii="Arial" w:cs="Arial" w:eastAsia="Arial" w:hAnsi="Arial"/>
                <w:sz w:val="14"/>
                <w:szCs w:val="14"/>
                <w:color w:val="auto"/>
              </w:rPr>
              <w:t>(39.04)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3"/>
          </w:tcPr>
          <w:p>
            <w:pPr>
              <w:jc w:val="right"/>
              <w:ind w:right="20"/>
              <w:spacing w:after="0" w:line="136" w:lineRule="exact"/>
              <w:rPr>
                <w:sz w:val="20"/>
                <w:szCs w:val="20"/>
                <w:color w:val="auto"/>
              </w:rPr>
            </w:pPr>
            <w:r>
              <w:rPr>
                <w:rFonts w:ascii="Arial" w:cs="Arial" w:eastAsia="Arial" w:hAnsi="Arial"/>
                <w:sz w:val="14"/>
                <w:szCs w:val="14"/>
                <w:color w:val="auto"/>
                <w:w w:val="85"/>
              </w:rPr>
              <w:t>(40.52)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jc w:val="right"/>
              <w:ind w:right="112"/>
              <w:spacing w:after="0" w:line="136" w:lineRule="exact"/>
              <w:rPr>
                <w:sz w:val="20"/>
                <w:szCs w:val="20"/>
                <w:color w:val="auto"/>
              </w:rPr>
            </w:pPr>
            <w:r>
              <w:rPr>
                <w:rFonts w:ascii="Arial" w:cs="Arial" w:eastAsia="Arial" w:hAnsi="Arial"/>
                <w:sz w:val="14"/>
                <w:szCs w:val="14"/>
                <w:color w:val="auto"/>
                <w:w w:val="99"/>
              </w:rPr>
              <w:t>(82.24)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 2000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18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118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December 31, 2000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0" w:type="dxa"/>
            <w:vAlign w:val="bottom"/>
          </w:tcPr>
          <w:p>
            <w:pPr>
              <w:spacing w:after="0"/>
              <w:rPr>
                <w:sz w:val="12"/>
                <w:szCs w:val="12"/>
                <w:color w:val="auto"/>
              </w:rPr>
            </w:pPr>
          </w:p>
        </w:tc>
        <w:tc>
          <w:tcPr>
            <w:tcW w:w="11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1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4"/>
              </w:rPr>
              <w:t>Restated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3"/>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5,706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24,695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15,626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(10,572)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(12,120)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(45,432)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(9,155)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(40,747)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(45.78)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(53.08)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jc w:val="right"/>
              <w:ind w:right="92"/>
              <w:spacing w:after="0"/>
              <w:rPr>
                <w:sz w:val="20"/>
                <w:szCs w:val="20"/>
                <w:color w:val="auto"/>
              </w:rPr>
            </w:pPr>
            <w:r>
              <w:rPr>
                <w:rFonts w:ascii="Arial" w:cs="Arial" w:eastAsia="Arial" w:hAnsi="Arial"/>
                <w:sz w:val="14"/>
                <w:szCs w:val="14"/>
                <w:color w:val="auto"/>
              </w:rPr>
              <w:t>(199.27)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(201.08)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-3140075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-3140075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-3140075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-3140075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-3140075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-3140075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-3140075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-3140075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-3140075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-3140075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-3140075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-3140075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-1948180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-1948180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-1948180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-1948180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-1948180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-1948180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-1948180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-1948180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-1948180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-1948180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-1948180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-1948180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-661670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-661670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-661670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-661670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-661670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-661670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-661670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-661670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3" w:right="239" w:bottom="0" w:gutter="0" w:footer="0" w:header="0"/>
        </w:sectPr>
      </w:pPr>
    </w:p>
    <w:bookmarkStart w:id="116" w:name="page117"/>
    <w:bookmarkEnd w:id="116"/>
    <w:p>
      <w:pPr>
        <w:jc w:val="center"/>
        <w:ind w:right="-1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34,615,000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Lazard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SG Cowen</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280"/>
          </w:cols>
          <w:pgMar w:left="240" w:top="131" w:right="379" w:bottom="215"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215" w:gutter="0" w:footer="0" w:header="0"/>
          <w:type w:val="continuous"/>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-1574800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intends to enter into separate indemnification agreements, attached as Exhibit 10.14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80" w:firstLine="359"/>
        <w:spacing w:after="0" w:line="332" w:lineRule="auto"/>
        <w:tabs>
          <w:tab w:leader="none" w:pos="117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ectPr>
          <w:pgSz w:w="11900" w:h="16838" w:orient="portrait"/>
          <w:cols w:equalWidth="0" w:num="1">
            <w:col w:w="11420"/>
          </w:cols>
          <w:pgMar w:left="240" w:top="341" w:right="239" w:bottom="0" w:gutter="0" w:footer="0" w:header="0"/>
        </w:sectPr>
      </w:pPr>
    </w:p>
    <w:bookmarkStart w:id="118" w:name="page119"/>
    <w:bookmarkEnd w:id="118"/>
    <w:p>
      <w:pPr>
        <w:spacing w:after="0" w:line="61" w:lineRule="exact"/>
        <w:rPr>
          <w:sz w:val="20"/>
          <w:szCs w:val="20"/>
          <w:color w:val="auto"/>
        </w:rPr>
      </w:pPr>
    </w:p>
    <w:p>
      <w:pPr>
        <w:ind w:left="540" w:right="60" w:firstLine="359"/>
        <w:spacing w:after="0" w:line="314" w:lineRule="auto"/>
        <w:tabs>
          <w:tab w:leader="none" w:pos="118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380" w:firstLine="359"/>
        <w:spacing w:after="0" w:line="268" w:lineRule="auto"/>
        <w:tabs>
          <w:tab w:leader="none" w:pos="117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June 2002, the Kenneth R. Wynn Family Trust contributed $1.2 million in cash to Valvino in exchange for 307.38 common shares, which represented approximately 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0.146% interest in the profits and losses of Valvino, and was admitted as a member of Valvino.</w:t>
      </w:r>
    </w:p>
    <w:p>
      <w:pPr>
        <w:spacing w:after="0" w:line="225" w:lineRule="exact"/>
        <w:rPr>
          <w:sz w:val="20"/>
          <w:szCs w:val="20"/>
          <w:color w:val="auto"/>
        </w:rPr>
      </w:pPr>
    </w:p>
    <w:p>
      <w:pPr>
        <w:ind w:left="540" w:firstLine="359"/>
        <w:spacing w:after="0" w:line="268" w:lineRule="auto"/>
        <w:tabs>
          <w:tab w:leader="none" w:pos="12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780" w:hanging="563"/>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80" w:right="2660" w:hanging="651"/>
        <w:spacing w:after="0" w:line="261"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500" w:hanging="644"/>
        <w:spacing w:after="0" w:line="254"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2560" w:hanging="651"/>
        <w:spacing w:after="0" w:line="250" w:lineRule="auto"/>
        <w:tabs>
          <w:tab w:leader="none" w:pos="10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April 1, 2002, by and between Wynn Resorts Holdings, LLC and Ronald J.</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Kramer.(2)</w:t>
      </w:r>
    </w:p>
    <w:p>
      <w:pPr>
        <w:sectPr>
          <w:pgSz w:w="11900" w:h="16900" w:orient="portrait"/>
          <w:cols w:equalWidth="0" w:num="1">
            <w:col w:w="11400"/>
          </w:cols>
          <w:pgMar w:left="240" w:top="131" w:right="259" w:bottom="0" w:gutter="0" w:footer="0" w:header="0"/>
        </w:sectPr>
      </w:pPr>
    </w:p>
    <w:bookmarkStart w:id="119" w:name="page120"/>
    <w:bookmarkEnd w:id="119"/>
    <w:p>
      <w:pPr>
        <w:spacing w:after="0" w:line="6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15"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pacing w:after="0" w:line="1" w:lineRule="exact"/>
        <w:rPr>
          <w:sz w:val="20"/>
          <w:szCs w:val="20"/>
          <w:color w:val="auto"/>
        </w:rPr>
      </w:pPr>
    </w:p>
    <w:p>
      <w:pPr>
        <w:ind w:left="660" w:right="1599" w:hanging="651"/>
        <w:spacing w:after="0" w:line="250" w:lineRule="auto"/>
        <w:tabs>
          <w:tab w:leader="none" w:pos="640" w:val="left"/>
        </w:tabs>
        <w:rPr>
          <w:sz w:val="20"/>
          <w:szCs w:val="20"/>
          <w:color w:val="auto"/>
        </w:rPr>
      </w:pPr>
      <w:r>
        <w:rPr>
          <w:rFonts w:ascii="Arial" w:cs="Arial" w:eastAsia="Arial" w:hAnsi="Arial"/>
          <w:sz w:val="18"/>
          <w:szCs w:val="18"/>
          <w:color w:val="auto"/>
        </w:rPr>
        <w:t>10.51</w:t>
        <w:tab/>
        <w:t>Employment Agreement, dated as of October 4, 2002, by and between Wynn Resorts, Limited and Marc D. Schorr.(7)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660" w:right="1679" w:hanging="651"/>
        <w:spacing w:after="0" w:line="250" w:lineRule="auto"/>
        <w:tabs>
          <w:tab w:leader="none" w:pos="640"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660" w:right="1459" w:hanging="651"/>
        <w:spacing w:after="0" w:line="255" w:lineRule="auto"/>
        <w:tabs>
          <w:tab w:leader="none" w:pos="640"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Association.(14)</w:t>
      </w:r>
    </w:p>
    <w:p>
      <w:pPr>
        <w:sectPr>
          <w:pgSz w:w="11900" w:h="16907" w:orient="portrait"/>
          <w:cols w:equalWidth="0" w:num="1">
            <w:col w:w="9799"/>
          </w:cols>
          <w:pgMar w:left="660" w:top="131" w:right="1440" w:bottom="0" w:gutter="0" w:footer="0" w:header="0"/>
        </w:sectPr>
      </w:pPr>
    </w:p>
    <w:bookmarkStart w:id="120" w:name="page121"/>
    <w:bookmarkEnd w:id="120"/>
    <w:p>
      <w:pPr>
        <w:ind w:left="1080" w:right="2780" w:hanging="651"/>
        <w:spacing w:after="0" w:line="254" w:lineRule="auto"/>
        <w:tabs>
          <w:tab w:leader="none" w:pos="1060"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ind w:left="420"/>
        <w:spacing w:after="0"/>
        <w:tabs>
          <w:tab w:leader="none" w:pos="106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Form of Lease Agreement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Form of Golf Course Lease by and between Wynn Resorts Holdings,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6"/>
          <w:szCs w:val="16"/>
          <w:color w:val="auto"/>
        </w:rPr>
        <w:t>Form of Driving Range Lease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Form of Parking Facility Lease by and between Valvino Lamore, LLC and Wynn Las Vegas, LLC.(7)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00" w:type="dxa"/>
            <w:vAlign w:val="bottom"/>
          </w:tcPr>
          <w:p>
            <w:pPr>
              <w:jc w:val="right"/>
              <w:ind w:right="5492"/>
              <w:spacing w:after="0"/>
              <w:rPr>
                <w:sz w:val="20"/>
                <w:szCs w:val="20"/>
                <w:color w:val="auto"/>
              </w:rPr>
            </w:pPr>
            <w:r>
              <w:rPr>
                <w:rFonts w:ascii="Arial" w:cs="Arial" w:eastAsia="Arial" w:hAnsi="Arial"/>
                <w:sz w:val="18"/>
                <w:szCs w:val="18"/>
                <w:color w:val="auto"/>
              </w:rPr>
              <w:t>II-5</w:t>
            </w:r>
          </w:p>
        </w:tc>
      </w:tr>
      <w:tr>
        <w:trPr>
          <w:trHeight w:val="228"/>
        </w:trPr>
        <w:tc>
          <w:tcPr>
            <w:tcW w:w="94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3"/>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10.64</w:t>
            </w: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60" w:type="dxa"/>
            <w:vAlign w:val="bottom"/>
            <w:gridSpan w:val="2"/>
          </w:tcPr>
          <w:p>
            <w:pPr>
              <w:jc w:val="right"/>
              <w:ind w:right="2812"/>
              <w:spacing w:after="0"/>
              <w:rPr>
                <w:sz w:val="20"/>
                <w:szCs w:val="20"/>
                <w:color w:val="auto"/>
              </w:rPr>
            </w:pPr>
            <w:r>
              <w:rPr>
                <w:rFonts w:ascii="Arial" w:cs="Arial" w:eastAsia="Arial" w:hAnsi="Arial"/>
                <w:sz w:val="18"/>
                <w:szCs w:val="18"/>
                <w:color w:val="auto"/>
                <w:w w:val="95"/>
              </w:rPr>
              <w:t>, 2002, by and among Wynn Las Vegas, LLC and the</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10.65</w:t>
            </w:r>
          </w:p>
        </w:tc>
        <w:tc>
          <w:tcPr>
            <w:tcW w:w="352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60" w:type="dxa"/>
            <w:vAlign w:val="bottom"/>
            <w:gridSpan w:val="2"/>
          </w:tcPr>
          <w:p>
            <w:pPr>
              <w:jc w:val="right"/>
              <w:ind w:right="2952"/>
              <w:spacing w:after="0"/>
              <w:rPr>
                <w:sz w:val="20"/>
                <w:szCs w:val="20"/>
                <w:color w:val="auto"/>
              </w:rPr>
            </w:pPr>
            <w:r>
              <w:rPr>
                <w:rFonts w:ascii="Arial" w:cs="Arial" w:eastAsia="Arial" w:hAnsi="Arial"/>
                <w:sz w:val="18"/>
                <w:szCs w:val="18"/>
                <w:color w:val="auto"/>
                <w:w w:val="91"/>
              </w:rPr>
              <w:t>, 2002, among Wynn Las Vegas, LLC and the several</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6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 2002, by and among Wynn Las Vegas, LLC, Wells Fargo</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0"/>
              </w:rPr>
              <w:t>Generale to Deutsche Bank Securities Inc.(10)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to 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the several Underwriters listed in Schedule I thereto.(9)</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00" w:type="dxa"/>
            <w:vAlign w:val="bottom"/>
          </w:tcPr>
          <w:p>
            <w:pPr>
              <w:jc w:val="right"/>
              <w:ind w:right="2672"/>
              <w:spacing w:after="0"/>
              <w:rPr>
                <w:sz w:val="20"/>
                <w:szCs w:val="20"/>
                <w:color w:val="auto"/>
              </w:rPr>
            </w:pPr>
            <w:r>
              <w:rPr>
                <w:rFonts w:ascii="Arial" w:cs="Arial" w:eastAsia="Arial" w:hAnsi="Arial"/>
                <w:sz w:val="18"/>
                <w:szCs w:val="18"/>
                <w:color w:val="auto"/>
                <w:w w:val="94"/>
              </w:rPr>
              <w:t>, 2002, by Wynn Las Vegas,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00" w:type="dxa"/>
            <w:vAlign w:val="bottom"/>
          </w:tcPr>
          <w:p>
            <w:pPr>
              <w:jc w:val="right"/>
              <w:ind w:right="2492"/>
              <w:spacing w:after="0"/>
              <w:rPr>
                <w:sz w:val="20"/>
                <w:szCs w:val="20"/>
                <w:color w:val="auto"/>
              </w:rPr>
            </w:pPr>
            <w:r>
              <w:rPr>
                <w:rFonts w:ascii="Arial" w:cs="Arial" w:eastAsia="Arial" w:hAnsi="Arial"/>
                <w:sz w:val="18"/>
                <w:szCs w:val="18"/>
                <w:color w:val="auto"/>
                <w:w w:val="90"/>
              </w:rPr>
              <w:t>, 2002, by Wells Fargo Bank Northwest, National</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10.80</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22"/>
        </w:trPr>
        <w:tc>
          <w:tcPr>
            <w:tcW w:w="940" w:type="dxa"/>
            <w:vAlign w:val="bottom"/>
          </w:tcPr>
          <w:p>
            <w:pPr>
              <w:spacing w:after="0"/>
              <w:rPr>
                <w:sz w:val="19"/>
                <w:szCs w:val="19"/>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432"/>
        </w:trPr>
        <w:tc>
          <w:tcPr>
            <w:tcW w:w="9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00" w:type="dxa"/>
            <w:vAlign w:val="bottom"/>
          </w:tcPr>
          <w:p>
            <w:pPr>
              <w:jc w:val="right"/>
              <w:ind w:right="5492"/>
              <w:spacing w:after="0"/>
              <w:rPr>
                <w:sz w:val="20"/>
                <w:szCs w:val="20"/>
                <w:color w:val="auto"/>
              </w:rPr>
            </w:pPr>
            <w:r>
              <w:rPr>
                <w:rFonts w:ascii="Arial" w:cs="Arial" w:eastAsia="Arial" w:hAnsi="Arial"/>
                <w:sz w:val="18"/>
                <w:szCs w:val="18"/>
                <w:color w:val="auto"/>
              </w:rPr>
              <w:t>II-6</w:t>
            </w:r>
          </w:p>
        </w:tc>
      </w:tr>
      <w:tr>
        <w:trPr>
          <w:trHeight w:val="228"/>
        </w:trPr>
        <w:tc>
          <w:tcPr>
            <w:tcW w:w="94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gridSpan w:val="2"/>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r>
      <w:tr>
        <w:trPr>
          <w:trHeight w:val="313"/>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10.83</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1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10.84</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5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94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10.85</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772"/>
              <w:spacing w:after="0"/>
              <w:rPr>
                <w:sz w:val="20"/>
                <w:szCs w:val="20"/>
                <w:color w:val="auto"/>
              </w:rPr>
            </w:pPr>
            <w:r>
              <w:rPr>
                <w:rFonts w:ascii="Arial" w:cs="Arial" w:eastAsia="Arial" w:hAnsi="Arial"/>
                <w:sz w:val="18"/>
                <w:szCs w:val="18"/>
                <w:color w:val="auto"/>
                <w:w w:val="90"/>
              </w:rPr>
              <w:t>, 2002, by Wynn Resorts, Limited in favor of Wells Fargo</w:t>
            </w:r>
          </w:p>
        </w:tc>
      </w:tr>
      <w:tr>
        <w:trPr>
          <w:trHeight w:val="216"/>
        </w:trPr>
        <w:tc>
          <w:tcPr>
            <w:tcW w:w="94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National Association, as Trustee.(11)</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552"/>
              <w:spacing w:after="0"/>
              <w:rPr>
                <w:sz w:val="20"/>
                <w:szCs w:val="20"/>
                <w:color w:val="auto"/>
              </w:rPr>
            </w:pPr>
            <w:r>
              <w:rPr>
                <w:rFonts w:ascii="Arial" w:cs="Arial" w:eastAsia="Arial" w:hAnsi="Arial"/>
                <w:sz w:val="18"/>
                <w:szCs w:val="18"/>
                <w:color w:val="auto"/>
                <w:w w:val="90"/>
              </w:rPr>
              <w:t>, 2002, by Wynn Resorts, Limited in favor of Deutsche Bank</w:t>
            </w:r>
          </w:p>
        </w:tc>
      </w:tr>
      <w:tr>
        <w:trPr>
          <w:trHeight w:val="216"/>
        </w:trPr>
        <w:tc>
          <w:tcPr>
            <w:tcW w:w="94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Trust Company Americas, as administrative agent.(11)</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10.87</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Purchase Agreement.(13)</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10.88</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First Amendment to 2002 Stock Incentive Plan.(15)</w:t>
            </w:r>
          </w:p>
        </w:tc>
        <w:tc>
          <w:tcPr>
            <w:tcW w:w="6100" w:type="dxa"/>
            <w:vAlign w:val="bottom"/>
          </w:tcPr>
          <w:p>
            <w:pPr>
              <w:spacing w:after="0"/>
              <w:rPr>
                <w:sz w:val="18"/>
                <w:szCs w:val="18"/>
                <w:color w:val="auto"/>
              </w:rPr>
            </w:pPr>
          </w:p>
        </w:tc>
      </w:tr>
      <w:tr>
        <w:trPr>
          <w:trHeight w:val="216"/>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352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22"/>
        </w:trPr>
        <w:tc>
          <w:tcPr>
            <w:tcW w:w="94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352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-9221470</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-9221470</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-2275205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1" w:name="page122"/>
    <w:bookmarkEnd w:id="121"/>
    <w:p>
      <w:pPr>
        <w:ind w:left="5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(included in Exhibit 5.1).(8)</w:t>
      </w:r>
    </w:p>
    <w:p>
      <w:pPr>
        <w:spacing w:after="0" w:line="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LLP.(15)</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2"/>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2"/>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2"/>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62"/>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162"/>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2"/>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6 to the Form S-1 filed by the Registrant on October 22, 2002.</w:t>
      </w:r>
    </w:p>
    <w:p>
      <w:pPr>
        <w:spacing w:after="0" w:line="71" w:lineRule="exact"/>
        <w:rPr>
          <w:rFonts w:ascii="Arial" w:cs="Arial" w:eastAsia="Arial" w:hAnsi="Arial"/>
          <w:sz w:val="23"/>
          <w:szCs w:val="23"/>
          <w:color w:val="auto"/>
          <w:vertAlign w:val="subscript"/>
        </w:rPr>
      </w:pPr>
    </w:p>
    <w:p>
      <w:pPr>
        <w:ind w:left="540" w:right="500" w:hanging="532"/>
        <w:spacing w:after="0" w:line="186" w:lineRule="auto"/>
        <w:tabs>
          <w:tab w:leader="none" w:pos="540" w:val="left"/>
        </w:tabs>
        <w:numPr>
          <w:ilvl w:val="0"/>
          <w:numId w:val="162"/>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line="187" w:lineRule="auto"/>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 on October 23, 2002.</w:t>
      </w:r>
    </w:p>
    <w:p>
      <w:pPr>
        <w:spacing w:after="0" w:line="85" w:lineRule="exact"/>
        <w:rPr>
          <w:rFonts w:ascii="Arial" w:cs="Arial" w:eastAsia="Arial" w:hAnsi="Arial"/>
          <w:sz w:val="27"/>
          <w:szCs w:val="27"/>
          <w:color w:val="auto"/>
          <w:vertAlign w:val="subscript"/>
        </w:rPr>
      </w:pPr>
    </w:p>
    <w:p>
      <w:pPr>
        <w:ind w:left="540" w:right="500" w:hanging="532"/>
        <w:spacing w:after="0" w:line="186" w:lineRule="auto"/>
        <w:tabs>
          <w:tab w:leader="none" w:pos="540" w:val="left"/>
        </w:tabs>
        <w:numPr>
          <w:ilvl w:val="0"/>
          <w:numId w:val="162"/>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8 to the Form S-1 filed by the Registrant on October 24, 2002.</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162"/>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9 to the Form S-1 filed by the Registrant on October 24, 2002.</w:t>
      </w:r>
    </w:p>
    <w:p>
      <w:pPr>
        <w:spacing w:after="0" w:line="85" w:lineRule="exact"/>
        <w:rPr>
          <w:rFonts w:ascii="Arial" w:cs="Arial" w:eastAsia="Arial" w:hAnsi="Arial"/>
          <w:sz w:val="21"/>
          <w:szCs w:val="21"/>
          <w:color w:val="auto"/>
          <w:vertAlign w:val="subscript"/>
        </w:rPr>
      </w:pPr>
    </w:p>
    <w:p>
      <w:pPr>
        <w:ind w:left="540" w:right="500" w:hanging="532"/>
        <w:spacing w:after="0" w:line="186" w:lineRule="auto"/>
        <w:tabs>
          <w:tab w:leader="none" w:pos="540" w:val="left"/>
        </w:tabs>
        <w:numPr>
          <w:ilvl w:val="0"/>
          <w:numId w:val="162"/>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8 to the Registration Statement on Form S-1 of Wynn Las Vegas, LLC, Wynn Las Vegas Capital Corp. and the Other Registrants listed therein on October 24, 2002 (Registration No. 333-98369).</w:t>
      </w:r>
    </w:p>
    <w:p>
      <w:pPr>
        <w:ind w:left="540" w:hanging="532"/>
        <w:spacing w:after="0" w:line="187" w:lineRule="auto"/>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00" w:firstLine="359"/>
        <w:spacing w:after="0" w:line="306" w:lineRule="auto"/>
        <w:tabs>
          <w:tab w:leader="none" w:pos="11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00" w:firstLine="359"/>
        <w:spacing w:after="0" w:line="259" w:lineRule="auto"/>
        <w:tabs>
          <w:tab w:leader="none" w:pos="11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10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78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92075</wp:posOffset>
            </wp:positionV>
            <wp:extent cx="3331845"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122" w:name="page123"/>
    <w:bookmarkEnd w:id="122"/>
    <w:p>
      <w:pPr>
        <w:spacing w:after="0" w:line="42"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sectPr>
          <w:pgSz w:w="11900" w:h="16880" w:orient="portrait"/>
          <w:cols w:equalWidth="0" w:num="2">
            <w:col w:w="6640" w:space="440"/>
            <w:col w:w="4340"/>
          </w:cols>
          <w:pgMar w:left="240" w:top="212" w:right="239" w:bottom="0" w:gutter="0" w:footer="0" w:header="0"/>
        </w:sectPr>
      </w:pPr>
    </w:p>
    <w:p>
      <w:pPr>
        <w:spacing w:after="0" w:line="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8"/>
              </w:rPr>
              <w:t>Stephen A. Wynn</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2960" w:type="dxa"/>
            <w:vAlign w:val="bottom"/>
          </w:tcPr>
          <w:p>
            <w:pPr>
              <w:ind w:left="180"/>
              <w:spacing w:after="0"/>
              <w:rPr>
                <w:sz w:val="20"/>
                <w:szCs w:val="20"/>
                <w:color w:val="auto"/>
              </w:rPr>
            </w:pPr>
            <w:r>
              <w:rPr>
                <w:rFonts w:ascii="Arial" w:cs="Arial" w:eastAsia="Arial" w:hAnsi="Arial"/>
                <w:sz w:val="18"/>
                <w:szCs w:val="18"/>
                <w:color w:val="auto"/>
              </w:rPr>
              <w:t>/s/ 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960" w:type="dxa"/>
            <w:vAlign w:val="bottom"/>
            <w:vMerge w:val="restart"/>
          </w:tcPr>
          <w:p>
            <w:pPr>
              <w:jc w:val="center"/>
              <w:ind w:right="71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Vice Chairman of the Board</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7"/>
              </w:rPr>
              <w:t>Kazuo Okada</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8"/>
              </w:rPr>
              <w:t>Ronald J. Kramer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92"/>
              </w:rPr>
              <w:t>Robert J. Miller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w w:val="90"/>
              </w:rPr>
              <w:t>John A. Moran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87"/>
              </w:rPr>
              <w:t>Elaine P. Wynn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w w:val="89"/>
              </w:rPr>
              <w:t>Stanley R. Zax</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2960" w:type="dxa"/>
            <w:vAlign w:val="bottom"/>
          </w:tcPr>
          <w:p>
            <w:pPr>
              <w:jc w:val="center"/>
              <w:ind w:right="7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2960" w:type="dxa"/>
            <w:vAlign w:val="bottom"/>
          </w:tcPr>
          <w:p>
            <w:pPr>
              <w:jc w:val="center"/>
              <w:ind w:right="712"/>
              <w:spacing w:after="0"/>
              <w:rPr>
                <w:sz w:val="20"/>
                <w:szCs w:val="20"/>
                <w:color w:val="auto"/>
              </w:rPr>
            </w:pPr>
            <w:r>
              <w:rPr>
                <w:rFonts w:ascii="Arial" w:cs="Arial" w:eastAsia="Arial" w:hAnsi="Arial"/>
                <w:sz w:val="18"/>
                <w:szCs w:val="18"/>
                <w:color w:val="auto"/>
                <w:w w:val="91"/>
              </w:rPr>
              <w:t>Allan Zeman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Pr>
          <w:p>
            <w:pPr>
              <w:ind w:left="1040"/>
              <w:spacing w:after="0"/>
              <w:rPr>
                <w:sz w:val="20"/>
                <w:szCs w:val="20"/>
                <w:color w:val="auto"/>
              </w:rPr>
            </w:pPr>
            <w:r>
              <w:rPr>
                <w:rFonts w:ascii="Arial" w:cs="Arial" w:eastAsia="Arial" w:hAnsi="Arial"/>
                <w:sz w:val="18"/>
                <w:szCs w:val="18"/>
                <w:color w:val="auto"/>
              </w:rPr>
              <w:t>/s/ 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6"/>
              </w:rPr>
              <w:t>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i w:val="1"/>
                <w:iCs w:val="1"/>
                <w:color w:val="auto"/>
                <w:w w:val="91"/>
              </w:rPr>
              <w:t>Attorney-in-fact</w:t>
            </w:r>
          </w:p>
        </w:tc>
        <w:tc>
          <w:tcPr>
            <w:tcW w:w="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ind w:left="900"/>
              <w:spacing w:after="0"/>
              <w:rPr>
                <w:sz w:val="20"/>
                <w:szCs w:val="20"/>
                <w:color w:val="auto"/>
              </w:rPr>
            </w:pPr>
            <w:r>
              <w:rPr>
                <w:rFonts w:ascii="Arial" w:cs="Arial" w:eastAsia="Arial" w:hAnsi="Arial"/>
                <w:sz w:val="18"/>
                <w:szCs w:val="18"/>
                <w:color w:val="auto"/>
              </w:rPr>
              <w:t>S-1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-6840855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-6840855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-6274435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-6274435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-5571490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-5571490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-4867910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-4867910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-4164965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-4164965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-3462020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-2758440</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-2758440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-2055495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-786130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Valviono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ectPr>
          <w:pgSz w:w="11900" w:h="16880" w:orient="portrait"/>
          <w:cols w:equalWidth="0" w:num="1">
            <w:col w:w="11420"/>
          </w:cols>
          <w:pgMar w:left="240" w:top="212" w:right="239"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w w:val="85"/>
              </w:rPr>
              <w:t>Balance at</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280" w:type="dxa"/>
            <w:vAlign w:val="bottom"/>
          </w:tcPr>
          <w:p>
            <w:pPr>
              <w:spacing w:after="0"/>
              <w:rPr>
                <w:sz w:val="12"/>
                <w:szCs w:val="12"/>
                <w:color w:val="auto"/>
              </w:rPr>
            </w:pPr>
          </w:p>
        </w:tc>
        <w:tc>
          <w:tcPr>
            <w:tcW w:w="920" w:type="dxa"/>
            <w:vAlign w:val="bottom"/>
          </w:tcPr>
          <w:p>
            <w:pPr>
              <w:jc w:val="right"/>
              <w:ind w:right="324"/>
              <w:spacing w:after="0" w:line="149" w:lineRule="exact"/>
              <w:rPr>
                <w:sz w:val="20"/>
                <w:szCs w:val="20"/>
                <w:color w:val="auto"/>
              </w:rPr>
            </w:pPr>
            <w:r>
              <w:rPr>
                <w:rFonts w:ascii="Arial" w:cs="Arial" w:eastAsia="Arial" w:hAnsi="Arial"/>
                <w:sz w:val="14"/>
                <w:szCs w:val="14"/>
                <w:b w:val="1"/>
                <w:bCs w:val="1"/>
                <w:color w:val="auto"/>
              </w:rPr>
              <w:t>End of</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5"/>
                <w:szCs w:val="15"/>
                <w:color w:val="auto"/>
              </w:rPr>
            </w:pPr>
          </w:p>
        </w:tc>
        <w:tc>
          <w:tcPr>
            <w:tcW w:w="920" w:type="dxa"/>
            <w:vAlign w:val="bottom"/>
          </w:tcPr>
          <w:p>
            <w:pPr>
              <w:jc w:val="right"/>
              <w:ind w:right="324"/>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1,295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80" w:type="dxa"/>
            <w:vAlign w:val="bottom"/>
            <w:gridSpan w:val="3"/>
          </w:tcPr>
          <w:p>
            <w:pPr>
              <w:jc w:val="right"/>
              <w:ind w:right="1280"/>
              <w:spacing w:after="0"/>
              <w:rPr>
                <w:sz w:val="20"/>
                <w:szCs w:val="20"/>
                <w:color w:val="auto"/>
              </w:rPr>
            </w:pPr>
            <w:r>
              <w:rPr>
                <w:rFonts w:ascii="Arial" w:cs="Arial" w:eastAsia="Arial" w:hAnsi="Arial"/>
                <w:sz w:val="18"/>
                <w:szCs w:val="18"/>
                <w:color w:val="auto"/>
              </w:rPr>
              <w:t>S-3</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gridSpan w:val="3"/>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920" w:type="dxa"/>
            <w:vAlign w:val="bottom"/>
            <w:gridSpan w:val="3"/>
          </w:tcPr>
          <w:p>
            <w:pPr>
              <w:jc w:val="center"/>
              <w:ind w:right="3140"/>
              <w:spacing w:after="0"/>
              <w:rPr>
                <w:sz w:val="20"/>
                <w:szCs w:val="20"/>
                <w:color w:val="auto"/>
              </w:rPr>
            </w:pPr>
            <w:r>
              <w:rPr>
                <w:rFonts w:ascii="Arial" w:cs="Arial" w:eastAsia="Arial" w:hAnsi="Arial"/>
                <w:sz w:val="14"/>
                <w:szCs w:val="14"/>
                <w:b w:val="1"/>
                <w:bCs w:val="1"/>
                <w:color w:val="auto"/>
                <w:w w:val="89"/>
              </w:rPr>
              <w:t>Exhibit</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gridSpan w:val="3"/>
          </w:tcPr>
          <w:p>
            <w:pPr>
              <w:jc w:val="center"/>
              <w:ind w:right="3120"/>
              <w:spacing w:after="0"/>
              <w:rPr>
                <w:sz w:val="20"/>
                <w:szCs w:val="20"/>
                <w:color w:val="auto"/>
              </w:rPr>
            </w:pPr>
            <w:r>
              <w:rPr>
                <w:rFonts w:ascii="Arial" w:cs="Arial" w:eastAsia="Arial" w:hAnsi="Arial"/>
                <w:sz w:val="14"/>
                <w:szCs w:val="14"/>
                <w:b w:val="1"/>
                <w:bCs w:val="1"/>
                <w:color w:val="auto"/>
                <w:w w:val="88"/>
              </w:rPr>
              <w:t>No.</w:t>
            </w:r>
          </w:p>
        </w:tc>
        <w:tc>
          <w:tcPr>
            <w:tcW w:w="3180" w:type="dxa"/>
            <w:vAlign w:val="bottom"/>
            <w:gridSpan w:val="3"/>
          </w:tcPr>
          <w:p>
            <w:pPr>
              <w:jc w:val="right"/>
              <w:ind w:right="180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-1746885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-1746885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-1746885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-1746885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-1746885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Agreement.(10)</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Fourth Amended and Restated Bylaws of the Registrant.(12)</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800" w:hanging="563"/>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1080" w:right="316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700"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80" w:right="2680" w:hanging="651"/>
        <w:spacing w:after="0" w:line="250"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1080" w:right="2520" w:hanging="644"/>
        <w:spacing w:after="0" w:line="250"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2580" w:hanging="651"/>
        <w:spacing w:after="0" w:line="250" w:lineRule="auto"/>
        <w:tabs>
          <w:tab w:leader="none" w:pos="10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Employment Agreement, dated April 1, 2002, by and between Wynn Resorts Holdings, LLC and Ronald J.</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Contribution Agreement, dated as of June 11, 2002 by and among Stephen A. Wynn, Aruze USA, Inc., Baron</w:t>
      </w:r>
    </w:p>
    <w:p>
      <w:pPr>
        <w:sectPr>
          <w:pgSz w:w="11900" w:h="16838" w:orient="portrait"/>
          <w:cols w:equalWidth="0" w:num="1">
            <w:col w:w="11420"/>
          </w:cols>
          <w:pgMar w:left="240" w:top="131" w:right="239" w:bottom="0" w:gutter="0" w:footer="0" w:header="0"/>
        </w:sectPr>
      </w:pPr>
    </w:p>
    <w:bookmarkStart w:id="124" w:name="page125"/>
    <w:bookmarkEnd w:id="124"/>
    <w:p>
      <w:pPr>
        <w:jc w:val="center"/>
        <w:ind w:right="1419"/>
        <w:spacing w:after="0"/>
        <w:rPr>
          <w:sz w:val="20"/>
          <w:szCs w:val="20"/>
          <w:color w:val="auto"/>
        </w:rPr>
      </w:pPr>
      <w:r>
        <w:rPr>
          <w:rFonts w:ascii="Arial" w:cs="Arial" w:eastAsia="Arial" w:hAnsi="Arial"/>
          <w:sz w:val="18"/>
          <w:szCs w:val="18"/>
          <w:color w:val="auto"/>
        </w:rPr>
        <w:t>Asset Fund, the Kenneth R. Wynn Family Trust dated February 1985 and Wynn Resorts, Limited.(2)</w:t>
      </w:r>
    </w:p>
    <w:p>
      <w:pPr>
        <w:spacing w:after="0" w:line="15"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61"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10.50</w:t>
        <w:tab/>
        <w:t>First Amendment to Letter of Intent, dated as of October 4, 2002, by and between Valvino Lamore, LLC and Maserati North America, Inc.(7)</w:t>
      </w:r>
    </w:p>
    <w:p>
      <w:pPr>
        <w:spacing w:after="0" w:line="1" w:lineRule="exact"/>
        <w:rPr>
          <w:sz w:val="20"/>
          <w:szCs w:val="20"/>
          <w:color w:val="auto"/>
        </w:rPr>
      </w:pPr>
    </w:p>
    <w:p>
      <w:pPr>
        <w:ind w:left="660" w:right="1599" w:hanging="651"/>
        <w:spacing w:after="0" w:line="250" w:lineRule="auto"/>
        <w:tabs>
          <w:tab w:leader="none" w:pos="640" w:val="left"/>
        </w:tabs>
        <w:rPr>
          <w:sz w:val="20"/>
          <w:szCs w:val="20"/>
          <w:color w:val="auto"/>
        </w:rPr>
      </w:pPr>
      <w:r>
        <w:rPr>
          <w:rFonts w:ascii="Arial" w:cs="Arial" w:eastAsia="Arial" w:hAnsi="Arial"/>
          <w:sz w:val="18"/>
          <w:szCs w:val="18"/>
          <w:color w:val="auto"/>
        </w:rPr>
        <w:t>10.51</w:t>
        <w:tab/>
        <w:t>Employment Agreement, dated as of October 4, 2002, by and between Wynn Resorts, Limited and Marc D. Schorr.(7)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Form of Restricted Stock Agreement.(7)</w:t>
      </w:r>
    </w:p>
    <w:p>
      <w:pPr>
        <w:spacing w:after="0" w:line="9" w:lineRule="exact"/>
        <w:rPr>
          <w:sz w:val="20"/>
          <w:szCs w:val="20"/>
          <w:color w:val="auto"/>
        </w:rPr>
      </w:pPr>
    </w:p>
    <w:p>
      <w:pPr>
        <w:ind w:left="660" w:right="1679" w:hanging="651"/>
        <w:spacing w:after="0" w:line="250" w:lineRule="auto"/>
        <w:tabs>
          <w:tab w:leader="none" w:pos="640" w:val="left"/>
        </w:tabs>
        <w:rPr>
          <w:sz w:val="20"/>
          <w:szCs w:val="20"/>
          <w:color w:val="auto"/>
        </w:rPr>
      </w:pPr>
      <w:r>
        <w:rPr>
          <w:rFonts w:ascii="Arial" w:cs="Arial" w:eastAsia="Arial" w:hAnsi="Arial"/>
          <w:sz w:val="18"/>
          <w:szCs w:val="18"/>
          <w:color w:val="auto"/>
        </w:rPr>
        <w:t>10.53</w:t>
        <w:tab/>
        <w:t>Distribution Agreement and Assignment, effective as of October 17, 2002, by and between Wynn Resorts, Limited and Valvino Lamore, LLC.(7)</w:t>
      </w:r>
    </w:p>
    <w:p>
      <w:pPr>
        <w:spacing w:after="0" w:line="1"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10.54</w:t>
        <w:tab/>
        <w:t>Form of Master Disbursement Agreement by and among Wynn Las Vegas, LLC, Wynn Las Vegas Capital Corp., Wynn Design &amp; Development, LLC, Deutsche Bank Trust Company Americas and Wells Fargo Bank, National Association.(14)</w:t>
      </w:r>
    </w:p>
    <w:p>
      <w:pPr>
        <w:spacing w:after="0" w:line="1"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10.55</w:t>
        <w:tab/>
        <w:t>Form of Deed of Trust, Assignment of Rents and Leases, Security Agreement and Fixture Filing in favor of Wells Fargo Bank, National Association, as trustee under the Indenture.(6)</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6"/>
          <w:szCs w:val="16"/>
          <w:color w:val="auto"/>
        </w:rPr>
        <w:t>Form of Lease Agreement by and between Valvino Lamore, LLC and Wynn Las Vegas, LLC.(7)</w:t>
      </w:r>
    </w:p>
    <w:p>
      <w:pPr>
        <w:sectPr>
          <w:pgSz w:w="11900" w:h="16838" w:orient="portrait"/>
          <w:cols w:equalWidth="0" w:num="1">
            <w:col w:w="9799"/>
          </w:cols>
          <w:pgMar w:left="660" w:top="131" w:right="1440" w:bottom="0" w:gutter="0" w:footer="0" w:header="0"/>
        </w:sectPr>
      </w:pPr>
    </w:p>
    <w:bookmarkStart w:id="125" w:name="page126"/>
    <w:bookmarkEnd w:id="125"/>
    <w:p>
      <w:pPr>
        <w:ind w:left="420"/>
        <w:spacing w:after="0"/>
        <w:tabs>
          <w:tab w:leader="none" w:pos="106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6"/>
          <w:szCs w:val="16"/>
          <w:color w:val="auto"/>
        </w:rPr>
        <w:t>Form of Golf Course Lease by and between Wynn Resorts Holdings, LLC and Wynn Las Vegas, LLC.(7)</w:t>
      </w:r>
    </w:p>
    <w:p>
      <w:pPr>
        <w:spacing w:after="0" w:line="15"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6"/>
          <w:szCs w:val="16"/>
          <w:color w:val="auto"/>
        </w:rPr>
        <w:t>Form of Driving Range Lease by and between Valvino Lamore, LLC and Wynn Las Vegas, LLC.(7)</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Form of Parking Facility Lease by and between Valvino Lamore, LLC and Wynn Las Vegas, LLC.(7)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and Bank of America, N.A.(7)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Form of Management Agreement, made as of</w:t>
            </w:r>
          </w:p>
        </w:tc>
        <w:tc>
          <w:tcPr>
            <w:tcW w:w="6960" w:type="dxa"/>
            <w:vAlign w:val="bottom"/>
            <w:gridSpan w:val="2"/>
          </w:tcPr>
          <w:p>
            <w:pPr>
              <w:jc w:val="right"/>
              <w:ind w:right="2812"/>
              <w:spacing w:after="0"/>
              <w:rPr>
                <w:sz w:val="20"/>
                <w:szCs w:val="20"/>
                <w:color w:val="auto"/>
              </w:rPr>
            </w:pPr>
            <w:r>
              <w:rPr>
                <w:rFonts w:ascii="Arial" w:cs="Arial" w:eastAsia="Arial" w:hAnsi="Arial"/>
                <w:sz w:val="18"/>
                <w:szCs w:val="18"/>
                <w:color w:val="auto"/>
                <w:w w:val="95"/>
              </w:rPr>
              <w:t>, 2002, by and among Wynn Las Vegas, LLC and the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10.65</w:t>
            </w:r>
          </w:p>
        </w:tc>
        <w:tc>
          <w:tcPr>
            <w:tcW w:w="3520" w:type="dxa"/>
            <w:vAlign w:val="bottom"/>
          </w:tcPr>
          <w:p>
            <w:pPr>
              <w:ind w:left="140"/>
              <w:spacing w:after="0"/>
              <w:rPr>
                <w:sz w:val="20"/>
                <w:szCs w:val="20"/>
                <w:color w:val="auto"/>
              </w:rPr>
            </w:pPr>
            <w:r>
              <w:rPr>
                <w:rFonts w:ascii="Arial" w:cs="Arial" w:eastAsia="Arial" w:hAnsi="Arial"/>
                <w:sz w:val="18"/>
                <w:szCs w:val="18"/>
                <w:color w:val="auto"/>
                <w:w w:val="89"/>
              </w:rPr>
              <w:t>Form of Credit Agreement, dated as of October</w:t>
            </w:r>
          </w:p>
        </w:tc>
        <w:tc>
          <w:tcPr>
            <w:tcW w:w="6960" w:type="dxa"/>
            <w:vAlign w:val="bottom"/>
            <w:gridSpan w:val="2"/>
          </w:tcPr>
          <w:p>
            <w:pPr>
              <w:jc w:val="right"/>
              <w:ind w:right="2952"/>
              <w:spacing w:after="0"/>
              <w:rPr>
                <w:sz w:val="20"/>
                <w:szCs w:val="20"/>
                <w:color w:val="auto"/>
              </w:rPr>
            </w:pPr>
            <w:r>
              <w:rPr>
                <w:rFonts w:ascii="Arial" w:cs="Arial" w:eastAsia="Arial" w:hAnsi="Arial"/>
                <w:sz w:val="18"/>
                <w:szCs w:val="18"/>
                <w:color w:val="auto"/>
                <w:w w:val="91"/>
              </w:rPr>
              <w:t>, 2002, among Wynn Las Vegas, LLC and the several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7"/>
              </w:rPr>
              <w:t>lenders from time to time parties thereto.(9)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Loan Agreement, dated as of October</w:t>
            </w:r>
          </w:p>
        </w:tc>
        <w:tc>
          <w:tcPr>
            <w:tcW w:w="6960" w:type="dxa"/>
            <w:vAlign w:val="bottom"/>
            <w:gridSpan w:val="2"/>
          </w:tcPr>
          <w:p>
            <w:pPr>
              <w:jc w:val="right"/>
              <w:ind w:right="2692"/>
              <w:spacing w:after="0"/>
              <w:rPr>
                <w:sz w:val="20"/>
                <w:szCs w:val="20"/>
                <w:color w:val="auto"/>
              </w:rPr>
            </w:pPr>
            <w:r>
              <w:rPr>
                <w:rFonts w:ascii="Arial" w:cs="Arial" w:eastAsia="Arial" w:hAnsi="Arial"/>
                <w:sz w:val="18"/>
                <w:szCs w:val="18"/>
                <w:color w:val="auto"/>
                <w:w w:val="89"/>
              </w:rPr>
              <w:t>, 2002, by and among Wynn Las Vegas, LLC,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Bank Nevada, N.A. and the lenders listed therein.(9)</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3, 2002, from Deutsche Bank Trust Company Americas,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of America, N.A. and Bear Stearns Corporate Lending, Inc. to Bank of America, National Association.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16, 2002, from Bank of America, N.A. to Bank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August 22, 2002, from The CIT Group/Equipment Financing, Inc.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18, 2002, from General Electric Capital Corporation to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September 13, 2002, from SG Cowen Securities and Societe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0"/>
              </w:rPr>
              <w:t>Generale to Deutsche Bank Securities Inc.(10)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FF&amp;E Facility Commitment Letter, dated October 22, 2002, from GMAC Commercial Mortgage Corporation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2"/>
              </w:rPr>
              <w:t>to Bank of America, National Association.(10)</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 by and among Wynn Las Vegas, LLC, Wynn Las Vegas Capital Corp.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the several Underwriters listed in Schedule I thereto.(9)</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6100" w:type="dxa"/>
            <w:vAlign w:val="bottom"/>
          </w:tcPr>
          <w:p>
            <w:pPr>
              <w:jc w:val="right"/>
              <w:ind w:right="2672"/>
              <w:spacing w:after="0"/>
              <w:rPr>
                <w:sz w:val="20"/>
                <w:szCs w:val="20"/>
                <w:color w:val="auto"/>
              </w:rPr>
            </w:pPr>
            <w:r>
              <w:rPr>
                <w:rFonts w:ascii="Arial" w:cs="Arial" w:eastAsia="Arial" w:hAnsi="Arial"/>
                <w:sz w:val="18"/>
                <w:szCs w:val="18"/>
                <w:color w:val="auto"/>
                <w:w w:val="94"/>
              </w:rPr>
              <w:t>, 2002, by Wynn Las Vegas,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Promissory Note made by Wynn Las Vegas, LLC.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6100" w:type="dxa"/>
            <w:vAlign w:val="bottom"/>
          </w:tcPr>
          <w:p>
            <w:pPr>
              <w:jc w:val="right"/>
              <w:ind w:right="2492"/>
              <w:spacing w:after="0"/>
              <w:rPr>
                <w:sz w:val="20"/>
                <w:szCs w:val="20"/>
                <w:color w:val="auto"/>
              </w:rPr>
            </w:pPr>
            <w:r>
              <w:rPr>
                <w:rFonts w:ascii="Arial" w:cs="Arial" w:eastAsia="Arial" w:hAnsi="Arial"/>
                <w:sz w:val="18"/>
                <w:szCs w:val="18"/>
                <w:color w:val="auto"/>
                <w:w w:val="90"/>
              </w:rPr>
              <w:t>, 2002, by Wells Fargo Bank Northwest, National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Association. (included in Exhibit 10.66)(9)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10.78</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Assignment and Assumption Agreement, dated as of October   , 2002, between Wynn Las Vegas,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LLC and Wells Fargo Bank Nevada, National Association. (included in Exhibit 10.66)(9)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10.79</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Completion Guaranty, dated as of October   , 2002, by Wynn Completion Guarantor, LLC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Deutsche Bank Trust Company Americas, as the Bank Agent, and Wells Fargo Bank, National Association, as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Trustee.(9)</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3520" w:type="dxa"/>
            <w:vAlign w:val="bottom"/>
          </w:tcPr>
          <w:p>
            <w:pPr>
              <w:ind w:left="140"/>
              <w:spacing w:after="0"/>
              <w:rPr>
                <w:sz w:val="20"/>
                <w:szCs w:val="20"/>
                <w:color w:val="auto"/>
              </w:rPr>
            </w:pPr>
            <w:r>
              <w:rPr>
                <w:rFonts w:ascii="Arial" w:cs="Arial" w:eastAsia="Arial" w:hAnsi="Arial"/>
                <w:sz w:val="18"/>
                <w:szCs w:val="18"/>
                <w:color w:val="auto"/>
              </w:rPr>
              <w:t>Intentionally deleted.</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Project Lenders Intercreditor Agreement by and among Deutsche Bank Trust Company Americas and</w:t>
            </w:r>
          </w:p>
        </w:tc>
      </w:t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Wells Fargo Bank, National Association.(9)</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3"/>
          </w:tcPr>
          <w:p>
            <w:pPr>
              <w:spacing w:after="0"/>
              <w:rPr>
                <w:sz w:val="10"/>
                <w:szCs w:val="10"/>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Form of FF&amp;E Intercreditor Agreement by and among Deutsche Bank Trust Company Americas,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Bank, National Association and Wells Fargo Bank Nevada, National Association.(9)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10.83</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1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other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Wells Fargo Bank, National Association, as trustee.(9)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1"/>
              </w:rPr>
              <w:t>Form of Guarantee and Collateral Agreement, dated as of</w:t>
            </w:r>
          </w:p>
        </w:tc>
        <w:tc>
          <w:tcPr>
            <w:tcW w:w="6100" w:type="dxa"/>
            <w:vAlign w:val="bottom"/>
          </w:tcPr>
          <w:p>
            <w:pPr>
              <w:jc w:val="right"/>
              <w:ind w:right="2552"/>
              <w:spacing w:after="0"/>
              <w:rPr>
                <w:sz w:val="20"/>
                <w:szCs w:val="20"/>
                <w:color w:val="auto"/>
              </w:rPr>
            </w:pPr>
            <w:r>
              <w:rPr>
                <w:rFonts w:ascii="Arial" w:cs="Arial" w:eastAsia="Arial" w:hAnsi="Arial"/>
                <w:sz w:val="18"/>
                <w:szCs w:val="18"/>
                <w:color w:val="auto"/>
              </w:rPr>
              <w:t>, 2002 among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Wynn Las Vegas Capital Corp., Palo, LLC, Wynn Resorts Holdings, LLC, Desert Inn Water Company,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World Travel LLC, Las Vegas Jet, LLC, Wynn Las Vegas, LLC and the Grantors from time to time party</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3"/>
          </w:tcPr>
          <w:p>
            <w:pPr>
              <w:ind w:left="140"/>
              <w:spacing w:after="0"/>
              <w:rPr>
                <w:sz w:val="20"/>
                <w:szCs w:val="20"/>
                <w:color w:val="auto"/>
              </w:rPr>
            </w:pPr>
            <w:r>
              <w:rPr>
                <w:rFonts w:ascii="Arial" w:cs="Arial" w:eastAsia="Arial" w:hAnsi="Arial"/>
                <w:sz w:val="18"/>
                <w:szCs w:val="18"/>
                <w:color w:val="auto"/>
              </w:rPr>
              <w:t>thereto in favor of Deutsche Bank Trust Company Americas, as administrative agent.(9)</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10.85</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772"/>
              <w:spacing w:after="0"/>
              <w:rPr>
                <w:sz w:val="20"/>
                <w:szCs w:val="20"/>
                <w:color w:val="auto"/>
              </w:rPr>
            </w:pPr>
            <w:r>
              <w:rPr>
                <w:rFonts w:ascii="Arial" w:cs="Arial" w:eastAsia="Arial" w:hAnsi="Arial"/>
                <w:sz w:val="18"/>
                <w:szCs w:val="18"/>
                <w:color w:val="auto"/>
                <w:w w:val="90"/>
              </w:rPr>
              <w:t>, 2002, by Wynn Resorts, Limited in favor of Wells Fargo</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w w:val="98"/>
              </w:rPr>
              <w:t>Bank National Association, as Trustee.(11)</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10.86</w:t>
            </w:r>
          </w:p>
        </w:tc>
        <w:tc>
          <w:tcPr>
            <w:tcW w:w="3520" w:type="dxa"/>
            <w:vAlign w:val="bottom"/>
          </w:tcPr>
          <w:p>
            <w:pPr>
              <w:ind w:left="140"/>
              <w:spacing w:after="0"/>
              <w:rPr>
                <w:sz w:val="20"/>
                <w:szCs w:val="20"/>
                <w:color w:val="auto"/>
              </w:rPr>
            </w:pPr>
            <w:r>
              <w:rPr>
                <w:rFonts w:ascii="Arial" w:cs="Arial" w:eastAsia="Arial" w:hAnsi="Arial"/>
                <w:sz w:val="18"/>
                <w:szCs w:val="18"/>
                <w:color w:val="auto"/>
                <w:w w:val="91"/>
              </w:rPr>
              <w:t>Form of Parent Guaranty, dated as of October</w:t>
            </w:r>
          </w:p>
        </w:tc>
        <w:tc>
          <w:tcPr>
            <w:tcW w:w="6960" w:type="dxa"/>
            <w:vAlign w:val="bottom"/>
            <w:gridSpan w:val="2"/>
          </w:tcPr>
          <w:p>
            <w:pPr>
              <w:jc w:val="right"/>
              <w:ind w:right="2552"/>
              <w:spacing w:after="0"/>
              <w:rPr>
                <w:sz w:val="20"/>
                <w:szCs w:val="20"/>
                <w:color w:val="auto"/>
              </w:rPr>
            </w:pPr>
            <w:r>
              <w:rPr>
                <w:rFonts w:ascii="Arial" w:cs="Arial" w:eastAsia="Arial" w:hAnsi="Arial"/>
                <w:sz w:val="18"/>
                <w:szCs w:val="18"/>
                <w:color w:val="auto"/>
                <w:w w:val="90"/>
              </w:rPr>
              <w:t>, 2002, by Wynn Resorts, Limited in favor of Deutsche Bank</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6"/>
              </w:rPr>
              <w:t>Trust Company Americas, as administrative agent.(11)</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10.87</w:t>
            </w:r>
          </w:p>
        </w:tc>
        <w:tc>
          <w:tcPr>
            <w:tcW w:w="3520" w:type="dxa"/>
            <w:vAlign w:val="bottom"/>
          </w:tcPr>
          <w:p>
            <w:pPr>
              <w:ind w:left="140"/>
              <w:spacing w:after="0"/>
              <w:rPr>
                <w:sz w:val="20"/>
                <w:szCs w:val="20"/>
                <w:color w:val="auto"/>
              </w:rPr>
            </w:pPr>
            <w:r>
              <w:rPr>
                <w:rFonts w:ascii="Arial" w:cs="Arial" w:eastAsia="Arial" w:hAnsi="Arial"/>
                <w:sz w:val="18"/>
                <w:szCs w:val="18"/>
                <w:color w:val="auto"/>
              </w:rPr>
              <w:t>Form of Purchase Agreement.(13)</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rPr>
              <w:t>First Amendment to 2002 Stock Incentive Plan.(15)</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52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52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4380" w:type="dxa"/>
            <w:vAlign w:val="bottom"/>
            <w:gridSpan w:val="2"/>
          </w:tcPr>
          <w:p>
            <w:pPr>
              <w:ind w:left="140"/>
              <w:spacing w:after="0"/>
              <w:rPr>
                <w:sz w:val="20"/>
                <w:szCs w:val="20"/>
                <w:color w:val="auto"/>
              </w:rPr>
            </w:pPr>
            <w:r>
              <w:rPr>
                <w:rFonts w:ascii="Arial" w:cs="Arial" w:eastAsia="Arial" w:hAnsi="Arial"/>
                <w:sz w:val="18"/>
                <w:szCs w:val="18"/>
                <w:color w:val="auto"/>
                <w:w w:val="93"/>
              </w:rPr>
              <w:t>Consent of Schreck Brignone (included in Exhibit 5.1).(8)</w:t>
            </w:r>
          </w:p>
        </w:tc>
        <w:tc>
          <w:tcPr>
            <w:tcW w:w="610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520" w:type="dxa"/>
            <w:vAlign w:val="bottom"/>
          </w:tcPr>
          <w:p>
            <w:pPr>
              <w:ind w:left="140"/>
              <w:spacing w:after="0"/>
              <w:rPr>
                <w:sz w:val="20"/>
                <w:szCs w:val="20"/>
                <w:color w:val="auto"/>
              </w:rPr>
            </w:pPr>
            <w:r>
              <w:rPr>
                <w:rFonts w:ascii="Arial" w:cs="Arial" w:eastAsia="Arial" w:hAnsi="Arial"/>
                <w:sz w:val="18"/>
                <w:szCs w:val="18"/>
                <w:color w:val="auto"/>
              </w:rPr>
              <w:t>Consent of Deloitte &amp; Touche LLP.(15)</w:t>
            </w:r>
          </w:p>
        </w:tc>
        <w:tc>
          <w:tcPr>
            <w:tcW w:w="86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52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64"/>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164"/>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1 to the Form S-1 filed by the Registrant on August 20, 2002.</w:t>
      </w:r>
    </w:p>
    <w:p>
      <w:pPr>
        <w:spacing w:after="0" w:line="41" w:lineRule="exact"/>
        <w:rPr>
          <w:rFonts w:ascii="Arial" w:cs="Arial" w:eastAsia="Arial" w:hAnsi="Arial"/>
          <w:sz w:val="27"/>
          <w:szCs w:val="27"/>
          <w:color w:val="auto"/>
          <w:vertAlign w:val="subscript"/>
        </w:rPr>
      </w:pPr>
    </w:p>
    <w:p>
      <w:pPr>
        <w:ind w:left="540" w:hanging="532"/>
        <w:spacing w:after="0" w:line="208" w:lineRule="auto"/>
        <w:tabs>
          <w:tab w:leader="none" w:pos="540" w:val="left"/>
        </w:tabs>
        <w:numPr>
          <w:ilvl w:val="0"/>
          <w:numId w:val="164"/>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2 to the Form S-1 filed by the Registrant on August 26, 2002.</w:t>
      </w:r>
    </w:p>
    <w:p>
      <w:pPr>
        <w:sectPr>
          <w:pgSz w:w="11900" w:h="16838" w:orient="portrait"/>
          <w:cols w:equalWidth="0" w:num="1">
            <w:col w:w="11420"/>
          </w:cols>
          <w:pgMar w:left="240" w:top="131" w:right="239" w:bottom="0" w:gutter="0" w:footer="0" w:header="0"/>
        </w:sectPr>
      </w:pPr>
    </w:p>
    <w:bookmarkStart w:id="126" w:name="page127"/>
    <w:bookmarkEnd w:id="126"/>
    <w:p>
      <w:pPr>
        <w:ind w:left="540" w:hanging="532"/>
        <w:spacing w:after="0"/>
        <w:tabs>
          <w:tab w:leader="none" w:pos="5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Previously filed with Amendment No. 3 to the Form S-1 filed by the Registrant on September 18, 2002.</w:t>
      </w:r>
    </w:p>
    <w:p>
      <w:pPr>
        <w:spacing w:after="0" w:line="11" w:lineRule="exact"/>
        <w:rPr>
          <w:rFonts w:ascii="Arial" w:cs="Arial" w:eastAsia="Arial" w:hAnsi="Arial"/>
          <w:sz w:val="14"/>
          <w:szCs w:val="14"/>
          <w:color w:val="auto"/>
        </w:rPr>
      </w:pP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4 to the Form S-1 filed by the Registrant on October 7, 2002.</w:t>
      </w:r>
    </w:p>
    <w:p>
      <w:pPr>
        <w:spacing w:after="0" w:line="151" w:lineRule="exact"/>
        <w:rPr>
          <w:rFonts w:ascii="Arial" w:cs="Arial" w:eastAsia="Arial" w:hAnsi="Arial"/>
          <w:sz w:val="27"/>
          <w:szCs w:val="27"/>
          <w:color w:val="auto"/>
          <w:vertAlign w:val="subscript"/>
        </w:rPr>
      </w:pPr>
    </w:p>
    <w:p>
      <w:pPr>
        <w:ind w:left="540" w:right="4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4" w:lineRule="exact"/>
        <w:rPr>
          <w:rFonts w:ascii="Arial" w:cs="Arial" w:eastAsia="Arial" w:hAnsi="Arial"/>
          <w:sz w:val="27"/>
          <w:szCs w:val="27"/>
          <w:color w:val="auto"/>
          <w:vertAlign w:val="subscript"/>
        </w:rPr>
      </w:pPr>
    </w:p>
    <w:p>
      <w:pPr>
        <w:ind w:left="540" w:hanging="532"/>
        <w:spacing w:after="0" w:line="198"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6 to the Form S-1 filed by the Registrant on October 22, 2002.</w:t>
      </w:r>
    </w:p>
    <w:p>
      <w:pPr>
        <w:spacing w:after="0" w:line="152" w:lineRule="exact"/>
        <w:rPr>
          <w:rFonts w:ascii="Arial" w:cs="Arial" w:eastAsia="Arial" w:hAnsi="Arial"/>
          <w:sz w:val="27"/>
          <w:szCs w:val="27"/>
          <w:color w:val="auto"/>
          <w:vertAlign w:val="subscript"/>
        </w:rPr>
      </w:pPr>
    </w:p>
    <w:p>
      <w:pPr>
        <w:ind w:left="540" w:right="30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6 to the Registration Statement on Form S-1 of Wynn Las Vegas, LLC, Wynn Las Vegas Capital Corp. and the Other Registrants listed therein on October 23, 2002 (Registration No. 333-98369).</w:t>
      </w: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to the Form S-1 filed by the Registrants on October 23, 2002.</w:t>
      </w:r>
    </w:p>
    <w:p>
      <w:pPr>
        <w:spacing w:after="0" w:line="138" w:lineRule="exact"/>
        <w:rPr>
          <w:rFonts w:ascii="Arial" w:cs="Arial" w:eastAsia="Arial" w:hAnsi="Arial"/>
          <w:sz w:val="27"/>
          <w:szCs w:val="27"/>
          <w:color w:val="auto"/>
          <w:vertAlign w:val="subscript"/>
        </w:rPr>
      </w:pPr>
    </w:p>
    <w:p>
      <w:pPr>
        <w:ind w:left="540" w:right="30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7 to the Registration Statement on Form S-1 of Wynn Las Vegas, LLC, Wynn Las Vegas Capital Corp. and the Other Registrants listed therein on October 24, 2002 (Registration No. 333-98369).</w:t>
      </w:r>
    </w:p>
    <w:p>
      <w:pPr>
        <w:ind w:left="540" w:hanging="532"/>
        <w:spacing w:after="0" w:line="198"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8 to the Form S-1 filed by the Registrant on October 24, 2002.</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9 to the Form S-1 filed by the Registrant on October 24, 2002.</w:t>
      </w:r>
    </w:p>
    <w:p>
      <w:pPr>
        <w:spacing w:after="0" w:line="71" w:lineRule="exact"/>
        <w:rPr>
          <w:rFonts w:ascii="Arial" w:cs="Arial" w:eastAsia="Arial" w:hAnsi="Arial"/>
          <w:sz w:val="23"/>
          <w:szCs w:val="23"/>
          <w:color w:val="auto"/>
          <w:vertAlign w:val="subscript"/>
        </w:rPr>
      </w:pPr>
    </w:p>
    <w:p>
      <w:pPr>
        <w:ind w:left="540" w:right="30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Incorporated by reference to Amendment No. 8 to the Registration Statement on Form S-1 of Wynn Las Vegas, LLC, Wynn Las Vegas Capital Corp. and the Other Registrants listed therein on October 24, 2002 (Registration No. 333-98369).</w:t>
      </w:r>
    </w:p>
    <w:p>
      <w:pPr>
        <w:ind w:left="540" w:hanging="532"/>
        <w:spacing w:after="0" w:line="198"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520"/>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280"/>
        <w:spacing w:after="0" w:line="250" w:lineRule="auto"/>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spacing w:after="0" w:line="250"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240"/>
        <w:spacing w:after="0" w:line="261" w:lineRule="auto"/>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thousands)</w:t>
        </w:r>
      </w:hyperlink>
    </w:p>
    <w:p>
      <w:pPr>
        <w:sectPr>
          <w:pgSz w:w="11900" w:h="16838" w:orient="portrait"/>
          <w:cols w:equalWidth="0" w:num="1">
            <w:col w:w="11200"/>
          </w:cols>
          <w:pgMar w:left="240" w:top="129" w:right="459" w:bottom="0" w:gutter="0" w:footer="0" w:header="0"/>
        </w:sectPr>
      </w:pPr>
    </w:p>
    <w:bookmarkStart w:id="127" w:name="page128"/>
    <w:bookmarkEnd w:id="127"/>
    <w:p>
      <w:pPr>
        <w:ind w:right="220"/>
        <w:spacing w:after="0" w:line="283"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ind w:right="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2002 (In Thousands) (Unaudited)</w:t>
        </w:r>
      </w:hyperlink>
    </w:p>
    <w:p>
      <w:pPr>
        <w:spacing w:after="0" w:line="1"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5">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10.88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WYNN RESORTS, LIMITED 2002 STOCK INCENTIVE PLAN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Wynn Resorts, Limited, a Nevada corporation (the "Company"), hereby amends the Wynn Resorts, Limited 2002 Stock Incentive Plan (the "Plan"), with reference to the following facts:</w:t>
      </w:r>
    </w:p>
    <w:p>
      <w:pPr>
        <w:spacing w:after="0" w:line="186" w:lineRule="exact"/>
        <w:rPr>
          <w:sz w:val="20"/>
          <w:szCs w:val="20"/>
          <w:color w:val="auto"/>
        </w:rPr>
      </w:pPr>
    </w:p>
    <w:p>
      <w:pPr>
        <w:ind w:right="280" w:firstLine="349"/>
        <w:spacing w:after="0" w:line="268"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maintains the Plan to attract and retain the best available personnel for positions of substantial responsibility and to provide additional incentive to selected key employees, consultants and directors through the grant of stock options and stock awards.</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By Section 17 of the Plan, the Board of Directors of the Company has reserved the right to amend the Plan.</w:t>
      </w:r>
    </w:p>
    <w:p>
      <w:pPr>
        <w:spacing w:after="0" w:line="225" w:lineRule="exact"/>
        <w:rPr>
          <w:rFonts w:ascii="Arial" w:cs="Arial" w:eastAsia="Arial" w:hAnsi="Arial"/>
          <w:sz w:val="18"/>
          <w:szCs w:val="18"/>
          <w:color w:val="auto"/>
        </w:rPr>
      </w:pPr>
    </w:p>
    <w:p>
      <w:pPr>
        <w:ind w:right="100" w:firstLine="359"/>
        <w:spacing w:after="0" w:line="332"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Board of Directors of the Company has authorized the amendment of the Plan to limit the authority of the Administrator to make grants of Options and Stock Awards to any Employee, Consultant or Director who owns more than five percent of the issued and outstanding Common Stock of the Company.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Plan is hereby amended, effective as of October 21, 2002, as follows:</w:t>
      </w:r>
    </w:p>
    <w:p>
      <w:pPr>
        <w:spacing w:after="0" w:line="225" w:lineRule="exact"/>
        <w:rPr>
          <w:sz w:val="20"/>
          <w:szCs w:val="20"/>
          <w:color w:val="auto"/>
        </w:rPr>
      </w:pPr>
    </w:p>
    <w:p>
      <w:pPr>
        <w:ind w:left="660" w:hanging="301"/>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Section 4(b)(ii) of the Plan is hereby amended to provide in its entirety as follows:</w:t>
      </w:r>
    </w:p>
    <w:p>
      <w:pPr>
        <w:spacing w:after="0" w:line="225" w:lineRule="exact"/>
        <w:rPr>
          <w:sz w:val="20"/>
          <w:szCs w:val="20"/>
          <w:color w:val="auto"/>
        </w:rPr>
      </w:pPr>
    </w:p>
    <w:p>
      <w:pPr>
        <w:ind w:left="540" w:right="120" w:firstLine="351"/>
        <w:spacing w:after="0" w:line="259" w:lineRule="auto"/>
        <w:rPr>
          <w:sz w:val="20"/>
          <w:szCs w:val="20"/>
          <w:color w:val="auto"/>
        </w:rPr>
      </w:pPr>
      <w:r>
        <w:rPr>
          <w:rFonts w:ascii="Arial" w:cs="Arial" w:eastAsia="Arial" w:hAnsi="Arial"/>
          <w:sz w:val="18"/>
          <w:szCs w:val="18"/>
          <w:color w:val="auto"/>
        </w:rPr>
        <w:t>"(ii) to select the Employees, Consultants or Directors to whom Options or Stock Awards may be granted; provided, however, that the Administrator shall have no authority or discretion to grant an Option or Stock Award to any Employee, Consultant or Director who owns more than five percent of the issued and outstanding Common Stock."</w:t>
      </w:r>
    </w:p>
    <w:p>
      <w:pPr>
        <w:spacing w:after="0" w:line="194" w:lineRule="exact"/>
        <w:rPr>
          <w:sz w:val="20"/>
          <w:szCs w:val="20"/>
          <w:color w:val="auto"/>
        </w:rPr>
      </w:pPr>
    </w:p>
    <w:p>
      <w:pPr>
        <w:ind w:left="660" w:hanging="301"/>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all other respects, the terms and provisions of the Plan are hereby ratified and declared to be in full force and effect.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Adopted by the Board on October 21,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FIRST AMENDMENT TO THE WYNN RESORTS, LIMITED 2002 STOCK INCENTIVE PLAN</w:t>
        </w:r>
      </w:hyperlink>
    </w:p>
    <w:p>
      <w:pPr>
        <w:sectPr>
          <w:pgSz w:w="11900" w:h="16838" w:orient="portrait"/>
          <w:cols w:equalWidth="0" w:num="1">
            <w:col w:w="11420"/>
          </w:cols>
          <w:pgMar w:left="240" w:top="361" w:right="239" w:bottom="1440" w:gutter="0" w:footer="0" w:header="0"/>
        </w:sectPr>
      </w:pPr>
    </w:p>
    <w:bookmarkStart w:id="129" w:name="page130"/>
    <w:bookmarkEnd w:id="129"/>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consent to the use in this Amendment No. 10 to Registration Statement No. 333-90600 of Wynn Resorts, Limited on Form S-1 of our report dated</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June 6, 2002 (October 2, 2002 as to Note 12) (which report expresses an unqualified opinion and includes an explanatory paragraph referring to the restatement of the financial statements at Note 12),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INDEPENDENT AUDITORS' CONSENT</w:t>
        </w:r>
      </w:hyperlink>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decimal"/>
      <w:start w:val="1"/>
    </w:lvl>
  </w:abstractNum>
  <w:abstractNum w:abstractNumId="1">
    <w:nsid w:val="6EB5BD4"/>
    <w:multiLevelType w:val="hybridMultilevel"/>
    <w:lvl w:ilvl="0">
      <w:lvlJc w:val="left"/>
      <w:lvlText w:val="(%1)"/>
      <w:numFmt w:val="decimal"/>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lvl w:ilvl="1">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1)"/>
      <w:numFmt w:val="decimal"/>
      <w:start w:val="1"/>
    </w:lvl>
  </w:abstractNum>
  <w:abstractNum w:abstractNumId="9">
    <w:nsid w:val="3222E7CD"/>
    <w:multiLevelType w:val="hybridMultilevel"/>
    <w:lvl w:ilvl="0">
      <w:lvlJc w:val="left"/>
      <w:lvlText w:val="(%1)"/>
      <w:numFmt w:val="decimal"/>
      <w:start w:val="5"/>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
      <w:numFmt w:val="bullet"/>
      <w:start w:val="1"/>
    </w:lvl>
  </w:abstractNum>
  <w:abstractNum w:abstractNumId="16">
    <w:nsid w:val="57FC4FBB"/>
    <w:multiLevelType w:val="hybridMultilevel"/>
    <w:lvl w:ilvl="0">
      <w:lvlJc w:val="left"/>
      <w:lvlText w:val="•"/>
      <w:numFmt w:val="bullet"/>
      <w:start w:val="1"/>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
      <w:numFmt w:val="bullet"/>
      <w:start w:val="1"/>
    </w:lvl>
  </w:abstractNum>
  <w:abstractNum w:abstractNumId="29">
    <w:nsid w:val="7672BD23"/>
    <w:multiLevelType w:val="hybridMultilevel"/>
    <w:lvl w:ilvl="0">
      <w:lvlJc w:val="left"/>
      <w:lvlText w:val="•"/>
      <w:numFmt w:val="bullet"/>
      <w:start w:val="1"/>
    </w:lvl>
  </w:abstractNum>
  <w:abstractNum w:abstractNumId="30">
    <w:nsid w:val="6FC75AF8"/>
    <w:multiLevelType w:val="hybridMultilevel"/>
    <w:lvl w:ilvl="0">
      <w:lvlJc w:val="left"/>
      <w:lvlText w:val="•"/>
      <w:numFmt w:val="bullet"/>
      <w:start w:val="1"/>
    </w:lvl>
  </w:abstractNum>
  <w:abstractNum w:abstractNumId="31">
    <w:nsid w:val="6A5F7029"/>
    <w:multiLevelType w:val="hybridMultilevel"/>
    <w:lvl w:ilvl="0">
      <w:lvlJc w:val="left"/>
      <w:lvlText w:val="•"/>
      <w:numFmt w:val="bullet"/>
      <w:start w:val="1"/>
    </w:lvl>
  </w:abstractNum>
  <w:abstractNum w:abstractNumId="32">
    <w:nsid w:val="7D5E18F8"/>
    <w:multiLevelType w:val="hybridMultilevel"/>
    <w:lvl w:ilvl="0">
      <w:lvlJc w:val="left"/>
      <w:lvlText w:val="(%1)"/>
      <w:numFmt w:val="decimal"/>
      <w:start w:val="1"/>
    </w:lvl>
  </w:abstractNum>
  <w:abstractNum w:abstractNumId="33">
    <w:nsid w:val="5F3534A4"/>
    <w:multiLevelType w:val="hybridMultilevel"/>
    <w:lvl w:ilvl="0">
      <w:lvlJc w:val="left"/>
      <w:lvlText w:val="•"/>
      <w:numFmt w:val="bullet"/>
      <w:start w:val="1"/>
    </w:lvl>
  </w:abstractNum>
  <w:abstractNum w:abstractNumId="34">
    <w:nsid w:val="73A1821B"/>
    <w:multiLevelType w:val="hybridMultilevel"/>
    <w:lvl w:ilvl="0">
      <w:lvlJc w:val="left"/>
      <w:lvlText w:val="(%1)"/>
      <w:numFmt w:val="decimal"/>
      <w:start w:val="1"/>
    </w:lvl>
  </w:abstractNum>
  <w:abstractNum w:abstractNumId="35">
    <w:nsid w:val="7DE67713"/>
    <w:multiLevelType w:val="hybridMultilevel"/>
    <w:lvl w:ilvl="0">
      <w:lvlJc w:val="left"/>
      <w:lvlText w:val="(%1)"/>
      <w:numFmt w:val="decimal"/>
      <w:start w:val="3"/>
    </w:lvl>
  </w:abstractNum>
  <w:abstractNum w:abstractNumId="36">
    <w:nsid w:val="555C55B5"/>
    <w:multiLevelType w:val="hybridMultilevel"/>
    <w:lvl w:ilvl="0">
      <w:lvlJc w:val="left"/>
      <w:lvlText w:val="(%1)"/>
      <w:numFmt w:val="decimal"/>
      <w:start w:val="5"/>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1)"/>
      <w:numFmt w:val="decimal"/>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decimal"/>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4"/>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
      <w:numFmt w:val="bullet"/>
      <w:start w:val="1"/>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
      <w:numFmt w:val="bullet"/>
      <w:start w:val="1"/>
    </w:lvl>
  </w:abstractNum>
  <w:abstractNum w:abstractNumId="53">
    <w:nsid w:val="53584BCB"/>
    <w:multiLevelType w:val="hybridMultilevel"/>
    <w:lvl w:ilvl="0">
      <w:lvlJc w:val="left"/>
      <w:lvlText w:val="•"/>
      <w:numFmt w:val="bullet"/>
      <w:start w:val="1"/>
    </w:lvl>
  </w:abstractNum>
  <w:abstractNum w:abstractNumId="54">
    <w:nsid w:val="415E286C"/>
    <w:multiLevelType w:val="hybridMultilevel"/>
    <w:lvl w:ilvl="0">
      <w:lvlJc w:val="left"/>
      <w:lvlText w:val="•"/>
      <w:numFmt w:val="bullet"/>
      <w:start w:val="1"/>
    </w:lvl>
  </w:abstractNum>
  <w:abstractNum w:abstractNumId="55">
    <w:nsid w:val="7C58FD05"/>
    <w:multiLevelType w:val="hybridMultilevel"/>
    <w:lvl w:ilvl="0">
      <w:lvlJc w:val="left"/>
      <w:lvlText w:val="•"/>
      <w:numFmt w:val="bullet"/>
      <w:start w:val="1"/>
    </w:lvl>
  </w:abstractNum>
  <w:abstractNum w:abstractNumId="56">
    <w:nsid w:val="23D86AAC"/>
    <w:multiLevelType w:val="hybridMultilevel"/>
    <w:lvl w:ilvl="0">
      <w:lvlJc w:val="left"/>
      <w:lvlText w:val="•"/>
      <w:numFmt w:val="bullet"/>
      <w:start w:val="1"/>
    </w:lvl>
  </w:abstractNum>
  <w:abstractNum w:abstractNumId="57">
    <w:nsid w:val="45E6D486"/>
    <w:multiLevelType w:val="hybridMultilevel"/>
    <w:lvl w:ilvl="0">
      <w:lvlJc w:val="left"/>
      <w:lvlText w:val="•"/>
      <w:numFmt w:val="bullet"/>
      <w:start w:val="1"/>
    </w:lvl>
  </w:abstractNum>
  <w:abstractNum w:abstractNumId="58">
    <w:nsid w:val="5C10FE21"/>
    <w:multiLevelType w:val="hybridMultilevel"/>
    <w:lvl w:ilvl="0">
      <w:lvlJc w:val="left"/>
      <w:lvlText w:val="(%1)"/>
      <w:numFmt w:val="decimal"/>
      <w:start w:val="2"/>
    </w:lvl>
  </w:abstractNum>
  <w:abstractNum w:abstractNumId="59">
    <w:nsid w:val="E7FFA2B"/>
    <w:multiLevelType w:val="hybridMultilevel"/>
    <w:lvl w:ilvl="0">
      <w:lvlJc w:val="left"/>
      <w:lvlText w:val="(%1)"/>
      <w:numFmt w:val="decimal"/>
      <w:start w:val="1"/>
    </w:lvl>
  </w:abstractNum>
  <w:abstractNum w:abstractNumId="60">
    <w:nsid w:val="3C5991AA"/>
    <w:multiLevelType w:val="hybridMultilevel"/>
    <w:lvl w:ilvl="0">
      <w:lvlJc w:val="left"/>
      <w:lvlText w:val="*"/>
      <w:numFmt w:val="bullet"/>
      <w:start w:val="1"/>
    </w:lvl>
  </w:abstractNum>
  <w:abstractNum w:abstractNumId="61">
    <w:nsid w:val="4BD8591A"/>
    <w:multiLevelType w:val="hybridMultilevel"/>
    <w:lvl w:ilvl="0">
      <w:lvlJc w:val="left"/>
      <w:lvlText w:val="•"/>
      <w:numFmt w:val="bullet"/>
      <w:start w:val="1"/>
    </w:lvl>
  </w:abstractNum>
  <w:abstractNum w:abstractNumId="62">
    <w:nsid w:val="78DF6A55"/>
    <w:multiLevelType w:val="hybridMultilevel"/>
    <w:lvl w:ilvl="0">
      <w:lvlJc w:val="left"/>
      <w:lvlText w:val="•"/>
      <w:numFmt w:val="bullet"/>
      <w:start w:val="1"/>
    </w:lvl>
  </w:abstractNum>
  <w:abstractNum w:abstractNumId="63">
    <w:nsid w:val="39B7AAA2"/>
    <w:multiLevelType w:val="hybridMultilevel"/>
    <w:lvl w:ilvl="0">
      <w:lvlJc w:val="left"/>
      <w:lvlText w:val="•"/>
      <w:numFmt w:val="bullet"/>
      <w:start w:val="1"/>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
      <w:numFmt w:val="bullet"/>
      <w:start w:val="1"/>
    </w:lvl>
  </w:abstractNum>
  <w:abstractNum w:abstractNumId="67">
    <w:nsid w:val="69E373"/>
    <w:multiLevelType w:val="hybridMultilevel"/>
    <w:lvl w:ilvl="0">
      <w:lvlJc w:val="left"/>
      <w:lvlText w:val="•"/>
      <w:numFmt w:val="bullet"/>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
      <w:numFmt w:val="bullet"/>
      <w:start w:val="1"/>
    </w:lvl>
  </w:abstractNum>
  <w:abstractNum w:abstractNumId="72">
    <w:nsid w:val="5675FF36"/>
    <w:multiLevelType w:val="hybridMultilevel"/>
    <w:lvl w:ilvl="0">
      <w:lvlJc w:val="left"/>
      <w:lvlText w:val="•"/>
      <w:numFmt w:val="bullet"/>
      <w:start w:val="1"/>
    </w:lvl>
  </w:abstractNum>
  <w:abstractNum w:abstractNumId="73">
    <w:nsid w:val="3DD15094"/>
    <w:multiLevelType w:val="hybridMultilevel"/>
    <w:lvl w:ilvl="0">
      <w:lvlJc w:val="left"/>
      <w:lvlText w:val="•"/>
      <w:numFmt w:val="bullet"/>
      <w:start w:val="1"/>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
      <w:numFmt w:val="bullet"/>
      <w:start w:val="1"/>
    </w:lvl>
  </w:abstractNum>
  <w:abstractNum w:abstractNumId="76">
    <w:nsid w:val="5B25ACE2"/>
    <w:multiLevelType w:val="hybridMultilevel"/>
    <w:lvl w:ilvl="0">
      <w:lvlJc w:val="left"/>
      <w:lvlText w:val="•"/>
      <w:numFmt w:val="bullet"/>
      <w:start w:val="1"/>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
      <w:numFmt w:val="bullet"/>
      <w:start w:val="1"/>
    </w:lvl>
  </w:abstractNum>
  <w:abstractNum w:abstractNumId="79">
    <w:nsid w:val="53B0A9E"/>
    <w:multiLevelType w:val="hybridMultilevel"/>
    <w:lvl w:ilvl="0">
      <w:lvlJc w:val="left"/>
      <w:lvlText w:val="•"/>
      <w:numFmt w:val="bullet"/>
      <w:start w:val="1"/>
    </w:lvl>
  </w:abstractNum>
  <w:abstractNum w:abstractNumId="80">
    <w:nsid w:val="34FD6B4F"/>
    <w:multiLevelType w:val="hybridMultilevel"/>
    <w:lvl w:ilvl="0">
      <w:lvlJc w:val="left"/>
      <w:lvlText w:val="•"/>
      <w:numFmt w:val="bullet"/>
      <w:start w:val="1"/>
    </w:lvl>
  </w:abstractNum>
  <w:abstractNum w:abstractNumId="81">
    <w:nsid w:val="5915FF32"/>
    <w:multiLevelType w:val="hybridMultilevel"/>
    <w:lvl w:ilvl="0">
      <w:lvlJc w:val="left"/>
      <w:lvlText w:val="•"/>
      <w:numFmt w:val="bullet"/>
      <w:start w:val="1"/>
    </w:lvl>
  </w:abstractNum>
  <w:abstractNum w:abstractNumId="82">
    <w:nsid w:val="56438D15"/>
    <w:multiLevelType w:val="hybridMultilevel"/>
    <w:lvl w:ilvl="0">
      <w:lvlJc w:val="left"/>
      <w:lvlText w:val="•"/>
      <w:numFmt w:val="bullet"/>
      <w:start w:val="1"/>
    </w:lvl>
  </w:abstractNum>
  <w:abstractNum w:abstractNumId="83">
    <w:nsid w:val="519E3149"/>
    <w:multiLevelType w:val="hybridMultilevel"/>
    <w:lvl w:ilvl="0">
      <w:lvlJc w:val="left"/>
      <w:lvlText w:val="•"/>
      <w:numFmt w:val="bullet"/>
      <w:start w:val="1"/>
    </w:lvl>
  </w:abstractNum>
  <w:abstractNum w:abstractNumId="84">
    <w:nsid w:val="2C6E4AFD"/>
    <w:multiLevelType w:val="hybridMultilevel"/>
    <w:lvl w:ilvl="0">
      <w:lvlJc w:val="left"/>
      <w:lvlText w:val="(%1)"/>
      <w:numFmt w:val="decimal"/>
      <w:start w:val="1"/>
    </w:lvl>
  </w:abstractNum>
  <w:abstractNum w:abstractNumId="85">
    <w:nsid w:val="17A1B582"/>
    <w:multiLevelType w:val="hybridMultilevel"/>
    <w:lvl w:ilvl="0">
      <w:lvlJc w:val="left"/>
      <w:lvlText w:val="(%1)"/>
      <w:numFmt w:val="decimal"/>
      <w:start w:val="1"/>
    </w:lvl>
  </w:abstractNum>
  <w:abstractNum w:abstractNumId="86">
    <w:nsid w:val="4DF72E4E"/>
    <w:multiLevelType w:val="hybridMultilevel"/>
    <w:lvl w:ilvl="0">
      <w:lvlJc w:val="left"/>
      <w:lvlText w:val="•"/>
      <w:numFmt w:val="bullet"/>
      <w:start w:val="1"/>
    </w:lvl>
  </w:abstractNum>
  <w:abstractNum w:abstractNumId="87">
    <w:nsid w:val="5046B5A9"/>
    <w:multiLevelType w:val="hybridMultilevel"/>
    <w:lvl w:ilvl="0">
      <w:lvlJc w:val="left"/>
      <w:lvlText w:val="•"/>
      <w:numFmt w:val="bullet"/>
      <w:start w:val="1"/>
    </w:lvl>
  </w:abstractNum>
  <w:abstractNum w:abstractNumId="88">
    <w:nsid w:val="5D888A08"/>
    <w:multiLevelType w:val="hybridMultilevel"/>
    <w:lvl w:ilvl="0">
      <w:lvlJc w:val="left"/>
      <w:lvlText w:val="•"/>
      <w:numFmt w:val="bullet"/>
      <w:start w:val="1"/>
    </w:lvl>
  </w:abstractNum>
  <w:abstractNum w:abstractNumId="89">
    <w:nsid w:val="2A082C70"/>
    <w:multiLevelType w:val="hybridMultilevel"/>
    <w:lvl w:ilvl="0">
      <w:lvlJc w:val="left"/>
      <w:lvlText w:val="•"/>
      <w:numFmt w:val="bullet"/>
      <w:start w:val="1"/>
    </w:lvl>
  </w:abstractNum>
  <w:abstractNum w:abstractNumId="90">
    <w:nsid w:val="5EC6AFD4"/>
    <w:multiLevelType w:val="hybridMultilevel"/>
    <w:lvl w:ilvl="0">
      <w:lvlJc w:val="left"/>
      <w:lvlText w:val="*"/>
      <w:numFmt w:val="bullet"/>
      <w:start w:val="1"/>
    </w:lvl>
  </w:abstractNum>
  <w:abstractNum w:abstractNumId="91">
    <w:nsid w:val="19E21BB2"/>
    <w:multiLevelType w:val="hybridMultilevel"/>
    <w:lvl w:ilvl="0">
      <w:lvlJc w:val="left"/>
      <w:lvlText w:val="(%1)"/>
      <w:numFmt w:val="decimal"/>
      <w:start w:val="1"/>
    </w:lvl>
  </w:abstractNum>
  <w:abstractNum w:abstractNumId="92">
    <w:nsid w:val="75E0858A"/>
    <w:multiLevelType w:val="hybridMultilevel"/>
    <w:lvl w:ilvl="0">
      <w:lvlJc w:val="left"/>
      <w:lvlText w:val="(%1)"/>
      <w:numFmt w:val="decimal"/>
      <w:start w:val="3"/>
    </w:lvl>
  </w:abstractNum>
  <w:abstractNum w:abstractNumId="93">
    <w:nsid w:val="57A61A29"/>
    <w:multiLevelType w:val="hybridMultilevel"/>
    <w:lvl w:ilvl="0">
      <w:lvlJc w:val="left"/>
      <w:lvlText w:val="•"/>
      <w:numFmt w:val="bullet"/>
      <w:start w:val="1"/>
    </w:lvl>
  </w:abstractNum>
  <w:abstractNum w:abstractNumId="94">
    <w:nsid w:val="5399C654"/>
    <w:multiLevelType w:val="hybridMultilevel"/>
    <w:lvl w:ilvl="0">
      <w:lvlJc w:val="left"/>
      <w:lvlText w:val="•"/>
      <w:numFmt w:val="bullet"/>
      <w:start w:val="1"/>
    </w:lvl>
  </w:abstractNum>
  <w:abstractNum w:abstractNumId="95">
    <w:nsid w:val="20EE1348"/>
    <w:multiLevelType w:val="hybridMultilevel"/>
    <w:lvl w:ilvl="0">
      <w:lvlJc w:val="left"/>
      <w:lvlText w:val="•"/>
      <w:numFmt w:val="bullet"/>
      <w:start w:val="1"/>
    </w:lvl>
  </w:abstractNum>
  <w:abstractNum w:abstractNumId="96">
    <w:nsid w:val="4427069A"/>
    <w:multiLevelType w:val="hybridMultilevel"/>
    <w:lvl w:ilvl="0">
      <w:lvlJc w:val="left"/>
      <w:lvlText w:val="•"/>
      <w:numFmt w:val="bullet"/>
      <w:start w:val="1"/>
    </w:lvl>
  </w:abstractNum>
  <w:abstractNum w:abstractNumId="97">
    <w:nsid w:val="B37E80A"/>
    <w:multiLevelType w:val="hybridMultilevel"/>
    <w:lvl w:ilvl="0">
      <w:lvlJc w:val="left"/>
      <w:lvlText w:val="•"/>
      <w:numFmt w:val="bullet"/>
      <w:start w:val="1"/>
    </w:lvl>
  </w:abstractNum>
  <w:abstractNum w:abstractNumId="98">
    <w:nsid w:val="2157F6BC"/>
    <w:multiLevelType w:val="hybridMultilevel"/>
    <w:lvl w:ilvl="0">
      <w:lvlJc w:val="left"/>
      <w:lvlText w:val="•"/>
      <w:numFmt w:val="bullet"/>
      <w:start w:val="1"/>
    </w:lvl>
  </w:abstractNum>
  <w:abstractNum w:abstractNumId="99">
    <w:nsid w:val="704E1DD5"/>
    <w:multiLevelType w:val="hybridMultilevel"/>
    <w:lvl w:ilvl="0">
      <w:lvlJc w:val="left"/>
      <w:lvlText w:val="•"/>
      <w:numFmt w:val="bullet"/>
      <w:start w:val="1"/>
    </w:lvl>
  </w:abstractNum>
  <w:abstractNum w:abstractNumId="100">
    <w:nsid w:val="57D2F10E"/>
    <w:multiLevelType w:val="hybridMultilevel"/>
    <w:lvl w:ilvl="0">
      <w:lvlJc w:val="left"/>
      <w:lvlText w:val="•"/>
      <w:numFmt w:val="bullet"/>
      <w:start w:val="1"/>
    </w:lvl>
  </w:abstractNum>
  <w:abstractNum w:abstractNumId="101">
    <w:nsid w:val="BFFAE18"/>
    <w:multiLevelType w:val="hybridMultilevel"/>
    <w:lvl w:ilvl="0">
      <w:lvlJc w:val="left"/>
      <w:lvlText w:val="•"/>
      <w:numFmt w:val="bullet"/>
      <w:start w:val="1"/>
    </w:lvl>
  </w:abstractNum>
  <w:abstractNum w:abstractNumId="102">
    <w:nsid w:val="E3E47A8"/>
    <w:multiLevelType w:val="hybridMultilevel"/>
    <w:lvl w:ilvl="0">
      <w:lvlJc w:val="left"/>
      <w:lvlText w:val="•"/>
      <w:numFmt w:val="bullet"/>
      <w:start w:val="1"/>
    </w:lvl>
  </w:abstractNum>
  <w:abstractNum w:abstractNumId="103">
    <w:nsid w:val="2E48F044"/>
    <w:multiLevelType w:val="hybridMultilevel"/>
    <w:lvl w:ilvl="0">
      <w:lvlJc w:val="left"/>
      <w:lvlText w:val="•"/>
      <w:numFmt w:val="bullet"/>
      <w:start w:val="1"/>
    </w:lvl>
  </w:abstractNum>
  <w:abstractNum w:abstractNumId="104">
    <w:nsid w:val="49D0FEAC"/>
    <w:multiLevelType w:val="hybridMultilevel"/>
    <w:lvl w:ilvl="0">
      <w:lvlJc w:val="left"/>
      <w:lvlText w:val="•"/>
      <w:numFmt w:val="bullet"/>
      <w:start w:val="1"/>
    </w:lvl>
  </w:abstractNum>
  <w:abstractNum w:abstractNumId="105">
    <w:nsid w:val="4BEE5A5B"/>
    <w:multiLevelType w:val="hybridMultilevel"/>
    <w:lvl w:ilvl="0">
      <w:lvlJc w:val="left"/>
      <w:lvlText w:val="•"/>
      <w:numFmt w:val="bullet"/>
      <w:start w:val="1"/>
    </w:lvl>
  </w:abstractNum>
  <w:abstractNum w:abstractNumId="106">
    <w:nsid w:val="5551B9F3"/>
    <w:multiLevelType w:val="hybridMultilevel"/>
    <w:lvl w:ilvl="0">
      <w:lvlJc w:val="left"/>
      <w:lvlText w:val="•"/>
      <w:numFmt w:val="bullet"/>
      <w:start w:val="1"/>
    </w:lvl>
  </w:abstractNum>
  <w:abstractNum w:abstractNumId="107">
    <w:nsid w:val="24F6AB8E"/>
    <w:multiLevelType w:val="hybridMultilevel"/>
    <w:lvl w:ilvl="0">
      <w:lvlJc w:val="left"/>
      <w:lvlText w:val="•"/>
      <w:numFmt w:val="bullet"/>
      <w:start w:val="1"/>
    </w:lvl>
  </w:abstractNum>
  <w:abstractNum w:abstractNumId="108">
    <w:nsid w:val="634C574C"/>
    <w:multiLevelType w:val="hybridMultilevel"/>
    <w:lvl w:ilvl="0">
      <w:lvlJc w:val="left"/>
      <w:lvlText w:val="•"/>
      <w:numFmt w:val="bullet"/>
      <w:start w:val="1"/>
    </w:lvl>
    <w:lvl w:ilvl="1">
      <w:lvlJc w:val="left"/>
      <w:lvlText w:val="(%2)"/>
      <w:numFmt w:val="decimal"/>
      <w:start w:val="1"/>
    </w:lvl>
  </w:abstractNum>
  <w:abstractNum w:abstractNumId="109">
    <w:nsid w:val="24E99DD7"/>
    <w:multiLevelType w:val="hybridMultilevel"/>
    <w:lvl w:ilvl="0">
      <w:lvlJc w:val="left"/>
      <w:lvlText w:val="•"/>
      <w:numFmt w:val="bullet"/>
      <w:start w:val="1"/>
    </w:lvl>
    <w:lvl w:ilvl="1">
      <w:lvlJc w:val="left"/>
      <w:lvlText w:val="(%2)"/>
      <w:numFmt w:val="decimal"/>
      <w:start w:val="2"/>
    </w:lvl>
  </w:abstractNum>
  <w:abstractNum w:abstractNumId="110">
    <w:nsid w:val="2A31B62D"/>
    <w:multiLevelType w:val="hybridMultilevel"/>
    <w:lvl w:ilvl="0">
      <w:lvlJc w:val="left"/>
      <w:lvlText w:val="•"/>
      <w:numFmt w:val="bullet"/>
      <w:start w:val="1"/>
    </w:lvl>
  </w:abstractNum>
  <w:abstractNum w:abstractNumId="111">
    <w:nsid w:val="1849C29B"/>
    <w:multiLevelType w:val="hybridMultilevel"/>
    <w:lvl w:ilvl="0">
      <w:lvlJc w:val="left"/>
      <w:lvlText w:val="•"/>
      <w:numFmt w:val="bullet"/>
      <w:start w:val="1"/>
    </w:lvl>
  </w:abstractNum>
  <w:abstractNum w:abstractNumId="112">
    <w:nsid w:val="7DFF9D09"/>
    <w:multiLevelType w:val="hybridMultilevel"/>
    <w:lvl w:ilvl="0">
      <w:lvlJc w:val="left"/>
      <w:lvlText w:val="•"/>
      <w:numFmt w:val="bullet"/>
      <w:start w:val="1"/>
    </w:lvl>
    <w:lvl w:ilvl="1">
      <w:lvlJc w:val="left"/>
      <w:lvlText w:val="(%2)"/>
      <w:numFmt w:val="decimal"/>
      <w:start w:val="1"/>
    </w:lvl>
  </w:abstractNum>
  <w:abstractNum w:abstractNumId="113">
    <w:nsid w:val="754342"/>
    <w:multiLevelType w:val="hybridMultilevel"/>
    <w:lvl w:ilvl="0">
      <w:lvlJc w:val="left"/>
      <w:lvlText w:val="•"/>
      <w:numFmt w:val="bullet"/>
      <w:start w:val="1"/>
    </w:lvl>
  </w:abstractNum>
  <w:abstractNum w:abstractNumId="114">
    <w:nsid w:val="69E7F3E5"/>
    <w:multiLevelType w:val="hybridMultilevel"/>
    <w:lvl w:ilvl="0">
      <w:lvlJc w:val="left"/>
      <w:lvlText w:val="•"/>
      <w:numFmt w:val="bullet"/>
      <w:start w:val="1"/>
    </w:lvl>
  </w:abstractNum>
  <w:abstractNum w:abstractNumId="115">
    <w:nsid w:val="2A6DE806"/>
    <w:multiLevelType w:val="hybridMultilevel"/>
    <w:lvl w:ilvl="0">
      <w:lvlJc w:val="left"/>
      <w:lvlText w:val="(%1)"/>
      <w:numFmt w:val="decimal"/>
      <w:start w:val="1"/>
    </w:lvl>
  </w:abstractNum>
  <w:abstractNum w:abstractNumId="116">
    <w:nsid w:val="1816F8C4"/>
    <w:multiLevelType w:val="hybridMultilevel"/>
    <w:lvl w:ilvl="0">
      <w:lvlJc w:val="left"/>
      <w:lvlText w:val="(%1)"/>
      <w:numFmt w:val="decimal"/>
      <w:start w:val="3"/>
    </w:lvl>
  </w:abstractNum>
  <w:abstractNum w:abstractNumId="117">
    <w:nsid w:val="37DF2233"/>
    <w:multiLevelType w:val="hybridMultilevel"/>
    <w:lvl w:ilvl="0">
      <w:lvlJc w:val="left"/>
      <w:lvlText w:val="(%1)"/>
      <w:numFmt w:val="decimal"/>
      <w:start w:val="2"/>
    </w:lvl>
  </w:abstractNum>
  <w:abstractNum w:abstractNumId="118">
    <w:nsid w:val="7AB49DAF"/>
    <w:multiLevelType w:val="hybridMultilevel"/>
    <w:lvl w:ilvl="0">
      <w:lvlJc w:val="left"/>
      <w:lvlText w:val="•"/>
      <w:numFmt w:val="bullet"/>
      <w:start w:val="1"/>
    </w:lvl>
  </w:abstractNum>
  <w:abstractNum w:abstractNumId="119">
    <w:nsid w:val="759F82CD"/>
    <w:multiLevelType w:val="hybridMultilevel"/>
    <w:lvl w:ilvl="0">
      <w:lvlJc w:val="left"/>
      <w:lvlText w:val="%1."/>
      <w:numFmt w:val="decimal"/>
      <w:start w:val="1"/>
    </w:lvl>
  </w:abstractNum>
  <w:abstractNum w:abstractNumId="120">
    <w:nsid w:val="61E74EA3"/>
    <w:multiLevelType w:val="hybridMultilevel"/>
    <w:lvl w:ilvl="0">
      <w:lvlJc w:val="left"/>
      <w:lvlText w:val="%1."/>
      <w:numFmt w:val="lowerLetter"/>
      <w:start w:val="1"/>
    </w:lvl>
  </w:abstractNum>
  <w:abstractNum w:abstractNumId="121">
    <w:nsid w:val="597B4D84"/>
    <w:multiLevelType w:val="hybridMultilevel"/>
    <w:lvl w:ilvl="0">
      <w:lvlJc w:val="left"/>
      <w:lvlText w:val="%1."/>
      <w:numFmt w:val="lowerLetter"/>
      <w:start w:val="2"/>
    </w:lvl>
  </w:abstractNum>
  <w:abstractNum w:abstractNumId="122">
    <w:nsid w:val="F819E7F"/>
    <w:multiLevelType w:val="hybridMultilevel"/>
    <w:lvl w:ilvl="0">
      <w:lvlJc w:val="left"/>
      <w:lvlText w:val="%1."/>
      <w:numFmt w:val="lowerLetter"/>
      <w:start w:val="3"/>
    </w:lvl>
  </w:abstractNum>
  <w:abstractNum w:abstractNumId="123">
    <w:nsid w:val="57C7D42D"/>
    <w:multiLevelType w:val="hybridMultilevel"/>
    <w:lvl w:ilvl="0">
      <w:lvlJc w:val="left"/>
      <w:lvlText w:val="%1."/>
      <w:numFmt w:val="lowerLetter"/>
      <w:start w:val="4"/>
    </w:lvl>
  </w:abstractNum>
  <w:abstractNum w:abstractNumId="124">
    <w:nsid w:val="312167AD"/>
    <w:multiLevelType w:val="hybridMultilevel"/>
    <w:lvl w:ilvl="0">
      <w:lvlJc w:val="left"/>
      <w:lvlText w:val="%1."/>
      <w:numFmt w:val="lowerLetter"/>
      <w:start w:val="5"/>
    </w:lvl>
  </w:abstractNum>
  <w:abstractNum w:abstractNumId="125">
    <w:nsid w:val="631B64D4"/>
    <w:multiLevelType w:val="hybridMultilevel"/>
    <w:lvl w:ilvl="0">
      <w:lvlJc w:val="left"/>
      <w:lvlText w:val="%1."/>
      <w:numFmt w:val="lowerLetter"/>
      <w:start w:val="6"/>
    </w:lvl>
  </w:abstractNum>
  <w:abstractNum w:abstractNumId="126">
    <w:nsid w:val="78B5E776"/>
    <w:multiLevelType w:val="hybridMultilevel"/>
    <w:lvl w:ilvl="0">
      <w:lvlJc w:val="left"/>
      <w:lvlText w:val="%1."/>
      <w:numFmt w:val="lowerLetter"/>
      <w:start w:val="7"/>
    </w:lvl>
  </w:abstractNum>
  <w:abstractNum w:abstractNumId="127">
    <w:nsid w:val="75486E47"/>
    <w:multiLevelType w:val="hybridMultilevel"/>
    <w:lvl w:ilvl="0">
      <w:lvlJc w:val="left"/>
      <w:lvlText w:val="%1."/>
      <w:numFmt w:val="lowerLetter"/>
      <w:start w:val="8"/>
    </w:lvl>
  </w:abstractNum>
  <w:abstractNum w:abstractNumId="128">
    <w:nsid w:val="6E534CDE"/>
    <w:multiLevelType w:val="hybridMultilevel"/>
    <w:lvl w:ilvl="0">
      <w:lvlJc w:val="left"/>
      <w:lvlText w:val="%1."/>
      <w:numFmt w:val="lowerRoman"/>
      <w:start w:val="1"/>
    </w:lvl>
  </w:abstractNum>
  <w:abstractNum w:abstractNumId="129">
    <w:nsid w:val="1A0DDE32"/>
    <w:multiLevelType w:val="hybridMultilevel"/>
    <w:lvl w:ilvl="0">
      <w:lvlJc w:val="left"/>
      <w:lvlText w:val="%1."/>
      <w:numFmt w:val="lowerLetter"/>
      <w:start w:val="10"/>
    </w:lvl>
  </w:abstractNum>
  <w:abstractNum w:abstractNumId="130">
    <w:nsid w:val="65968C1C"/>
    <w:multiLevelType w:val="hybridMultilevel"/>
    <w:lvl w:ilvl="0">
      <w:lvlJc w:val="left"/>
      <w:lvlText w:val="%1."/>
      <w:numFmt w:val="lowerLetter"/>
      <w:start w:val="11"/>
    </w:lvl>
  </w:abstractNum>
  <w:abstractNum w:abstractNumId="131">
    <w:nsid w:val="46263DEC"/>
    <w:multiLevelType w:val="hybridMultilevel"/>
    <w:lvl w:ilvl="0">
      <w:lvlJc w:val="left"/>
      <w:lvlText w:val="%1."/>
      <w:numFmt w:val="lowerLetter"/>
      <w:start w:val="12"/>
    </w:lvl>
  </w:abstractNum>
  <w:abstractNum w:abstractNumId="132">
    <w:nsid w:val="260D8C4A"/>
    <w:multiLevelType w:val="hybridMultilevel"/>
    <w:lvl w:ilvl="0">
      <w:lvlJc w:val="left"/>
      <w:lvlText w:val="%1."/>
      <w:numFmt w:val="lowerLetter"/>
      <w:start w:val="13"/>
    </w:lvl>
  </w:abstractNum>
  <w:abstractNum w:abstractNumId="133">
    <w:nsid w:val="73D4D3C4"/>
    <w:multiLevelType w:val="hybridMultilevel"/>
    <w:lvl w:ilvl="0">
      <w:lvlJc w:val="left"/>
      <w:lvlText w:val="%1."/>
      <w:numFmt w:val="lowerLetter"/>
      <w:start w:val="14"/>
    </w:lvl>
  </w:abstractNum>
  <w:abstractNum w:abstractNumId="134">
    <w:nsid w:val="746F2E30"/>
    <w:multiLevelType w:val="hybridMultilevel"/>
    <w:lvl w:ilvl="0">
      <w:lvlJc w:val="left"/>
      <w:lvlText w:val="%1."/>
      <w:numFmt w:val="lowerLetter"/>
      <w:start w:val="15"/>
    </w:lvl>
  </w:abstractNum>
  <w:abstractNum w:abstractNumId="135">
    <w:nsid w:val="6FDE8AF6"/>
    <w:multiLevelType w:val="hybridMultilevel"/>
    <w:lvl w:ilvl="0">
      <w:lvlJc w:val="left"/>
      <w:lvlText w:val="%1."/>
      <w:numFmt w:val="lowerLetter"/>
      <w:start w:val="16"/>
    </w:lvl>
  </w:abstractNum>
  <w:abstractNum w:abstractNumId="136">
    <w:nsid w:val="3FC32E20"/>
    <w:multiLevelType w:val="hybridMultilevel"/>
    <w:lvl w:ilvl="0">
      <w:lvlJc w:val="left"/>
      <w:lvlText w:val="%1."/>
      <w:numFmt w:val="lowerLetter"/>
      <w:start w:val="17"/>
    </w:lvl>
  </w:abstractNum>
  <w:abstractNum w:abstractNumId="137">
    <w:nsid w:val="49C0E823"/>
    <w:multiLevelType w:val="hybridMultilevel"/>
    <w:lvl w:ilvl="0">
      <w:lvlJc w:val="left"/>
      <w:lvlText w:val="%1."/>
      <w:numFmt w:val="lowerLetter"/>
      <w:start w:val="18"/>
    </w:lvl>
  </w:abstractNum>
  <w:abstractNum w:abstractNumId="138">
    <w:nsid w:val="14D53685"/>
    <w:multiLevelType w:val="hybridMultilevel"/>
    <w:lvl w:ilvl="0">
      <w:lvlJc w:val="left"/>
      <w:lvlText w:val="%1."/>
      <w:numFmt w:val="decimal"/>
      <w:start w:val="2"/>
    </w:lvl>
  </w:abstractNum>
  <w:abstractNum w:abstractNumId="139">
    <w:nsid w:val="230F856C"/>
    <w:multiLevelType w:val="hybridMultilevel"/>
    <w:lvl w:ilvl="0">
      <w:lvlJc w:val="left"/>
      <w:lvlText w:val="%1."/>
      <w:numFmt w:val="decimal"/>
      <w:start w:val="5"/>
    </w:lvl>
  </w:abstractNum>
  <w:abstractNum w:abstractNumId="140">
    <w:nsid w:val="6EAA85FB"/>
    <w:multiLevelType w:val="hybridMultilevel"/>
    <w:lvl w:ilvl="0">
      <w:lvlJc w:val="left"/>
      <w:lvlText w:val="%1."/>
      <w:numFmt w:val="decimal"/>
      <w:start w:val="6"/>
    </w:lvl>
  </w:abstractNum>
  <w:abstractNum w:abstractNumId="141">
    <w:nsid w:val="3F06ECB2"/>
    <w:multiLevelType w:val="hybridMultilevel"/>
    <w:lvl w:ilvl="0">
      <w:lvlJc w:val="left"/>
      <w:lvlText w:val="%1."/>
      <w:numFmt w:val="decimal"/>
      <w:start w:val="7"/>
    </w:lvl>
  </w:abstractNum>
  <w:abstractNum w:abstractNumId="142">
    <w:nsid w:val="3B594807"/>
    <w:multiLevelType w:val="hybridMultilevel"/>
    <w:lvl w:ilvl="0">
      <w:lvlJc w:val="left"/>
      <w:lvlText w:val="%1."/>
      <w:numFmt w:val="decimal"/>
      <w:start w:val="8"/>
    </w:lvl>
  </w:abstractNum>
  <w:abstractNum w:abstractNumId="143">
    <w:nsid w:val="6CAA2304"/>
    <w:multiLevelType w:val="hybridMultilevel"/>
    <w:lvl w:ilvl="0">
      <w:lvlJc w:val="left"/>
      <w:lvlText w:val="%1."/>
      <w:numFmt w:val="lowerLetter"/>
      <w:start w:val="1"/>
    </w:lvl>
  </w:abstractNum>
  <w:abstractNum w:abstractNumId="144">
    <w:nsid w:val="3F7C2FF4"/>
    <w:multiLevelType w:val="hybridMultilevel"/>
    <w:lvl w:ilvl="0">
      <w:lvlJc w:val="left"/>
      <w:lvlText w:val="%1."/>
      <w:numFmt w:val="lowerLetter"/>
      <w:start w:val="2"/>
    </w:lvl>
  </w:abstractNum>
  <w:abstractNum w:abstractNumId="145">
    <w:nsid w:val="25413BEC"/>
    <w:multiLevelType w:val="hybridMultilevel"/>
    <w:lvl w:ilvl="0">
      <w:lvlJc w:val="left"/>
      <w:lvlText w:val="%1."/>
      <w:numFmt w:val="lowerLetter"/>
      <w:start w:val="3"/>
    </w:lvl>
  </w:abstractNum>
  <w:abstractNum w:abstractNumId="146">
    <w:nsid w:val="17180B0B"/>
    <w:multiLevelType w:val="hybridMultilevel"/>
    <w:lvl w:ilvl="0">
      <w:lvlJc w:val="left"/>
      <w:lvlText w:val="%1."/>
      <w:numFmt w:val="lowerLetter"/>
      <w:start w:val="4"/>
    </w:lvl>
  </w:abstractNum>
  <w:abstractNum w:abstractNumId="147">
    <w:nsid w:val="579328B9"/>
    <w:multiLevelType w:val="hybridMultilevel"/>
    <w:lvl w:ilvl="0">
      <w:lvlJc w:val="left"/>
      <w:lvlText w:val="%1."/>
      <w:numFmt w:val="lowerLetter"/>
      <w:start w:val="5"/>
    </w:lvl>
  </w:abstractNum>
  <w:abstractNum w:abstractNumId="148">
    <w:nsid w:val="5D205E20"/>
    <w:multiLevelType w:val="hybridMultilevel"/>
    <w:lvl w:ilvl="0">
      <w:lvlJc w:val="left"/>
      <w:lvlText w:val="%1."/>
      <w:numFmt w:val="lowerLetter"/>
      <w:start w:val="6"/>
    </w:lvl>
  </w:abstractNum>
  <w:abstractNum w:abstractNumId="149">
    <w:nsid w:val="11CCA8BA"/>
    <w:multiLevelType w:val="hybridMultilevel"/>
    <w:lvl w:ilvl="0">
      <w:lvlJc w:val="left"/>
      <w:lvlText w:val="%1."/>
      <w:numFmt w:val="decimal"/>
      <w:start w:val="9"/>
    </w:lvl>
  </w:abstractNum>
  <w:abstractNum w:abstractNumId="150">
    <w:nsid w:val="4D32AB86"/>
    <w:multiLevelType w:val="hybridMultilevel"/>
    <w:lvl w:ilvl="0">
      <w:lvlJc w:val="left"/>
      <w:lvlText w:val="%1."/>
      <w:numFmt w:val="decimal"/>
      <w:start w:val="10"/>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lowerLetter"/>
      <w:start w:val="2"/>
    </w:lvl>
  </w:abstractNum>
  <w:abstractNum w:abstractNumId="153">
    <w:nsid w:val="5CB44A05"/>
    <w:multiLevelType w:val="hybridMultilevel"/>
    <w:lvl w:ilvl="0">
      <w:lvlJc w:val="left"/>
      <w:lvlText w:val="%1."/>
      <w:numFmt w:val="lowerLetter"/>
      <w:start w:val="3"/>
    </w:lvl>
  </w:abstractNum>
  <w:abstractNum w:abstractNumId="154">
    <w:nsid w:val="16CF80F1"/>
    <w:multiLevelType w:val="hybridMultilevel"/>
    <w:lvl w:ilvl="0">
      <w:lvlJc w:val="left"/>
      <w:lvlText w:val="%1."/>
      <w:numFmt w:val="lowerLetter"/>
      <w:start w:val="4"/>
    </w:lvl>
  </w:abstractNum>
  <w:abstractNum w:abstractNumId="155">
    <w:nsid w:val="1C695DEC"/>
    <w:multiLevelType w:val="hybridMultilevel"/>
    <w:lvl w:ilvl="0">
      <w:lvlJc w:val="left"/>
      <w:lvlText w:val="%1."/>
      <w:numFmt w:val="lowerLetter"/>
      <w:start w:val="5"/>
    </w:lvl>
  </w:abstractNum>
  <w:abstractNum w:abstractNumId="156">
    <w:nsid w:val="3FCFAED9"/>
    <w:multiLevelType w:val="hybridMultilevel"/>
    <w:lvl w:ilvl="0">
      <w:lvlJc w:val="left"/>
      <w:lvlText w:val="%1."/>
      <w:numFmt w:val="decimal"/>
      <w:start w:val="11"/>
    </w:lvl>
  </w:abstractNum>
  <w:abstractNum w:abstractNumId="157">
    <w:nsid w:val="F856867"/>
    <w:multiLevelType w:val="hybridMultilevel"/>
    <w:lvl w:ilvl="0">
      <w:lvlJc w:val="left"/>
      <w:lvlText w:val="%1."/>
      <w:numFmt w:val="decimal"/>
      <w:start w:val="12"/>
    </w:lvl>
  </w:abstractNum>
  <w:abstractNum w:abstractNumId="158">
    <w:nsid w:val="11B1CC33"/>
    <w:multiLevelType w:val="hybridMultilevel"/>
    <w:lvl w:ilvl="0">
      <w:lvlJc w:val="left"/>
      <w:lvlText w:val="(%1)"/>
      <w:numFmt w:val="lowerLetter"/>
      <w:start w:val="1"/>
    </w:lvl>
  </w:abstractNum>
  <w:abstractNum w:abstractNumId="159">
    <w:nsid w:val="2E22FBB7"/>
    <w:multiLevelType w:val="hybridMultilevel"/>
    <w:lvl w:ilvl="0">
      <w:lvlJc w:val="left"/>
      <w:lvlText w:val="(%1)"/>
      <w:numFmt w:val="lowerLetter"/>
      <w:start w:val="4"/>
    </w:lvl>
  </w:abstractNum>
  <w:abstractNum w:abstractNumId="160">
    <w:nsid w:val="29934699"/>
    <w:multiLevelType w:val="hybridMultilevel"/>
    <w:lvl w:ilvl="0">
      <w:lvlJc w:val="left"/>
      <w:lvlText w:val="(%1)"/>
      <w:numFmt w:val="lowerLetter"/>
      <w:start w:val="6"/>
    </w:lvl>
  </w:abstractNum>
  <w:abstractNum w:abstractNumId="161">
    <w:nsid w:val="77485850"/>
    <w:multiLevelType w:val="hybridMultilevel"/>
    <w:lvl w:ilvl="0">
      <w:lvlJc w:val="left"/>
      <w:lvlText w:val="(%1)"/>
      <w:numFmt w:val="decimal"/>
    </w:lvl>
    <w:lvl w:ilvl="1">
      <w:lvlJc w:val="left"/>
      <w:lvlText w:val="*"/>
      <w:numFmt w:val="bullet"/>
      <w:start w:val="1"/>
    </w:lvl>
  </w:abstractNum>
  <w:abstractNum w:abstractNumId="162">
    <w:nsid w:val="744939A3"/>
    <w:multiLevelType w:val="hybridMultilevel"/>
    <w:lvl w:ilvl="0">
      <w:lvlJc w:val="left"/>
      <w:lvlText w:val="(%1)"/>
      <w:numFmt w:val="decimal"/>
      <w:start w:val="1"/>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decimal"/>
      <w:start w:val="4"/>
    </w:lvl>
  </w:abstractNum>
  <w:abstractNum w:abstractNumId="165">
    <w:nsid w:val="68B867D3"/>
    <w:multiLevelType w:val="hybridMultilevel"/>
    <w:lvl w:ilvl="0">
      <w:lvlJc w:val="left"/>
      <w:lvlText w:val="%1."/>
      <w:numFmt w:val="upperLetter"/>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2019-12-15T06:38:14Z</dcterms:created>
  <dcterms:modified xsi:type="dcterms:W3CDTF">2019-12-15T06:38:14Z</dcterms:modified>
</cp:coreProperties>
</file>