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389890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414655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7" w:lineRule="exact"/>
        <w:rPr>
          <w:sz w:val="24"/>
          <w:szCs w:val="24"/>
          <w:color w:val="auto"/>
        </w:rPr>
      </w:pPr>
    </w:p>
    <w:p>
      <w:pPr>
        <w:ind w:left="700" w:right="320" w:hanging="664"/>
        <w:spacing w:after="0" w:line="239" w:lineRule="auto"/>
        <w:tabs>
          <w:tab w:leader="none" w:pos="7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4" w:lineRule="exact"/>
        <w:rPr>
          <w:sz w:val="24"/>
          <w:szCs w:val="24"/>
          <w:color w:val="auto"/>
        </w:rPr>
      </w:pPr>
    </w:p>
    <w:p>
      <w:pPr>
        <w:ind w:left="700" w:right="300" w:hanging="664"/>
        <w:spacing w:after="0" w:line="241" w:lineRule="auto"/>
        <w:tabs>
          <w:tab w:leader="none" w:pos="7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60" w:type="dxa"/>
            <w:vAlign w:val="bottom"/>
            <w:gridSpan w:val="3"/>
          </w:tcPr>
          <w:p>
            <w:pPr>
              <w:ind w:left="40"/>
              <w:spacing w:after="0"/>
              <w:rPr>
                <w:sz w:val="20"/>
                <w:szCs w:val="20"/>
                <w:color w:val="auto"/>
              </w:rPr>
            </w:pPr>
            <w:r>
              <w:rPr>
                <w:rFonts w:ascii="Arial" w:cs="Arial" w:eastAsia="Arial" w:hAnsi="Arial"/>
                <w:sz w:val="18"/>
                <w:szCs w:val="18"/>
                <w:b w:val="1"/>
                <w:bCs w:val="1"/>
                <w:color w:val="auto"/>
                <w:w w:val="90"/>
              </w:rPr>
              <w:t>For the transition period from</w:t>
            </w:r>
          </w:p>
        </w:tc>
        <w:tc>
          <w:tcPr>
            <w:tcW w:w="78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c>
          <w:tcPr>
            <w:tcW w:w="740" w:type="dxa"/>
            <w:vAlign w:val="bottom"/>
            <w:tcBorders>
              <w:bottom w:val="single" w:sz="8" w:color="auto"/>
            </w:tcBorders>
            <w:gridSpan w:val="2"/>
          </w:tcPr>
          <w:p>
            <w:pPr>
              <w:spacing w:after="0"/>
              <w:rPr>
                <w:sz w:val="17"/>
                <w:szCs w:val="17"/>
                <w:color w:val="auto"/>
              </w:rPr>
            </w:pPr>
          </w:p>
        </w:tc>
        <w:tc>
          <w:tcPr>
            <w:tcW w:w="2660" w:type="dxa"/>
            <w:vAlign w:val="bottom"/>
            <w:gridSpan w:val="2"/>
          </w:tcPr>
          <w:p>
            <w:pPr>
              <w:spacing w:after="0"/>
              <w:rPr>
                <w:sz w:val="17"/>
                <w:szCs w:val="17"/>
                <w:color w:val="auto"/>
              </w:rPr>
            </w:pPr>
          </w:p>
        </w:tc>
      </w:tr>
      <w:tr>
        <w:trPr>
          <w:trHeight w:val="282"/>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20" w:type="dxa"/>
            <w:vAlign w:val="bottom"/>
            <w:gridSpan w:val="8"/>
          </w:tcPr>
          <w:p>
            <w:pPr>
              <w:jc w:val="center"/>
              <w:ind w:right="2870"/>
              <w:spacing w:after="0"/>
              <w:rPr>
                <w:sz w:val="20"/>
                <w:szCs w:val="20"/>
                <w:color w:val="auto"/>
              </w:rPr>
            </w:pPr>
            <w:r>
              <w:rPr>
                <w:rFonts w:ascii="Arial" w:cs="Arial" w:eastAsia="Arial" w:hAnsi="Arial"/>
                <w:sz w:val="18"/>
                <w:szCs w:val="18"/>
                <w:b w:val="1"/>
                <w:bCs w:val="1"/>
                <w:color w:val="auto"/>
                <w:w w:val="87"/>
              </w:rPr>
              <w:t>Commission File No. 000-50028</w:t>
            </w:r>
          </w:p>
        </w:tc>
      </w:tr>
      <w:tr>
        <w:trPr>
          <w:trHeight w:val="132"/>
        </w:trPr>
        <w:tc>
          <w:tcPr>
            <w:tcW w:w="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2600" w:type="dxa"/>
            <w:vAlign w:val="bottom"/>
          </w:tcPr>
          <w:p>
            <w:pPr>
              <w:spacing w:after="0"/>
              <w:rPr>
                <w:sz w:val="11"/>
                <w:szCs w:val="11"/>
                <w:color w:val="auto"/>
              </w:rPr>
            </w:pPr>
          </w:p>
        </w:tc>
      </w:tr>
      <w:tr>
        <w:trPr>
          <w:trHeight w:val="567"/>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20" w:type="dxa"/>
            <w:vAlign w:val="bottom"/>
            <w:gridSpan w:val="10"/>
          </w:tcPr>
          <w:p>
            <w:pPr>
              <w:jc w:val="center"/>
              <w:ind w:right="1730"/>
              <w:spacing w:after="0"/>
              <w:rPr>
                <w:sz w:val="20"/>
                <w:szCs w:val="20"/>
                <w:color w:val="auto"/>
              </w:rPr>
            </w:pPr>
            <w:r>
              <w:rPr>
                <w:rFonts w:ascii="Arial" w:cs="Arial" w:eastAsia="Arial" w:hAnsi="Arial"/>
                <w:sz w:val="42"/>
                <w:szCs w:val="42"/>
                <w:b w:val="1"/>
                <w:bCs w:val="1"/>
                <w:color w:val="auto"/>
              </w:rPr>
              <w:t>WYNN RESORTS, LIMITED</w:t>
            </w:r>
          </w:p>
        </w:tc>
      </w:tr>
      <w:tr>
        <w:trPr>
          <w:trHeight w:val="228"/>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740" w:type="dxa"/>
            <w:vAlign w:val="bottom"/>
            <w:gridSpan w:val="9"/>
          </w:tcPr>
          <w:p>
            <w:pPr>
              <w:jc w:val="center"/>
              <w:ind w:right="2550"/>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241"/>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500" w:type="dxa"/>
            <w:vAlign w:val="bottom"/>
            <w:gridSpan w:val="6"/>
          </w:tcPr>
          <w:p>
            <w:pPr>
              <w:jc w:val="center"/>
              <w:ind w:right="3340"/>
              <w:spacing w:after="0"/>
              <w:rPr>
                <w:sz w:val="20"/>
                <w:szCs w:val="20"/>
                <w:color w:val="auto"/>
              </w:rPr>
            </w:pPr>
            <w:r>
              <w:rPr>
                <w:rFonts w:ascii="Arial" w:cs="Arial" w:eastAsia="Arial" w:hAnsi="Arial"/>
                <w:sz w:val="18"/>
                <w:szCs w:val="18"/>
                <w:b w:val="1"/>
                <w:bCs w:val="1"/>
                <w:color w:val="auto"/>
                <w:w w:val="87"/>
              </w:rPr>
              <w:t>Nevada</w:t>
            </w:r>
          </w:p>
        </w:tc>
        <w:tc>
          <w:tcPr>
            <w:tcW w:w="36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46-0484987</w:t>
            </w:r>
          </w:p>
        </w:tc>
      </w:tr>
      <w:tr>
        <w:trPr>
          <w:trHeight w:val="141"/>
        </w:trPr>
        <w:tc>
          <w:tcPr>
            <w:tcW w:w="880" w:type="dxa"/>
            <w:vAlign w:val="bottom"/>
          </w:tcPr>
          <w:p>
            <w:pPr>
              <w:spacing w:after="0"/>
              <w:rPr>
                <w:sz w:val="12"/>
                <w:szCs w:val="12"/>
                <w:color w:val="auto"/>
              </w:rPr>
            </w:pPr>
          </w:p>
        </w:tc>
        <w:tc>
          <w:tcPr>
            <w:tcW w:w="5820" w:type="dxa"/>
            <w:vAlign w:val="bottom"/>
            <w:gridSpan w:val="7"/>
          </w:tcPr>
          <w:p>
            <w:pPr>
              <w:jc w:val="center"/>
              <w:ind w:right="2020"/>
              <w:spacing w:after="0" w:line="141" w:lineRule="exact"/>
              <w:rPr>
                <w:sz w:val="20"/>
                <w:szCs w:val="20"/>
                <w:color w:val="auto"/>
              </w:rPr>
            </w:pPr>
            <w:r>
              <w:rPr>
                <w:rFonts w:ascii="Arial" w:cs="Arial" w:eastAsia="Arial" w:hAnsi="Arial"/>
                <w:sz w:val="14"/>
                <w:szCs w:val="14"/>
                <w:b w:val="1"/>
                <w:bCs w:val="1"/>
                <w:color w:val="auto"/>
                <w:w w:val="91"/>
              </w:rPr>
              <w:t>(State or other jurisdiction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jc w:val="center"/>
              <w:ind w:right="990"/>
              <w:spacing w:after="0" w:line="141" w:lineRule="exact"/>
              <w:rPr>
                <w:sz w:val="20"/>
                <w:szCs w:val="20"/>
                <w:color w:val="auto"/>
              </w:rPr>
            </w:pPr>
            <w:r>
              <w:rPr>
                <w:rFonts w:ascii="Arial" w:cs="Arial" w:eastAsia="Arial" w:hAnsi="Arial"/>
                <w:sz w:val="14"/>
                <w:szCs w:val="14"/>
                <w:b w:val="1"/>
                <w:bCs w:val="1"/>
                <w:color w:val="auto"/>
                <w:w w:val="94"/>
              </w:rPr>
              <w:t>(I.R.S. Employer</w:t>
            </w:r>
          </w:p>
        </w:tc>
      </w:tr>
      <w:tr>
        <w:trPr>
          <w:trHeight w:val="183"/>
        </w:trPr>
        <w:tc>
          <w:tcPr>
            <w:tcW w:w="880" w:type="dxa"/>
            <w:vAlign w:val="bottom"/>
          </w:tcPr>
          <w:p>
            <w:pPr>
              <w:spacing w:after="0"/>
              <w:rPr>
                <w:sz w:val="15"/>
                <w:szCs w:val="15"/>
                <w:color w:val="auto"/>
              </w:rPr>
            </w:pPr>
          </w:p>
        </w:tc>
        <w:tc>
          <w:tcPr>
            <w:tcW w:w="5820" w:type="dxa"/>
            <w:vAlign w:val="bottom"/>
            <w:gridSpan w:val="7"/>
          </w:tcPr>
          <w:p>
            <w:pPr>
              <w:jc w:val="center"/>
              <w:ind w:right="2020"/>
              <w:spacing w:after="0"/>
              <w:rPr>
                <w:sz w:val="20"/>
                <w:szCs w:val="20"/>
                <w:color w:val="auto"/>
              </w:rPr>
            </w:pPr>
            <w:r>
              <w:rPr>
                <w:rFonts w:ascii="Arial" w:cs="Arial" w:eastAsia="Arial" w:hAnsi="Arial"/>
                <w:sz w:val="14"/>
                <w:szCs w:val="14"/>
                <w:b w:val="1"/>
                <w:bCs w:val="1"/>
                <w:color w:val="auto"/>
                <w:w w:val="92"/>
              </w:rPr>
              <w:t>incorporation or organization)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0" w:type="dxa"/>
            <w:vAlign w:val="bottom"/>
          </w:tcPr>
          <w:p>
            <w:pPr>
              <w:jc w:val="center"/>
              <w:ind w:right="990"/>
              <w:spacing w:after="0"/>
              <w:rPr>
                <w:sz w:val="20"/>
                <w:szCs w:val="20"/>
                <w:color w:val="auto"/>
              </w:rPr>
            </w:pPr>
            <w:r>
              <w:rPr>
                <w:rFonts w:ascii="Arial" w:cs="Arial" w:eastAsia="Arial" w:hAnsi="Arial"/>
                <w:sz w:val="14"/>
                <w:szCs w:val="14"/>
                <w:b w:val="1"/>
                <w:bCs w:val="1"/>
                <w:color w:val="auto"/>
                <w:w w:val="92"/>
              </w:rPr>
              <w:t>Identification No.)</w:t>
            </w:r>
          </w:p>
        </w:tc>
      </w:tr>
      <w:tr>
        <w:trPr>
          <w:trHeight w:val="321"/>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20" w:type="dxa"/>
            <w:vAlign w:val="bottom"/>
            <w:gridSpan w:val="10"/>
          </w:tcPr>
          <w:p>
            <w:pPr>
              <w:jc w:val="center"/>
              <w:ind w:right="1770"/>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r>
      <w:tr>
        <w:trPr>
          <w:trHeight w:val="183"/>
        </w:trPr>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20" w:type="dxa"/>
            <w:vAlign w:val="bottom"/>
            <w:gridSpan w:val="8"/>
          </w:tcPr>
          <w:p>
            <w:pPr>
              <w:jc w:val="center"/>
              <w:ind w:right="2870"/>
              <w:spacing w:after="0"/>
              <w:rPr>
                <w:sz w:val="20"/>
                <w:szCs w:val="20"/>
                <w:color w:val="auto"/>
              </w:rPr>
            </w:pPr>
            <w:r>
              <w:rPr>
                <w:rFonts w:ascii="Arial" w:cs="Arial" w:eastAsia="Arial" w:hAnsi="Arial"/>
                <w:sz w:val="14"/>
                <w:szCs w:val="14"/>
                <w:b w:val="1"/>
                <w:bCs w:val="1"/>
                <w:color w:val="auto"/>
                <w:w w:val="89"/>
              </w:rPr>
              <w:t>(Address of principal executive offices) (Zip Code)</w:t>
            </w:r>
          </w:p>
        </w:tc>
      </w:tr>
      <w:tr>
        <w:trPr>
          <w:trHeight w:val="238"/>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20" w:type="dxa"/>
            <w:vAlign w:val="bottom"/>
            <w:gridSpan w:val="5"/>
          </w:tcPr>
          <w:p>
            <w:pPr>
              <w:jc w:val="center"/>
              <w:ind w:left="1666"/>
              <w:spacing w:after="0"/>
              <w:rPr>
                <w:sz w:val="20"/>
                <w:szCs w:val="20"/>
                <w:color w:val="auto"/>
              </w:rPr>
            </w:pPr>
            <w:r>
              <w:rPr>
                <w:rFonts w:ascii="Arial" w:cs="Arial" w:eastAsia="Arial" w:hAnsi="Arial"/>
                <w:sz w:val="18"/>
                <w:szCs w:val="18"/>
                <w:b w:val="1"/>
                <w:bCs w:val="1"/>
                <w:color w:val="auto"/>
                <w:w w:val="89"/>
              </w:rPr>
              <w:t>(702) 770-7555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183"/>
        </w:trPr>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20" w:type="dxa"/>
            <w:vAlign w:val="bottom"/>
            <w:gridSpan w:val="8"/>
          </w:tcPr>
          <w:p>
            <w:pPr>
              <w:jc w:val="center"/>
              <w:ind w:right="287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76"/>
        </w:trPr>
        <w:tc>
          <w:tcPr>
            <w:tcW w:w="8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600" w:type="dxa"/>
            <w:vAlign w:val="bottom"/>
          </w:tcPr>
          <w:p>
            <w:pPr>
              <w:spacing w:after="0"/>
              <w:rPr>
                <w:sz w:val="6"/>
                <w:szCs w:val="6"/>
                <w:color w:val="auto"/>
              </w:rPr>
            </w:pPr>
          </w:p>
        </w:tc>
      </w:tr>
      <w:tr>
        <w:trPr>
          <w:trHeight w:val="273"/>
        </w:trPr>
        <w:tc>
          <w:tcPr>
            <w:tcW w:w="8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6"/>
              </w:rPr>
              <w:t>N/A</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183"/>
        </w:trPr>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520" w:type="dxa"/>
            <w:vAlign w:val="bottom"/>
            <w:gridSpan w:val="10"/>
          </w:tcPr>
          <w:p>
            <w:pPr>
              <w:jc w:val="center"/>
              <w:ind w:right="1770"/>
              <w:spacing w:after="0"/>
              <w:rPr>
                <w:sz w:val="20"/>
                <w:szCs w:val="20"/>
                <w:color w:val="auto"/>
              </w:rPr>
            </w:pPr>
            <w:r>
              <w:rPr>
                <w:rFonts w:ascii="Arial" w:cs="Arial" w:eastAsia="Arial" w:hAnsi="Arial"/>
                <w:sz w:val="14"/>
                <w:szCs w:val="14"/>
                <w:b w:val="1"/>
                <w:bCs w:val="1"/>
                <w:color w:val="auto"/>
                <w:w w:val="89"/>
              </w:rPr>
              <w:t>(Former name, former address and former fiscal year, if changed since last report)</w:t>
            </w:r>
          </w:p>
        </w:tc>
      </w:tr>
      <w:tr>
        <w:trPr>
          <w:trHeight w:val="444"/>
        </w:trPr>
        <w:tc>
          <w:tcPr>
            <w:tcW w:w="670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1"/>
        </w:trPr>
        <w:tc>
          <w:tcPr>
            <w:tcW w:w="8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14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87"/>
              </w:rPr>
              <w:t>Trading Symbol(s)</w:t>
            </w:r>
          </w:p>
        </w:tc>
        <w:tc>
          <w:tcPr>
            <w:tcW w:w="200" w:type="dxa"/>
            <w:vAlign w:val="bottom"/>
          </w:tcPr>
          <w:p>
            <w:pPr>
              <w:spacing w:after="0"/>
              <w:rPr>
                <w:sz w:val="18"/>
                <w:szCs w:val="18"/>
                <w:color w:val="auto"/>
              </w:rPr>
            </w:pPr>
          </w:p>
        </w:tc>
        <w:tc>
          <w:tcPr>
            <w:tcW w:w="3400" w:type="dxa"/>
            <w:vAlign w:val="bottom"/>
            <w:gridSpan w:val="4"/>
          </w:tcPr>
          <w:p>
            <w:pPr>
              <w:jc w:val="center"/>
              <w:ind w:left="52"/>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3"/>
            <w:shd w:val="clear" w:color="auto" w:fill="000000"/>
          </w:tcPr>
          <w:p>
            <w:pPr>
              <w:spacing w:after="0" w:line="20" w:lineRule="exact"/>
              <w:rPr>
                <w:sz w:val="1"/>
                <w:szCs w:val="1"/>
                <w:color w:val="auto"/>
              </w:rPr>
            </w:pPr>
          </w:p>
        </w:tc>
      </w:tr>
      <w:tr>
        <w:trPr>
          <w:trHeight w:val="243"/>
        </w:trPr>
        <w:tc>
          <w:tcPr>
            <w:tcW w:w="278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Common stock, par value $0.01</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20" w:type="dxa"/>
            <w:vAlign w:val="bottom"/>
            <w:gridSpan w:val="3"/>
          </w:tcPr>
          <w:p>
            <w:pPr>
              <w:jc w:val="center"/>
              <w:ind w:right="1440"/>
              <w:spacing w:after="0"/>
              <w:rPr>
                <w:sz w:val="20"/>
                <w:szCs w:val="20"/>
                <w:color w:val="auto"/>
              </w:rPr>
            </w:pPr>
            <w:r>
              <w:rPr>
                <w:rFonts w:ascii="Arial" w:cs="Arial" w:eastAsia="Arial" w:hAnsi="Arial"/>
                <w:sz w:val="18"/>
                <w:szCs w:val="18"/>
                <w:color w:val="auto"/>
                <w:w w:val="98"/>
              </w:rPr>
              <w:t>WYNN</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60" w:type="dxa"/>
            <w:vAlign w:val="bottom"/>
            <w:gridSpan w:val="3"/>
          </w:tcPr>
          <w:p>
            <w:pPr>
              <w:jc w:val="center"/>
              <w:spacing w:after="0"/>
              <w:rPr>
                <w:sz w:val="20"/>
                <w:szCs w:val="20"/>
                <w:color w:val="auto"/>
              </w:rPr>
            </w:pPr>
            <w:r>
              <w:rPr>
                <w:rFonts w:ascii="Arial" w:cs="Arial" w:eastAsia="Arial" w:hAnsi="Arial"/>
                <w:sz w:val="18"/>
                <w:szCs w:val="18"/>
                <w:color w:val="auto"/>
                <w:w w:val="88"/>
              </w:rPr>
              <w:t>Nasdaq Global Select Market</w:t>
            </w:r>
          </w:p>
        </w:tc>
      </w:tr>
    </w:tbl>
    <w:p>
      <w:pPr>
        <w:spacing w:after="0" w:line="317" w:lineRule="exact"/>
        <w:rPr>
          <w:sz w:val="24"/>
          <w:szCs w:val="24"/>
          <w:color w:val="auto"/>
        </w:rPr>
      </w:pPr>
    </w:p>
    <w:p>
      <w:pPr>
        <w:jc w:val="both"/>
        <w:ind w:firstLine="434"/>
        <w:spacing w:after="0" w:line="21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34"/>
        <w:spacing w:after="0" w:line="21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jc w:val="both"/>
        <w:ind w:firstLine="434"/>
        <w:spacing w:after="0" w:line="27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tbl>
      <w:tblPr>
        <w:tblLayout w:type="fixed"/>
        <w:tblInd w:w="0" w:type="dxa"/>
        <w:tblCellMar>
          <w:top w:w="0" w:type="dxa"/>
          <w:left w:w="0" w:type="dxa"/>
          <w:bottom w:w="0" w:type="dxa"/>
          <w:right w:w="0" w:type="dxa"/>
        </w:tblCellMar>
      </w:tblPr>
      <w:tr>
        <w:trPr>
          <w:trHeight w:val="222"/>
        </w:trPr>
        <w:tc>
          <w:tcPr>
            <w:tcW w:w="2060" w:type="dxa"/>
            <w:vAlign w:val="bottom"/>
          </w:tcPr>
          <w:p>
            <w:pPr>
              <w:spacing w:after="0"/>
              <w:rPr>
                <w:sz w:val="20"/>
                <w:szCs w:val="20"/>
                <w:color w:val="auto"/>
              </w:rPr>
            </w:pPr>
            <w:r>
              <w:rPr>
                <w:rFonts w:ascii="Arial" w:cs="Arial" w:eastAsia="Arial" w:hAnsi="Arial"/>
                <w:sz w:val="18"/>
                <w:szCs w:val="18"/>
                <w:color w:val="auto"/>
              </w:rPr>
              <w:t>Rule</w:t>
            </w:r>
          </w:p>
        </w:tc>
        <w:tc>
          <w:tcPr>
            <w:tcW w:w="560" w:type="dxa"/>
            <w:vAlign w:val="bottom"/>
          </w:tcPr>
          <w:p>
            <w:pPr>
              <w:ind w:left="100"/>
              <w:spacing w:after="0"/>
              <w:rPr>
                <w:sz w:val="20"/>
                <w:szCs w:val="20"/>
                <w:color w:val="auto"/>
              </w:rPr>
            </w:pPr>
            <w:r>
              <w:rPr>
                <w:rFonts w:ascii="Arial" w:cs="Arial" w:eastAsia="Arial" w:hAnsi="Arial"/>
                <w:sz w:val="18"/>
                <w:szCs w:val="18"/>
                <w:color w:val="auto"/>
                <w:w w:val="95"/>
              </w:rPr>
              <w:t>12b-2</w:t>
            </w:r>
          </w:p>
        </w:tc>
        <w:tc>
          <w:tcPr>
            <w:tcW w:w="2840" w:type="dxa"/>
            <w:vAlign w:val="bottom"/>
          </w:tcPr>
          <w:p>
            <w:pPr>
              <w:ind w:left="1780"/>
              <w:spacing w:after="0"/>
              <w:rPr>
                <w:sz w:val="20"/>
                <w:szCs w:val="20"/>
                <w:color w:val="auto"/>
              </w:rPr>
            </w:pPr>
            <w:r>
              <w:rPr>
                <w:rFonts w:ascii="Arial" w:cs="Arial" w:eastAsia="Arial" w:hAnsi="Arial"/>
                <w:sz w:val="18"/>
                <w:szCs w:val="18"/>
                <w:color w:val="auto"/>
              </w:rPr>
              <w:t>of</w:t>
            </w:r>
          </w:p>
        </w:tc>
        <w:tc>
          <w:tcPr>
            <w:tcW w:w="2000" w:type="dxa"/>
            <w:vAlign w:val="bottom"/>
          </w:tcPr>
          <w:p>
            <w:pPr>
              <w:ind w:left="920"/>
              <w:spacing w:after="0"/>
              <w:rPr>
                <w:sz w:val="20"/>
                <w:szCs w:val="20"/>
                <w:color w:val="auto"/>
              </w:rPr>
            </w:pPr>
            <w:r>
              <w:rPr>
                <w:rFonts w:ascii="Arial" w:cs="Arial" w:eastAsia="Arial" w:hAnsi="Arial"/>
                <w:sz w:val="18"/>
                <w:szCs w:val="18"/>
                <w:color w:val="auto"/>
              </w:rPr>
              <w:t>the</w:t>
            </w:r>
          </w:p>
        </w:tc>
        <w:tc>
          <w:tcPr>
            <w:tcW w:w="3140" w:type="dxa"/>
            <w:vAlign w:val="bottom"/>
          </w:tcPr>
          <w:p>
            <w:pPr>
              <w:ind w:left="960"/>
              <w:spacing w:after="0"/>
              <w:rPr>
                <w:sz w:val="20"/>
                <w:szCs w:val="20"/>
                <w:color w:val="auto"/>
              </w:rPr>
            </w:pPr>
            <w:r>
              <w:rPr>
                <w:rFonts w:ascii="Arial" w:cs="Arial" w:eastAsia="Arial" w:hAnsi="Arial"/>
                <w:sz w:val="18"/>
                <w:szCs w:val="18"/>
                <w:color w:val="auto"/>
              </w:rPr>
              <w:t>Exchange</w:t>
            </w:r>
          </w:p>
        </w:tc>
        <w:tc>
          <w:tcPr>
            <w:tcW w:w="640" w:type="dxa"/>
            <w:vAlign w:val="bottom"/>
          </w:tcPr>
          <w:p>
            <w:pPr>
              <w:ind w:left="340"/>
              <w:spacing w:after="0"/>
              <w:rPr>
                <w:sz w:val="20"/>
                <w:szCs w:val="20"/>
                <w:color w:val="auto"/>
              </w:rPr>
            </w:pPr>
            <w:r>
              <w:rPr>
                <w:rFonts w:ascii="Arial" w:cs="Arial" w:eastAsia="Arial" w:hAnsi="Arial"/>
                <w:sz w:val="18"/>
                <w:szCs w:val="18"/>
                <w:color w:val="auto"/>
                <w:w w:val="90"/>
              </w:rPr>
              <w:t>Act.</w:t>
            </w:r>
          </w:p>
        </w:tc>
        <w:tc>
          <w:tcPr>
            <w:tcW w:w="0" w:type="dxa"/>
            <w:vAlign w:val="bottom"/>
          </w:tcPr>
          <w:p>
            <w:pPr>
              <w:spacing w:after="0"/>
              <w:rPr>
                <w:sz w:val="1"/>
                <w:szCs w:val="1"/>
                <w:color w:val="auto"/>
              </w:rPr>
            </w:pPr>
          </w:p>
        </w:tc>
      </w:tr>
      <w:tr>
        <w:trPr>
          <w:trHeight w:val="187"/>
        </w:trPr>
        <w:tc>
          <w:tcPr>
            <w:tcW w:w="2060" w:type="dxa"/>
            <w:vAlign w:val="bottom"/>
          </w:tcPr>
          <w:p>
            <w:pPr>
              <w:ind w:left="460"/>
              <w:spacing w:after="0" w:line="187" w:lineRule="exact"/>
              <w:rPr>
                <w:sz w:val="20"/>
                <w:szCs w:val="20"/>
                <w:color w:val="auto"/>
              </w:rPr>
            </w:pPr>
            <w:r>
              <w:rPr>
                <w:rFonts w:ascii="Arial" w:cs="Arial" w:eastAsia="Arial" w:hAnsi="Arial"/>
                <w:sz w:val="18"/>
                <w:szCs w:val="18"/>
                <w:color w:val="auto"/>
              </w:rPr>
              <w:t>Large accelerated</w:t>
            </w:r>
          </w:p>
        </w:tc>
        <w:tc>
          <w:tcPr>
            <w:tcW w:w="560" w:type="dxa"/>
            <w:vAlign w:val="bottom"/>
          </w:tcPr>
          <w:p>
            <w:pPr>
              <w:spacing w:after="0"/>
              <w:rPr>
                <w:sz w:val="16"/>
                <w:szCs w:val="16"/>
                <w:color w:val="auto"/>
              </w:rPr>
            </w:pPr>
          </w:p>
        </w:tc>
        <w:tc>
          <w:tcPr>
            <w:tcW w:w="284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000" w:type="dxa"/>
            <w:vAlign w:val="bottom"/>
          </w:tcPr>
          <w:p>
            <w:pPr>
              <w:spacing w:after="0"/>
              <w:rPr>
                <w:sz w:val="16"/>
                <w:szCs w:val="16"/>
                <w:color w:val="auto"/>
              </w:rPr>
            </w:pPr>
          </w:p>
        </w:tc>
        <w:tc>
          <w:tcPr>
            <w:tcW w:w="3140" w:type="dxa"/>
            <w:vAlign w:val="bottom"/>
            <w:vMerge w:val="restart"/>
          </w:tcPr>
          <w:p>
            <w:pPr>
              <w:ind w:left="860"/>
              <w:spacing w:after="0"/>
              <w:rPr>
                <w:sz w:val="20"/>
                <w:szCs w:val="20"/>
                <w:color w:val="auto"/>
              </w:rPr>
            </w:pPr>
            <w:r>
              <w:rPr>
                <w:rFonts w:ascii="Arial" w:cs="Arial" w:eastAsia="Arial" w:hAnsi="Arial"/>
                <w:sz w:val="18"/>
                <w:szCs w:val="18"/>
                <w:color w:val="auto"/>
              </w:rPr>
              <w:t>Accelerated filer</w:t>
            </w:r>
          </w:p>
        </w:tc>
        <w:tc>
          <w:tcPr>
            <w:tcW w:w="64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91"/>
        </w:trPr>
        <w:tc>
          <w:tcPr>
            <w:tcW w:w="2060" w:type="dxa"/>
            <w:vAlign w:val="bottom"/>
          </w:tcPr>
          <w:p>
            <w:pPr>
              <w:ind w:left="20"/>
              <w:spacing w:after="0" w:line="191" w:lineRule="exact"/>
              <w:rPr>
                <w:sz w:val="20"/>
                <w:szCs w:val="20"/>
                <w:color w:val="auto"/>
              </w:rPr>
            </w:pPr>
            <w:r>
              <w:rPr>
                <w:rFonts w:ascii="Arial" w:cs="Arial" w:eastAsia="Arial" w:hAnsi="Arial"/>
                <w:sz w:val="18"/>
                <w:szCs w:val="18"/>
                <w:color w:val="auto"/>
              </w:rPr>
              <w:t>filer</w:t>
            </w:r>
          </w:p>
        </w:tc>
        <w:tc>
          <w:tcPr>
            <w:tcW w:w="560" w:type="dxa"/>
            <w:vAlign w:val="bottom"/>
          </w:tcPr>
          <w:p>
            <w:pPr>
              <w:spacing w:after="0"/>
              <w:rPr>
                <w:sz w:val="16"/>
                <w:szCs w:val="16"/>
                <w:color w:val="auto"/>
              </w:rPr>
            </w:pPr>
          </w:p>
        </w:tc>
        <w:tc>
          <w:tcPr>
            <w:tcW w:w="284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60" w:type="dxa"/>
            <w:vAlign w:val="bottom"/>
          </w:tcPr>
          <w:p>
            <w:pPr>
              <w:ind w:left="460"/>
              <w:spacing w:after="0"/>
              <w:rPr>
                <w:sz w:val="20"/>
                <w:szCs w:val="20"/>
                <w:color w:val="auto"/>
              </w:rPr>
            </w:pPr>
            <w:r>
              <w:rPr>
                <w:rFonts w:ascii="Arial" w:cs="Arial" w:eastAsia="Arial" w:hAnsi="Arial"/>
                <w:sz w:val="18"/>
                <w:szCs w:val="18"/>
                <w:color w:val="auto"/>
                <w:w w:val="95"/>
              </w:rPr>
              <w:t>Non-accelerated filer</w:t>
            </w:r>
          </w:p>
        </w:tc>
        <w:tc>
          <w:tcPr>
            <w:tcW w:w="560" w:type="dxa"/>
            <w:vAlign w:val="bottom"/>
          </w:tcPr>
          <w:p>
            <w:pPr>
              <w:spacing w:after="0"/>
              <w:rPr>
                <w:sz w:val="19"/>
                <w:szCs w:val="19"/>
                <w:color w:val="auto"/>
              </w:rPr>
            </w:pPr>
          </w:p>
        </w:tc>
        <w:tc>
          <w:tcPr>
            <w:tcW w:w="28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000" w:type="dxa"/>
            <w:vAlign w:val="bottom"/>
          </w:tcPr>
          <w:p>
            <w:pPr>
              <w:spacing w:after="0"/>
              <w:rPr>
                <w:sz w:val="19"/>
                <w:szCs w:val="19"/>
                <w:color w:val="auto"/>
              </w:rPr>
            </w:pPr>
          </w:p>
        </w:tc>
        <w:tc>
          <w:tcPr>
            <w:tcW w:w="3140" w:type="dxa"/>
            <w:vAlign w:val="bottom"/>
          </w:tcPr>
          <w:p>
            <w:pPr>
              <w:ind w:left="8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75"/>
        </w:trPr>
        <w:tc>
          <w:tcPr>
            <w:tcW w:w="2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140" w:type="dxa"/>
            <w:vAlign w:val="bottom"/>
          </w:tcPr>
          <w:p>
            <w:pPr>
              <w:ind w:left="86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47" w:lineRule="exact"/>
        <w:rPr>
          <w:sz w:val="24"/>
          <w:szCs w:val="24"/>
          <w:color w:val="auto"/>
        </w:rPr>
      </w:pPr>
    </w:p>
    <w:p>
      <w:pPr>
        <w:jc w:val="both"/>
        <w:ind w:firstLine="434"/>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9160" w:type="dxa"/>
            <w:vAlign w:val="bottom"/>
            <w:gridSpan w:val="3"/>
          </w:tcPr>
          <w:p>
            <w:pPr>
              <w:ind w:left="440"/>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0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22"/>
        </w:trPr>
        <w:tc>
          <w:tcPr>
            <w:tcW w:w="9160" w:type="dxa"/>
            <w:vAlign w:val="bottom"/>
            <w:gridSpan w:val="3"/>
          </w:tcPr>
          <w:p>
            <w:pPr>
              <w:ind w:left="440"/>
              <w:spacing w:after="0"/>
              <w:rPr>
                <w:sz w:val="20"/>
                <w:szCs w:val="20"/>
                <w:color w:val="auto"/>
              </w:rPr>
            </w:pPr>
            <w:r>
              <w:rPr>
                <w:rFonts w:ascii="Arial" w:cs="Arial" w:eastAsia="Arial" w:hAnsi="Arial"/>
                <w:sz w:val="18"/>
                <w:szCs w:val="18"/>
                <w:color w:val="auto"/>
                <w:w w:val="88"/>
              </w:rPr>
              <w:t>Indicate the number of shares outstanding of each of the issuer's classes of common stock, as of the latest practicable date.</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72"/>
        </w:trPr>
        <w:tc>
          <w:tcPr>
            <w:tcW w:w="200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c>
          <w:tcPr>
            <w:tcW w:w="684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Outstanding at July 27, 2021</w:t>
            </w:r>
          </w:p>
        </w:tc>
        <w:tc>
          <w:tcPr>
            <w:tcW w:w="360" w:type="dxa"/>
            <w:vAlign w:val="bottom"/>
          </w:tcPr>
          <w:p>
            <w:pPr>
              <w:spacing w:after="0"/>
              <w:rPr>
                <w:sz w:val="14"/>
                <w:szCs w:val="14"/>
                <w:color w:val="auto"/>
              </w:rPr>
            </w:pPr>
          </w:p>
        </w:tc>
      </w:tr>
      <w:tr>
        <w:trPr>
          <w:trHeight w:val="243"/>
        </w:trPr>
        <w:tc>
          <w:tcPr>
            <w:tcW w:w="9160" w:type="dxa"/>
            <w:vAlign w:val="bottom"/>
            <w:gridSpan w:val="3"/>
          </w:tcPr>
          <w:p>
            <w:pPr>
              <w:jc w:val="center"/>
              <w:ind w:right="4840"/>
              <w:spacing w:after="0"/>
              <w:rPr>
                <w:sz w:val="20"/>
                <w:szCs w:val="20"/>
                <w:color w:val="auto"/>
              </w:rPr>
            </w:pPr>
            <w:r>
              <w:rPr>
                <w:rFonts w:ascii="Arial" w:cs="Arial" w:eastAsia="Arial" w:hAnsi="Arial"/>
                <w:sz w:val="18"/>
                <w:szCs w:val="18"/>
                <w:color w:val="auto"/>
                <w:w w:val="88"/>
              </w:rPr>
              <w:t>Common stock, par value $0.01</w:t>
            </w:r>
          </w:p>
        </w:tc>
        <w:tc>
          <w:tcPr>
            <w:tcW w:w="1720" w:type="dxa"/>
            <w:vAlign w:val="bottom"/>
          </w:tcPr>
          <w:p>
            <w:pPr>
              <w:jc w:val="right"/>
              <w:ind w:right="338"/>
              <w:spacing w:after="0"/>
              <w:rPr>
                <w:sz w:val="20"/>
                <w:szCs w:val="20"/>
                <w:color w:val="auto"/>
              </w:rPr>
            </w:pPr>
            <w:r>
              <w:rPr>
                <w:rFonts w:ascii="Arial" w:cs="Arial" w:eastAsia="Arial" w:hAnsi="Arial"/>
                <w:sz w:val="18"/>
                <w:szCs w:val="18"/>
                <w:color w:val="auto"/>
              </w:rPr>
              <w:t>115,671,633</w:t>
            </w:r>
          </w:p>
        </w:tc>
        <w:tc>
          <w:tcPr>
            <w:tcW w:w="360" w:type="dxa"/>
            <w:vAlign w:val="bottom"/>
          </w:tcPr>
          <w:p>
            <w:pPr>
              <w:spacing w:after="0"/>
              <w:rPr>
                <w:sz w:val="21"/>
                <w:szCs w:val="21"/>
                <w:color w:val="auto"/>
              </w:rPr>
            </w:pPr>
          </w:p>
        </w:tc>
      </w:tr>
      <w:tr>
        <w:trPr>
          <w:trHeight w:val="757"/>
        </w:trPr>
        <w:tc>
          <w:tcPr>
            <w:tcW w:w="2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30"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840" w:type="dxa"/>
            <w:vAlign w:val="bottom"/>
            <w:gridSpan w:val="15"/>
          </w:tcPr>
          <w:p>
            <w:pPr>
              <w:ind w:left="820"/>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500" w:type="dxa"/>
            <w:vAlign w:val="bottom"/>
          </w:tcPr>
          <w:p>
            <w:pPr>
              <w:spacing w:after="0" w:line="185"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Item 1.</w:t>
              </w:r>
            </w:hyperlink>
          </w:p>
        </w:tc>
        <w:tc>
          <w:tcPr>
            <w:tcW w:w="9840" w:type="dxa"/>
            <w:vAlign w:val="bottom"/>
            <w:gridSpan w:val="15"/>
          </w:tcPr>
          <w:p>
            <w:pPr>
              <w:ind w:left="820"/>
              <w:spacing w:after="0" w:line="185"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00" w:type="dxa"/>
            <w:vAlign w:val="bottom"/>
            <w:gridSpan w:val="13"/>
          </w:tcPr>
          <w:p>
            <w:pPr>
              <w:spacing w:after="0" w:line="204"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 June </w:t>
              </w:r>
            </w:hyperlink>
            <w:r>
              <w:rPr>
                <w:rFonts w:ascii="Arial" w:cs="Arial" w:eastAsia="Arial" w:hAnsi="Arial"/>
                <w:sz w:val="18"/>
                <w:szCs w:val="18"/>
                <w:color w:val="0000FF"/>
              </w:rPr>
              <w:t xml:space="preserve">30, </w:t>
            </w:r>
            <w:hyperlink w:anchor="page3">
              <w:r>
                <w:rPr>
                  <w:rFonts w:ascii="Arial" w:cs="Arial" w:eastAsia="Arial" w:hAnsi="Arial"/>
                  <w:sz w:val="18"/>
                  <w:szCs w:val="18"/>
                  <w:color w:val="0000FF"/>
                </w:rPr>
                <w:t>2021 (unaudited) and December 31, 2020</w:t>
              </w:r>
            </w:hyperlink>
          </w:p>
        </w:tc>
        <w:tc>
          <w:tcPr>
            <w:tcW w:w="540" w:type="dxa"/>
            <w:vAlign w:val="bottom"/>
            <w:gridSpan w:val="3"/>
          </w:tcPr>
          <w:p>
            <w:pPr>
              <w:jc w:val="right"/>
              <w:spacing w:after="0" w:line="204"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00" w:type="dxa"/>
            <w:vAlign w:val="bottom"/>
            <w:gridSpan w:val="13"/>
          </w:tcPr>
          <w:p>
            <w:pPr>
              <w:spacing w:after="0" w:line="204"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 xml:space="preserve">Condensed Consolidated Statements of Operations (unaudited) - Three and Six Months Ended June </w:t>
              </w:r>
            </w:hyperlink>
            <w:r>
              <w:rPr>
                <w:rFonts w:ascii="Arial" w:cs="Arial" w:eastAsia="Arial" w:hAnsi="Arial"/>
                <w:sz w:val="18"/>
                <w:szCs w:val="18"/>
                <w:color w:val="0000FF"/>
                <w:w w:val="90"/>
              </w:rPr>
              <w:t xml:space="preserve">30, </w:t>
            </w:r>
            <w:hyperlink w:anchor="page3">
              <w:r>
                <w:rPr>
                  <w:rFonts w:ascii="Arial" w:cs="Arial" w:eastAsia="Arial" w:hAnsi="Arial"/>
                  <w:sz w:val="18"/>
                  <w:szCs w:val="18"/>
                  <w:color w:val="0000FF"/>
                  <w:w w:val="90"/>
                </w:rPr>
                <w:t>2021 and 2020</w:t>
              </w:r>
            </w:hyperlink>
          </w:p>
        </w:tc>
        <w:tc>
          <w:tcPr>
            <w:tcW w:w="540" w:type="dxa"/>
            <w:vAlign w:val="bottom"/>
            <w:gridSpan w:val="3"/>
          </w:tcPr>
          <w:p>
            <w:pPr>
              <w:jc w:val="right"/>
              <w:spacing w:after="0" w:line="204"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00" w:type="dxa"/>
            <w:vAlign w:val="bottom"/>
            <w:gridSpan w:val="13"/>
          </w:tcPr>
          <w:p>
            <w:pPr>
              <w:spacing w:after="0" w:line="204"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Condensed Consolidated Statements of Comprehensive Loss (unaudited) - Three and Six Months Ended June 30, 2021</w:t>
              </w:r>
            </w:hyperlink>
          </w:p>
        </w:tc>
        <w:tc>
          <w:tcPr>
            <w:tcW w:w="540" w:type="dxa"/>
            <w:vAlign w:val="bottom"/>
            <w:gridSpan w:val="3"/>
            <w:vMerge w:val="restart"/>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Borders>
              <w:top w:val="single" w:sz="8" w:color="0000FF"/>
            </w:tcBorders>
          </w:tcPr>
          <w:p>
            <w:pPr>
              <w:spacing w:after="0" w:line="152" w:lineRule="exact"/>
              <w:rPr>
                <w:rFonts w:ascii="Arial" w:cs="Arial" w:eastAsia="Arial" w:hAnsi="Arial"/>
                <w:sz w:val="16"/>
                <w:szCs w:val="16"/>
                <w:color w:val="0000FF"/>
                <w:w w:val="92"/>
              </w:rPr>
            </w:pPr>
            <w:hyperlink w:anchor="page4">
              <w:r>
                <w:rPr>
                  <w:rFonts w:ascii="Arial" w:cs="Arial" w:eastAsia="Arial" w:hAnsi="Arial"/>
                  <w:sz w:val="16"/>
                  <w:szCs w:val="16"/>
                  <w:color w:val="0000FF"/>
                  <w:w w:val="92"/>
                </w:rPr>
                <w:t>and 2020</w:t>
              </w:r>
            </w:hyperlink>
          </w:p>
        </w:tc>
        <w:tc>
          <w:tcPr>
            <w:tcW w:w="77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00" w:type="dxa"/>
            <w:vAlign w:val="bottom"/>
            <w:gridSpan w:val="13"/>
          </w:tcPr>
          <w:p>
            <w:pPr>
              <w:spacing w:after="0" w:line="204" w:lineRule="exact"/>
              <w:rPr>
                <w:rFonts w:ascii="Arial" w:cs="Arial" w:eastAsia="Arial" w:hAnsi="Arial"/>
                <w:sz w:val="18"/>
                <w:szCs w:val="18"/>
                <w:color w:val="0000FF"/>
                <w:w w:val="92"/>
              </w:rPr>
            </w:pPr>
            <w:hyperlink w:anchor="page5">
              <w:r>
                <w:rPr>
                  <w:rFonts w:ascii="Arial" w:cs="Arial" w:eastAsia="Arial" w:hAnsi="Arial"/>
                  <w:sz w:val="18"/>
                  <w:szCs w:val="18"/>
                  <w:color w:val="0000FF"/>
                  <w:w w:val="92"/>
                </w:rPr>
                <w:t>Condensed Consolidated Statements of Stockholders’ Equity (Deficit) (unaudited) - Three and Six Months Ended June</w:t>
              </w:r>
            </w:hyperlink>
          </w:p>
        </w:tc>
        <w:tc>
          <w:tcPr>
            <w:tcW w:w="540" w:type="dxa"/>
            <w:vAlign w:val="bottom"/>
            <w:gridSpan w:val="3"/>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Borders>
              <w:top w:val="single" w:sz="8" w:color="0000FF"/>
            </w:tcBorders>
            <w:gridSpan w:val="3"/>
          </w:tcPr>
          <w:p>
            <w:pPr>
              <w:spacing w:after="0" w:line="152" w:lineRule="exact"/>
              <w:rPr>
                <w:rFonts w:ascii="Arial" w:cs="Arial" w:eastAsia="Arial" w:hAnsi="Arial"/>
                <w:sz w:val="16"/>
                <w:szCs w:val="16"/>
                <w:color w:val="0000FF"/>
                <w:w w:val="95"/>
              </w:rPr>
            </w:pPr>
            <w:r>
              <w:rPr>
                <w:rFonts w:ascii="Arial" w:cs="Arial" w:eastAsia="Arial" w:hAnsi="Arial"/>
                <w:sz w:val="16"/>
                <w:szCs w:val="16"/>
                <w:color w:val="0000FF"/>
                <w:w w:val="95"/>
              </w:rPr>
              <w:t xml:space="preserve">30, </w:t>
            </w:r>
            <w:hyperlink w:anchor="page5">
              <w:r>
                <w:rPr>
                  <w:rFonts w:ascii="Arial" w:cs="Arial" w:eastAsia="Arial" w:hAnsi="Arial"/>
                  <w:sz w:val="16"/>
                  <w:szCs w:val="16"/>
                  <w:color w:val="0000FF"/>
                  <w:w w:val="95"/>
                </w:rPr>
                <w:t>2021 and 2020</w:t>
              </w:r>
            </w:hyperlink>
          </w:p>
        </w:tc>
        <w:tc>
          <w:tcPr>
            <w:tcW w:w="7060" w:type="dxa"/>
            <w:vAlign w:val="bottom"/>
            <w:tcBorders>
              <w:top w:val="single" w:sz="8" w:color="0000FF"/>
            </w:tcBorders>
            <w:gridSpan w:val="9"/>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00" w:type="dxa"/>
            <w:vAlign w:val="bottom"/>
            <w:gridSpan w:val="13"/>
          </w:tcPr>
          <w:p>
            <w:pPr>
              <w:spacing w:after="0" w:line="204"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 xml:space="preserve">Condensed Consolidated Statements of Cash Flows (unaudited) - Six Months Ended June </w:t>
              </w:r>
            </w:hyperlink>
            <w:r>
              <w:rPr>
                <w:rFonts w:ascii="Arial" w:cs="Arial" w:eastAsia="Arial" w:hAnsi="Arial"/>
                <w:sz w:val="18"/>
                <w:szCs w:val="18"/>
                <w:color w:val="0000FF"/>
                <w:w w:val="99"/>
              </w:rPr>
              <w:t xml:space="preserve">30, </w:t>
            </w:r>
            <w:hyperlink w:anchor="page7">
              <w:r>
                <w:rPr>
                  <w:rFonts w:ascii="Arial" w:cs="Arial" w:eastAsia="Arial" w:hAnsi="Arial"/>
                  <w:sz w:val="18"/>
                  <w:szCs w:val="18"/>
                  <w:color w:val="0000FF"/>
                  <w:w w:val="99"/>
                </w:rPr>
                <w:t>2021 and 2020</w:t>
              </w:r>
            </w:hyperlink>
          </w:p>
        </w:tc>
        <w:tc>
          <w:tcPr>
            <w:tcW w:w="540" w:type="dxa"/>
            <w:vAlign w:val="bottom"/>
            <w:gridSpan w:val="3"/>
          </w:tcPr>
          <w:p>
            <w:pPr>
              <w:jc w:val="right"/>
              <w:spacing w:after="0" w:line="204"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00" w:type="dxa"/>
            <w:vAlign w:val="bottom"/>
            <w:gridSpan w:val="13"/>
          </w:tcPr>
          <w:p>
            <w:pPr>
              <w:spacing w:after="0" w:line="204" w:lineRule="exact"/>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(unaudited)</w:t>
              </w:r>
            </w:hyperlink>
          </w:p>
        </w:tc>
        <w:tc>
          <w:tcPr>
            <w:tcW w:w="540" w:type="dxa"/>
            <w:vAlign w:val="bottom"/>
            <w:gridSpan w:val="3"/>
          </w:tcPr>
          <w:p>
            <w:pPr>
              <w:jc w:val="right"/>
              <w:spacing w:after="0" w:line="204"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500" w:type="dxa"/>
            <w:vAlign w:val="bottom"/>
          </w:tcPr>
          <w:p>
            <w:pPr>
              <w:spacing w:after="0" w:line="204" w:lineRule="exact"/>
              <w:rPr>
                <w:rFonts w:ascii="Arial" w:cs="Arial" w:eastAsia="Arial" w:hAnsi="Arial"/>
                <w:sz w:val="18"/>
                <w:szCs w:val="18"/>
                <w:color w:val="0000FF"/>
                <w:w w:val="87"/>
              </w:rPr>
            </w:pPr>
            <w:hyperlink w:anchor="page24">
              <w:r>
                <w:rPr>
                  <w:rFonts w:ascii="Arial" w:cs="Arial" w:eastAsia="Arial" w:hAnsi="Arial"/>
                  <w:sz w:val="18"/>
                  <w:szCs w:val="18"/>
                  <w:color w:val="0000FF"/>
                  <w:w w:val="87"/>
                </w:rPr>
                <w:t>Item 2.</w:t>
              </w:r>
            </w:hyperlink>
          </w:p>
        </w:tc>
        <w:tc>
          <w:tcPr>
            <w:tcW w:w="9840" w:type="dxa"/>
            <w:vAlign w:val="bottom"/>
            <w:gridSpan w:val="15"/>
          </w:tcPr>
          <w:p>
            <w:pPr>
              <w:ind w:left="820"/>
              <w:spacing w:after="0" w:line="204" w:lineRule="exact"/>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540" w:type="dxa"/>
            <w:vAlign w:val="bottom"/>
            <w:gridSpan w:val="3"/>
          </w:tcPr>
          <w:p>
            <w:pPr>
              <w:jc w:val="right"/>
              <w:spacing w:after="0" w:line="204" w:lineRule="exact"/>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500" w:type="dxa"/>
            <w:vAlign w:val="bottom"/>
          </w:tcPr>
          <w:p>
            <w:pPr>
              <w:spacing w:after="0" w:line="204" w:lineRule="exact"/>
              <w:rPr>
                <w:rFonts w:ascii="Arial" w:cs="Arial" w:eastAsia="Arial" w:hAnsi="Arial"/>
                <w:sz w:val="18"/>
                <w:szCs w:val="18"/>
                <w:color w:val="0000FF"/>
                <w:w w:val="87"/>
              </w:rPr>
            </w:pPr>
            <w:hyperlink w:anchor="page47">
              <w:r>
                <w:rPr>
                  <w:rFonts w:ascii="Arial" w:cs="Arial" w:eastAsia="Arial" w:hAnsi="Arial"/>
                  <w:sz w:val="18"/>
                  <w:szCs w:val="18"/>
                  <w:color w:val="0000FF"/>
                  <w:w w:val="87"/>
                </w:rPr>
                <w:t>Item 3.</w:t>
              </w:r>
            </w:hyperlink>
          </w:p>
        </w:tc>
        <w:tc>
          <w:tcPr>
            <w:tcW w:w="9840" w:type="dxa"/>
            <w:vAlign w:val="bottom"/>
            <w:gridSpan w:val="15"/>
          </w:tcPr>
          <w:p>
            <w:pPr>
              <w:ind w:left="820"/>
              <w:spacing w:after="0" w:line="204" w:lineRule="exact"/>
              <w:rPr>
                <w:rFonts w:ascii="Arial" w:cs="Arial" w:eastAsia="Arial" w:hAnsi="Arial"/>
                <w:sz w:val="18"/>
                <w:szCs w:val="18"/>
                <w:color w:val="0000FF"/>
              </w:rPr>
            </w:pPr>
            <w:hyperlink w:anchor="page47">
              <w:r>
                <w:rPr>
                  <w:rFonts w:ascii="Arial" w:cs="Arial" w:eastAsia="Arial" w:hAnsi="Arial"/>
                  <w:sz w:val="18"/>
                  <w:szCs w:val="18"/>
                  <w:color w:val="0000FF"/>
                </w:rPr>
                <w:t>Quantitative and Qualitative Disclosures About Market Risk</w:t>
              </w:r>
            </w:hyperlink>
          </w:p>
        </w:tc>
        <w:tc>
          <w:tcPr>
            <w:tcW w:w="540" w:type="dxa"/>
            <w:vAlign w:val="bottom"/>
            <w:gridSpan w:val="3"/>
          </w:tcPr>
          <w:p>
            <w:pPr>
              <w:jc w:val="right"/>
              <w:spacing w:after="0" w:line="204" w:lineRule="exact"/>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500" w:type="dxa"/>
            <w:vAlign w:val="bottom"/>
          </w:tcPr>
          <w:p>
            <w:pPr>
              <w:spacing w:after="0" w:line="204" w:lineRule="exact"/>
              <w:rPr>
                <w:rFonts w:ascii="Arial" w:cs="Arial" w:eastAsia="Arial" w:hAnsi="Arial"/>
                <w:sz w:val="18"/>
                <w:szCs w:val="18"/>
                <w:color w:val="0000FF"/>
                <w:w w:val="87"/>
              </w:rPr>
            </w:pPr>
            <w:hyperlink w:anchor="page48">
              <w:r>
                <w:rPr>
                  <w:rFonts w:ascii="Arial" w:cs="Arial" w:eastAsia="Arial" w:hAnsi="Arial"/>
                  <w:sz w:val="18"/>
                  <w:szCs w:val="18"/>
                  <w:color w:val="0000FF"/>
                  <w:w w:val="87"/>
                </w:rPr>
                <w:t>Item 4.</w:t>
              </w:r>
            </w:hyperlink>
          </w:p>
        </w:tc>
        <w:tc>
          <w:tcPr>
            <w:tcW w:w="9840" w:type="dxa"/>
            <w:vAlign w:val="bottom"/>
            <w:gridSpan w:val="15"/>
          </w:tcPr>
          <w:p>
            <w:pPr>
              <w:ind w:left="820"/>
              <w:spacing w:after="0" w:line="204" w:lineRule="exact"/>
              <w:rPr>
                <w:rFonts w:ascii="Arial" w:cs="Arial" w:eastAsia="Arial" w:hAnsi="Arial"/>
                <w:sz w:val="18"/>
                <w:szCs w:val="18"/>
                <w:color w:val="0000FF"/>
              </w:rPr>
            </w:pPr>
            <w:hyperlink w:anchor="page48">
              <w:r>
                <w:rPr>
                  <w:rFonts w:ascii="Arial" w:cs="Arial" w:eastAsia="Arial" w:hAnsi="Arial"/>
                  <w:sz w:val="18"/>
                  <w:szCs w:val="18"/>
                  <w:color w:val="0000FF"/>
                </w:rPr>
                <w:t>Controls and Procedures</w:t>
              </w:r>
            </w:hyperlink>
          </w:p>
        </w:tc>
        <w:tc>
          <w:tcPr>
            <w:tcW w:w="540" w:type="dxa"/>
            <w:vAlign w:val="bottom"/>
            <w:gridSpan w:val="3"/>
          </w:tcPr>
          <w:p>
            <w:pPr>
              <w:jc w:val="right"/>
              <w:spacing w:after="0" w:line="204" w:lineRule="exact"/>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100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7460" w:type="dxa"/>
            <w:vAlign w:val="bottom"/>
            <w:gridSpan w:val="6"/>
          </w:tcPr>
          <w:p>
            <w:pPr>
              <w:ind w:left="640"/>
              <w:spacing w:after="0"/>
              <w:rPr>
                <w:sz w:val="20"/>
                <w:szCs w:val="20"/>
                <w:color w:val="auto"/>
              </w:rPr>
            </w:pPr>
            <w:r>
              <w:rPr>
                <w:rFonts w:ascii="Arial" w:cs="Arial" w:eastAsia="Arial" w:hAnsi="Arial"/>
                <w:sz w:val="18"/>
                <w:szCs w:val="18"/>
                <w:b w:val="1"/>
                <w:bCs w:val="1"/>
                <w:color w:val="auto"/>
              </w:rPr>
              <w:t>Other Information</w:t>
            </w: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85"/>
        </w:trPr>
        <w:tc>
          <w:tcPr>
            <w:tcW w:w="320" w:type="dxa"/>
            <w:vAlign w:val="bottom"/>
          </w:tcPr>
          <w:p>
            <w:pPr>
              <w:spacing w:after="0"/>
              <w:rPr>
                <w:sz w:val="16"/>
                <w:szCs w:val="16"/>
                <w:color w:val="auto"/>
              </w:rPr>
            </w:pPr>
          </w:p>
        </w:tc>
        <w:tc>
          <w:tcPr>
            <w:tcW w:w="500" w:type="dxa"/>
            <w:vAlign w:val="bottom"/>
          </w:tcPr>
          <w:p>
            <w:pPr>
              <w:spacing w:after="0" w:line="185" w:lineRule="exact"/>
              <w:rPr>
                <w:rFonts w:ascii="Arial" w:cs="Arial" w:eastAsia="Arial" w:hAnsi="Arial"/>
                <w:sz w:val="18"/>
                <w:szCs w:val="18"/>
                <w:color w:val="0000FF"/>
                <w:w w:val="87"/>
              </w:rPr>
            </w:pPr>
            <w:hyperlink w:anchor="page49">
              <w:r>
                <w:rPr>
                  <w:rFonts w:ascii="Arial" w:cs="Arial" w:eastAsia="Arial" w:hAnsi="Arial"/>
                  <w:sz w:val="18"/>
                  <w:szCs w:val="18"/>
                  <w:color w:val="0000FF"/>
                  <w:w w:val="87"/>
                </w:rPr>
                <w:t>Item 1.</w:t>
              </w:r>
            </w:hyperlink>
          </w:p>
        </w:tc>
        <w:tc>
          <w:tcPr>
            <w:tcW w:w="180" w:type="dxa"/>
            <w:vAlign w:val="bottom"/>
            <w:gridSpan w:val="2"/>
          </w:tcPr>
          <w:p>
            <w:pPr>
              <w:spacing w:after="0"/>
              <w:rPr>
                <w:sz w:val="16"/>
                <w:szCs w:val="16"/>
                <w:color w:val="auto"/>
              </w:rPr>
            </w:pPr>
          </w:p>
        </w:tc>
        <w:tc>
          <w:tcPr>
            <w:tcW w:w="7460" w:type="dxa"/>
            <w:vAlign w:val="bottom"/>
            <w:gridSpan w:val="6"/>
          </w:tcPr>
          <w:p>
            <w:pPr>
              <w:ind w:left="640"/>
              <w:spacing w:after="0" w:line="185" w:lineRule="exact"/>
              <w:rPr>
                <w:rFonts w:ascii="Arial" w:cs="Arial" w:eastAsia="Arial" w:hAnsi="Arial"/>
                <w:sz w:val="18"/>
                <w:szCs w:val="18"/>
                <w:color w:val="0000FF"/>
              </w:rPr>
            </w:pPr>
            <w:hyperlink w:anchor="page49">
              <w:r>
                <w:rPr>
                  <w:rFonts w:ascii="Arial" w:cs="Arial" w:eastAsia="Arial" w:hAnsi="Arial"/>
                  <w:sz w:val="18"/>
                  <w:szCs w:val="18"/>
                  <w:color w:val="0000FF"/>
                </w:rPr>
                <w:t>Legal Proceedings</w:t>
              </w:r>
            </w:hyperlink>
          </w:p>
        </w:tc>
        <w:tc>
          <w:tcPr>
            <w:tcW w:w="2740" w:type="dxa"/>
            <w:vAlign w:val="bottom"/>
            <w:gridSpan w:val="2"/>
          </w:tcPr>
          <w:p>
            <w:pPr>
              <w:jc w:val="right"/>
              <w:spacing w:after="0" w:line="185" w:lineRule="exact"/>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60" w:type="dxa"/>
            <w:vAlign w:val="bottom"/>
            <w:tcBorders>
              <w:left w:val="single" w:sz="8" w:color="0000FF"/>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680" w:type="dxa"/>
            <w:vAlign w:val="bottom"/>
            <w:gridSpan w:val="3"/>
          </w:tcPr>
          <w:p>
            <w:pPr>
              <w:spacing w:after="0" w:line="204" w:lineRule="exact"/>
              <w:rPr>
                <w:rFonts w:ascii="Arial" w:cs="Arial" w:eastAsia="Arial" w:hAnsi="Arial"/>
                <w:sz w:val="18"/>
                <w:szCs w:val="18"/>
                <w:color w:val="0000FF"/>
                <w:w w:val="98"/>
              </w:rPr>
            </w:pPr>
            <w:hyperlink w:anchor="page49">
              <w:r>
                <w:rPr>
                  <w:rFonts w:ascii="Arial" w:cs="Arial" w:eastAsia="Arial" w:hAnsi="Arial"/>
                  <w:sz w:val="18"/>
                  <w:szCs w:val="18"/>
                  <w:color w:val="0000FF"/>
                  <w:w w:val="98"/>
                </w:rPr>
                <w:t>Item 1A.</w:t>
              </w:r>
            </w:hyperlink>
          </w:p>
        </w:tc>
        <w:tc>
          <w:tcPr>
            <w:tcW w:w="7460" w:type="dxa"/>
            <w:vAlign w:val="bottom"/>
            <w:gridSpan w:val="6"/>
          </w:tcPr>
          <w:p>
            <w:pPr>
              <w:ind w:left="640"/>
              <w:spacing w:after="0" w:line="204" w:lineRule="exact"/>
              <w:rPr>
                <w:rFonts w:ascii="Arial" w:cs="Arial" w:eastAsia="Arial" w:hAnsi="Arial"/>
                <w:sz w:val="18"/>
                <w:szCs w:val="18"/>
                <w:color w:val="0000FF"/>
              </w:rPr>
            </w:pPr>
            <w:hyperlink w:anchor="page49">
              <w:r>
                <w:rPr>
                  <w:rFonts w:ascii="Arial" w:cs="Arial" w:eastAsia="Arial" w:hAnsi="Arial"/>
                  <w:sz w:val="18"/>
                  <w:szCs w:val="18"/>
                  <w:color w:val="0000FF"/>
                </w:rPr>
                <w:t>Risk Factors</w:t>
              </w:r>
            </w:hyperlink>
          </w:p>
        </w:tc>
        <w:tc>
          <w:tcPr>
            <w:tcW w:w="2740" w:type="dxa"/>
            <w:vAlign w:val="bottom"/>
            <w:gridSpan w:val="2"/>
          </w:tcPr>
          <w:p>
            <w:pPr>
              <w:jc w:val="right"/>
              <w:spacing w:after="0" w:line="204" w:lineRule="exact"/>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3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620" w:type="dxa"/>
            <w:vAlign w:val="bottom"/>
            <w:gridSpan w:val="2"/>
          </w:tcPr>
          <w:p>
            <w:pPr>
              <w:spacing w:after="0" w:line="204" w:lineRule="exact"/>
              <w:rPr>
                <w:rFonts w:ascii="Arial" w:cs="Arial" w:eastAsia="Arial" w:hAnsi="Arial"/>
                <w:sz w:val="18"/>
                <w:szCs w:val="18"/>
                <w:color w:val="0000FF"/>
              </w:rPr>
            </w:pPr>
            <w:hyperlink w:anchor="page49">
              <w:r>
                <w:rPr>
                  <w:rFonts w:ascii="Arial" w:cs="Arial" w:eastAsia="Arial" w:hAnsi="Arial"/>
                  <w:sz w:val="18"/>
                  <w:szCs w:val="18"/>
                  <w:color w:val="0000FF"/>
                </w:rPr>
                <w:t>Item 2.</w:t>
              </w:r>
            </w:hyperlink>
          </w:p>
        </w:tc>
        <w:tc>
          <w:tcPr>
            <w:tcW w:w="60" w:type="dxa"/>
            <w:vAlign w:val="bottom"/>
          </w:tcPr>
          <w:p>
            <w:pPr>
              <w:spacing w:after="0"/>
              <w:rPr>
                <w:sz w:val="17"/>
                <w:szCs w:val="17"/>
                <w:color w:val="auto"/>
              </w:rPr>
            </w:pPr>
          </w:p>
        </w:tc>
        <w:tc>
          <w:tcPr>
            <w:tcW w:w="7460" w:type="dxa"/>
            <w:vAlign w:val="bottom"/>
            <w:gridSpan w:val="6"/>
          </w:tcPr>
          <w:p>
            <w:pPr>
              <w:ind w:left="640"/>
              <w:spacing w:after="0" w:line="204" w:lineRule="exact"/>
              <w:rPr>
                <w:rFonts w:ascii="Arial" w:cs="Arial" w:eastAsia="Arial" w:hAnsi="Arial"/>
                <w:sz w:val="18"/>
                <w:szCs w:val="18"/>
                <w:color w:val="0000FF"/>
              </w:rPr>
            </w:pPr>
            <w:hyperlink w:anchor="page49">
              <w:r>
                <w:rPr>
                  <w:rFonts w:ascii="Arial" w:cs="Arial" w:eastAsia="Arial" w:hAnsi="Arial"/>
                  <w:sz w:val="18"/>
                  <w:szCs w:val="18"/>
                  <w:color w:val="0000FF"/>
                </w:rPr>
                <w:t>Unregistered Sales of Equity Securities and Use of Proceeds</w:t>
              </w:r>
            </w:hyperlink>
          </w:p>
        </w:tc>
        <w:tc>
          <w:tcPr>
            <w:tcW w:w="2740" w:type="dxa"/>
            <w:vAlign w:val="bottom"/>
            <w:gridSpan w:val="2"/>
          </w:tcPr>
          <w:p>
            <w:pPr>
              <w:jc w:val="right"/>
              <w:spacing w:after="0" w:line="204" w:lineRule="exact"/>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3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9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500" w:type="dxa"/>
            <w:vAlign w:val="bottom"/>
          </w:tcPr>
          <w:p>
            <w:pPr>
              <w:spacing w:after="0" w:line="204" w:lineRule="exact"/>
              <w:rPr>
                <w:rFonts w:ascii="Arial" w:cs="Arial" w:eastAsia="Arial" w:hAnsi="Arial"/>
                <w:sz w:val="18"/>
                <w:szCs w:val="18"/>
                <w:color w:val="0000FF"/>
                <w:w w:val="87"/>
              </w:rPr>
            </w:pPr>
            <w:hyperlink w:anchor="page49">
              <w:r>
                <w:rPr>
                  <w:rFonts w:ascii="Arial" w:cs="Arial" w:eastAsia="Arial" w:hAnsi="Arial"/>
                  <w:sz w:val="18"/>
                  <w:szCs w:val="18"/>
                  <w:color w:val="0000FF"/>
                  <w:w w:val="87"/>
                </w:rPr>
                <w:t>Item 5.</w:t>
              </w:r>
            </w:hyperlink>
          </w:p>
        </w:tc>
        <w:tc>
          <w:tcPr>
            <w:tcW w:w="180" w:type="dxa"/>
            <w:vAlign w:val="bottom"/>
            <w:gridSpan w:val="2"/>
          </w:tcPr>
          <w:p>
            <w:pPr>
              <w:spacing w:after="0"/>
              <w:rPr>
                <w:sz w:val="17"/>
                <w:szCs w:val="17"/>
                <w:color w:val="auto"/>
              </w:rPr>
            </w:pPr>
          </w:p>
        </w:tc>
        <w:tc>
          <w:tcPr>
            <w:tcW w:w="7460" w:type="dxa"/>
            <w:vAlign w:val="bottom"/>
            <w:gridSpan w:val="6"/>
          </w:tcPr>
          <w:p>
            <w:pPr>
              <w:ind w:left="640"/>
              <w:spacing w:after="0" w:line="204" w:lineRule="exact"/>
              <w:rPr>
                <w:rFonts w:ascii="Arial" w:cs="Arial" w:eastAsia="Arial" w:hAnsi="Arial"/>
                <w:sz w:val="18"/>
                <w:szCs w:val="18"/>
                <w:color w:val="0000FF"/>
              </w:rPr>
            </w:pPr>
            <w:hyperlink w:anchor="page49">
              <w:r>
                <w:rPr>
                  <w:rFonts w:ascii="Arial" w:cs="Arial" w:eastAsia="Arial" w:hAnsi="Arial"/>
                  <w:sz w:val="18"/>
                  <w:szCs w:val="18"/>
                  <w:color w:val="0000FF"/>
                </w:rPr>
                <w:t>Other Information</w:t>
              </w:r>
            </w:hyperlink>
          </w:p>
        </w:tc>
        <w:tc>
          <w:tcPr>
            <w:tcW w:w="2740" w:type="dxa"/>
            <w:vAlign w:val="bottom"/>
            <w:gridSpan w:val="2"/>
          </w:tcPr>
          <w:p>
            <w:pPr>
              <w:jc w:val="right"/>
              <w:spacing w:after="0" w:line="204" w:lineRule="exact"/>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500" w:type="dxa"/>
            <w:vAlign w:val="bottom"/>
          </w:tcPr>
          <w:p>
            <w:pPr>
              <w:spacing w:after="0" w:line="204" w:lineRule="exact"/>
              <w:rPr>
                <w:rFonts w:ascii="Arial" w:cs="Arial" w:eastAsia="Arial" w:hAnsi="Arial"/>
                <w:sz w:val="18"/>
                <w:szCs w:val="18"/>
                <w:color w:val="0000FF"/>
                <w:w w:val="87"/>
              </w:rPr>
            </w:pPr>
            <w:hyperlink w:anchor="page49">
              <w:r>
                <w:rPr>
                  <w:rFonts w:ascii="Arial" w:cs="Arial" w:eastAsia="Arial" w:hAnsi="Arial"/>
                  <w:sz w:val="18"/>
                  <w:szCs w:val="18"/>
                  <w:color w:val="0000FF"/>
                  <w:w w:val="87"/>
                </w:rPr>
                <w:t>Item 6.</w:t>
              </w:r>
            </w:hyperlink>
          </w:p>
        </w:tc>
        <w:tc>
          <w:tcPr>
            <w:tcW w:w="180" w:type="dxa"/>
            <w:vAlign w:val="bottom"/>
            <w:gridSpan w:val="2"/>
          </w:tcPr>
          <w:p>
            <w:pPr>
              <w:spacing w:after="0"/>
              <w:rPr>
                <w:sz w:val="17"/>
                <w:szCs w:val="17"/>
                <w:color w:val="auto"/>
              </w:rPr>
            </w:pPr>
          </w:p>
        </w:tc>
        <w:tc>
          <w:tcPr>
            <w:tcW w:w="7460" w:type="dxa"/>
            <w:vAlign w:val="bottom"/>
            <w:gridSpan w:val="6"/>
          </w:tcPr>
          <w:p>
            <w:pPr>
              <w:ind w:left="640"/>
              <w:spacing w:after="0" w:line="204" w:lineRule="exact"/>
              <w:rPr>
                <w:rFonts w:ascii="Arial" w:cs="Arial" w:eastAsia="Arial" w:hAnsi="Arial"/>
                <w:sz w:val="18"/>
                <w:szCs w:val="18"/>
                <w:color w:val="0000FF"/>
              </w:rPr>
            </w:pPr>
            <w:hyperlink w:anchor="page49">
              <w:r>
                <w:rPr>
                  <w:rFonts w:ascii="Arial" w:cs="Arial" w:eastAsia="Arial" w:hAnsi="Arial"/>
                  <w:sz w:val="18"/>
                  <w:szCs w:val="18"/>
                  <w:color w:val="0000FF"/>
                </w:rPr>
                <w:t>Exhibits</w:t>
              </w:r>
            </w:hyperlink>
          </w:p>
        </w:tc>
        <w:tc>
          <w:tcPr>
            <w:tcW w:w="2740" w:type="dxa"/>
            <w:vAlign w:val="bottom"/>
            <w:gridSpan w:val="2"/>
          </w:tcPr>
          <w:p>
            <w:pPr>
              <w:jc w:val="right"/>
              <w:spacing w:after="0" w:line="204" w:lineRule="exact"/>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r>
      <w:tr>
        <w:trPr>
          <w:trHeight w:val="20"/>
        </w:trPr>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680" w:type="dxa"/>
            <w:vAlign w:val="bottom"/>
            <w:tcBorders>
              <w:bottom w:val="single" w:sz="8" w:color="0000FF"/>
            </w:tcBorders>
            <w:gridSpan w:val="3"/>
          </w:tcPr>
          <w:p>
            <w:pPr>
              <w:spacing w:after="0" w:line="204" w:lineRule="exact"/>
              <w:rPr>
                <w:rFonts w:ascii="Arial" w:cs="Arial" w:eastAsia="Arial" w:hAnsi="Arial"/>
                <w:sz w:val="18"/>
                <w:szCs w:val="18"/>
                <w:color w:val="0000FF"/>
                <w:w w:val="85"/>
              </w:rPr>
            </w:pPr>
            <w:hyperlink w:anchor="page50">
              <w:r>
                <w:rPr>
                  <w:rFonts w:ascii="Arial" w:cs="Arial" w:eastAsia="Arial" w:hAnsi="Arial"/>
                  <w:sz w:val="18"/>
                  <w:szCs w:val="18"/>
                  <w:color w:val="0000FF"/>
                  <w:w w:val="85"/>
                </w:rPr>
                <w:t>Signature</w:t>
              </w:r>
            </w:hyperlink>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204"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40" w:type="dxa"/>
            <w:vAlign w:val="bottom"/>
          </w:tcPr>
          <w:p>
            <w:pPr>
              <w:jc w:val="right"/>
              <w:ind w:right="22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144"/>
              <w:spacing w:after="0"/>
              <w:rPr>
                <w:sz w:val="20"/>
                <w:szCs w:val="20"/>
                <w:color w:val="auto"/>
              </w:rPr>
            </w:pPr>
            <w:r>
              <w:rPr>
                <w:rFonts w:ascii="Arial" w:cs="Arial" w:eastAsia="Arial" w:hAnsi="Arial"/>
                <w:sz w:val="14"/>
                <w:szCs w:val="14"/>
                <w:b w:val="1"/>
                <w:bCs w:val="1"/>
                <w:color w:val="auto"/>
                <w:w w:val="91"/>
              </w:rPr>
              <w:t>(unaudited)</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26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5"/>
                <w:szCs w:val="15"/>
                <w:color w:val="auto"/>
              </w:rPr>
              <w:t>Cash and cash equivalents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2,802,716</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3,482,032</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Restricted cash</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5"/>
                <w:szCs w:val="15"/>
                <w:color w:val="auto"/>
              </w:rPr>
              <w:t>Accounts receivable, net of allowance for credit losses of $98,043 and $100,329</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245,959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200,158</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Inventories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66,285</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Prepaid expenses and other</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97,737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64,672</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660"/>
              <w:spacing w:after="0"/>
              <w:rPr>
                <w:sz w:val="20"/>
                <w:szCs w:val="20"/>
                <w:color w:val="auto"/>
              </w:rPr>
            </w:pPr>
            <w:r>
              <w:rPr>
                <w:rFonts w:ascii="Arial" w:cs="Arial" w:eastAsia="Arial" w:hAnsi="Arial"/>
                <w:sz w:val="15"/>
                <w:szCs w:val="15"/>
                <w:b w:val="1"/>
                <w:bCs w:val="1"/>
                <w:color w:val="auto"/>
              </w:rPr>
              <w:t>Total current assets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3,215,089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3,813,147</w:t>
            </w: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8,925,386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9,196,644</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4,352</w:t>
            </w: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Arial" w:cs="Arial" w:eastAsia="Arial" w:hAnsi="Arial"/>
                <w:sz w:val="15"/>
                <w:szCs w:val="15"/>
                <w:color w:val="auto"/>
              </w:rPr>
              <w:t>Goodwill and intangible assets, net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291,510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278,195</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386,501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398,594</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200,387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178,615</w:t>
            </w: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5"/>
                <w:szCs w:val="15"/>
                <w:b w:val="1"/>
                <w:bCs w:val="1"/>
                <w:color w:val="auto"/>
              </w:rPr>
              <w:t>Total assets</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13,022,665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13,869,547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5"/>
                <w:szCs w:val="15"/>
                <w:color w:val="auto"/>
              </w:rPr>
              <w:t>Accounts and construction payables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168,143</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148,478</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Customer deposits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501,652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646,856</w:t>
            </w: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5"/>
                <w:szCs w:val="15"/>
                <w:color w:val="auto"/>
              </w:rPr>
              <w:t>Gaming taxes payable</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60,617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66,346</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Accrued compensation and benefits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163,169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126,846</w:t>
            </w: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5"/>
                <w:szCs w:val="15"/>
                <w:color w:val="auto"/>
              </w:rPr>
              <w:t>Accrued interest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132,220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136,421</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Current portion of long-term debt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1,308,353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596,408</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 accrued liabilities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204,148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159,533</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660"/>
              <w:spacing w:after="0"/>
              <w:rPr>
                <w:sz w:val="20"/>
                <w:szCs w:val="20"/>
                <w:color w:val="auto"/>
              </w:rPr>
            </w:pPr>
            <w:r>
              <w:rPr>
                <w:rFonts w:ascii="Arial" w:cs="Arial" w:eastAsia="Arial" w:hAnsi="Arial"/>
                <w:sz w:val="15"/>
                <w:szCs w:val="15"/>
                <w:b w:val="1"/>
                <w:bCs w:val="1"/>
                <w:color w:val="auto"/>
              </w:rPr>
              <w:t>Total current liabilities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2,538,302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1,880,888</w:t>
            </w: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Arial" w:cs="Arial" w:eastAsia="Arial" w:hAnsi="Arial"/>
                <w:sz w:val="15"/>
                <w:szCs w:val="15"/>
                <w:color w:val="auto"/>
              </w:rPr>
              <w:t>Long-term debt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10,612,560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12,469,362</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operating lease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119,471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123,124</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106,171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133,490</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660"/>
              <w:spacing w:after="0"/>
              <w:rPr>
                <w:sz w:val="20"/>
                <w:szCs w:val="20"/>
                <w:color w:val="auto"/>
              </w:rPr>
            </w:pPr>
            <w:r>
              <w:rPr>
                <w:rFonts w:ascii="Arial" w:cs="Arial" w:eastAsia="Arial" w:hAnsi="Arial"/>
                <w:sz w:val="15"/>
                <w:szCs w:val="15"/>
                <w:b w:val="1"/>
                <w:bCs w:val="1"/>
                <w:color w:val="auto"/>
              </w:rPr>
              <w:t>Total liabilities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13,376,504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14,606,864</w:t>
            </w:r>
          </w:p>
        </w:tc>
        <w:tc>
          <w:tcPr>
            <w:tcW w:w="0" w:type="dxa"/>
            <w:vAlign w:val="bottom"/>
          </w:tcPr>
          <w:p>
            <w:pPr>
              <w:spacing w:after="0"/>
              <w:rPr>
                <w:sz w:val="1"/>
                <w:szCs w:val="1"/>
                <w:color w:val="auto"/>
              </w:rPr>
            </w:pPr>
          </w:p>
        </w:tc>
      </w:tr>
      <w:tr>
        <w:trPr>
          <w:trHeight w:val="197"/>
        </w:trPr>
        <w:tc>
          <w:tcPr>
            <w:tcW w:w="826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 (Note 15)</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5"/>
                <w:szCs w:val="15"/>
                <w:color w:val="auto"/>
              </w:rPr>
              <w:t>Preferred stock, par value $0.01; 40,000,000 shares authorized; zero shares issued and outstanding</w:t>
            </w:r>
          </w:p>
        </w:tc>
        <w:tc>
          <w:tcPr>
            <w:tcW w:w="2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340"/>
              <w:spacing w:after="0" w:line="146" w:lineRule="exact"/>
              <w:rPr>
                <w:sz w:val="20"/>
                <w:szCs w:val="20"/>
                <w:color w:val="auto"/>
              </w:rPr>
            </w:pPr>
            <w:r>
              <w:rPr>
                <w:rFonts w:ascii="Arial" w:cs="Arial" w:eastAsia="Arial" w:hAnsi="Arial"/>
                <w:sz w:val="15"/>
                <w:szCs w:val="15"/>
                <w:color w:val="auto"/>
                <w:w w:val="92"/>
              </w:rPr>
              <w:t>Common stock, par value $0.01; 400,000,000 shares authorized; 131,318,273 and 123,482,836 shares issued; 115,683,983 and</w:t>
            </w:r>
          </w:p>
        </w:tc>
        <w:tc>
          <w:tcPr>
            <w:tcW w:w="2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1,313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1,235</w:t>
            </w: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107,888,336 shares outstanding, respectively</w:t>
            </w:r>
          </w:p>
        </w:tc>
        <w:tc>
          <w:tcPr>
            <w:tcW w:w="24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5"/>
                <w:szCs w:val="15"/>
                <w:color w:val="auto"/>
              </w:rPr>
              <w:t>Treasury stock, at cost; 15,634,290 and 15,594,500 shares, respectively</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(1,427,094)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(1,422,531)</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Additional paid-in capital</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3,466,908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2,598,115</w:t>
            </w: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5"/>
                <w:szCs w:val="15"/>
                <w:color w:val="auto"/>
              </w:rPr>
              <w:t>Accumulated other comprehensive income</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6,293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3,604</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Accumulated deficit</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(1,944,668)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(1,532,420)</w:t>
            </w:r>
          </w:p>
        </w:tc>
        <w:tc>
          <w:tcPr>
            <w:tcW w:w="0" w:type="dxa"/>
            <w:vAlign w:val="bottom"/>
          </w:tcPr>
          <w:p>
            <w:pPr>
              <w:spacing w:after="0"/>
              <w:rPr>
                <w:sz w:val="1"/>
                <w:szCs w:val="1"/>
                <w:color w:val="auto"/>
              </w:rPr>
            </w:pPr>
          </w:p>
        </w:tc>
      </w:tr>
      <w:tr>
        <w:trPr>
          <w:trHeight w:val="191"/>
        </w:trPr>
        <w:tc>
          <w:tcPr>
            <w:tcW w:w="8260" w:type="dxa"/>
            <w:vAlign w:val="bottom"/>
          </w:tcPr>
          <w:p>
            <w:pPr>
              <w:ind w:left="660"/>
              <w:spacing w:after="0"/>
              <w:rPr>
                <w:sz w:val="20"/>
                <w:szCs w:val="20"/>
                <w:color w:val="auto"/>
              </w:rPr>
            </w:pPr>
            <w:r>
              <w:rPr>
                <w:rFonts w:ascii="Arial" w:cs="Arial" w:eastAsia="Arial" w:hAnsi="Arial"/>
                <w:sz w:val="15"/>
                <w:szCs w:val="15"/>
                <w:b w:val="1"/>
                <w:bCs w:val="1"/>
                <w:color w:val="auto"/>
              </w:rPr>
              <w:t>Total Wynn Resorts, Limited stockholders' equity (deficit)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102,752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(351,997)</w:t>
            </w: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Noncontrolling interests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(456,591)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(385,320)</w:t>
            </w:r>
          </w:p>
        </w:tc>
        <w:tc>
          <w:tcPr>
            <w:tcW w:w="0" w:type="dxa"/>
            <w:vAlign w:val="bottom"/>
          </w:tcPr>
          <w:p>
            <w:pPr>
              <w:spacing w:after="0"/>
              <w:rPr>
                <w:sz w:val="1"/>
                <w:szCs w:val="1"/>
                <w:color w:val="auto"/>
              </w:rPr>
            </w:pPr>
          </w:p>
        </w:tc>
      </w:tr>
      <w:tr>
        <w:trPr>
          <w:trHeight w:val="191"/>
        </w:trPr>
        <w:tc>
          <w:tcPr>
            <w:tcW w:w="8260" w:type="dxa"/>
            <w:vAlign w:val="bottom"/>
            <w:tcBorders>
              <w:bottom w:val="single" w:sz="8" w:color="CCEEFF"/>
            </w:tcBorders>
          </w:tcPr>
          <w:p>
            <w:pPr>
              <w:ind w:left="660"/>
              <w:spacing w:after="0"/>
              <w:rPr>
                <w:sz w:val="20"/>
                <w:szCs w:val="20"/>
                <w:color w:val="auto"/>
              </w:rPr>
            </w:pPr>
            <w:r>
              <w:rPr>
                <w:rFonts w:ascii="Arial" w:cs="Arial" w:eastAsia="Arial" w:hAnsi="Arial"/>
                <w:sz w:val="15"/>
                <w:szCs w:val="15"/>
                <w:b w:val="1"/>
                <w:bCs w:val="1"/>
                <w:color w:val="auto"/>
              </w:rPr>
              <w:t>Total stockholders' deficit</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(353,839)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(737,317)</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5"/>
                <w:szCs w:val="15"/>
                <w:b w:val="1"/>
                <w:bCs w:val="1"/>
                <w:color w:val="auto"/>
              </w:rPr>
              <w:t>Total liabilities and stockholders' deficit</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13,022,665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13,869,547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56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04"/>
        </w:trPr>
        <w:tc>
          <w:tcPr>
            <w:tcW w:w="56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5680" w:type="dxa"/>
            <w:vAlign w:val="bottom"/>
          </w:tcPr>
          <w:p>
            <w:pPr>
              <w:ind w:left="340"/>
              <w:spacing w:after="0"/>
              <w:rPr>
                <w:sz w:val="20"/>
                <w:szCs w:val="20"/>
                <w:color w:val="auto"/>
              </w:rPr>
            </w:pPr>
            <w:r>
              <w:rPr>
                <w:rFonts w:ascii="Arial" w:cs="Arial" w:eastAsia="Arial" w:hAnsi="Arial"/>
                <w:sz w:val="18"/>
                <w:szCs w:val="18"/>
                <w:color w:val="auto"/>
              </w:rPr>
              <w:t>Casino</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602,746</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9,413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1,118,964</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580,202</w:t>
            </w:r>
          </w:p>
        </w:tc>
      </w:tr>
      <w:tr>
        <w:trPr>
          <w:trHeight w:val="224"/>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170,096</w:t>
            </w:r>
          </w:p>
        </w:tc>
      </w:tr>
      <w:tr>
        <w:trPr>
          <w:trHeight w:val="223"/>
        </w:trPr>
        <w:tc>
          <w:tcPr>
            <w:tcW w:w="568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149,142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217,651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173,421</w:t>
            </w:r>
          </w:p>
        </w:tc>
      </w:tr>
      <w:tr>
        <w:trPr>
          <w:trHeight w:val="224"/>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176,225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115,695</w:t>
            </w:r>
          </w:p>
        </w:tc>
      </w:tr>
      <w:tr>
        <w:trPr>
          <w:trHeight w:val="217"/>
        </w:trPr>
        <w:tc>
          <w:tcPr>
            <w:tcW w:w="568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operating revenues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990,113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1,726,795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1,039,414</w:t>
            </w:r>
          </w:p>
        </w:tc>
      </w:tr>
      <w:tr>
        <w:trPr>
          <w:trHeight w:val="204"/>
        </w:trPr>
        <w:tc>
          <w:tcPr>
            <w:tcW w:w="56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5680" w:type="dxa"/>
            <w:vAlign w:val="bottom"/>
          </w:tcPr>
          <w:p>
            <w:pPr>
              <w:ind w:left="340"/>
              <w:spacing w:after="0"/>
              <w:rPr>
                <w:sz w:val="20"/>
                <w:szCs w:val="20"/>
                <w:color w:val="auto"/>
              </w:rPr>
            </w:pPr>
            <w:r>
              <w:rPr>
                <w:rFonts w:ascii="Arial" w:cs="Arial" w:eastAsia="Arial" w:hAnsi="Arial"/>
                <w:sz w:val="18"/>
                <w:szCs w:val="18"/>
                <w:color w:val="auto"/>
              </w:rPr>
              <w:t>Casino</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381,615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733,581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573,828</w:t>
            </w:r>
          </w:p>
        </w:tc>
      </w:tr>
      <w:tr>
        <w:trPr>
          <w:trHeight w:val="224"/>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103,847</w:t>
            </w:r>
          </w:p>
        </w:tc>
      </w:tr>
      <w:tr>
        <w:trPr>
          <w:trHeight w:val="223"/>
        </w:trPr>
        <w:tc>
          <w:tcPr>
            <w:tcW w:w="568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191,054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237,799</w:t>
            </w:r>
          </w:p>
        </w:tc>
      </w:tr>
      <w:tr>
        <w:trPr>
          <w:trHeight w:val="224"/>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62,453</w:t>
            </w:r>
          </w:p>
        </w:tc>
      </w:tr>
      <w:tr>
        <w:trPr>
          <w:trHeight w:val="223"/>
        </w:trPr>
        <w:tc>
          <w:tcPr>
            <w:tcW w:w="56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197,545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152,081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377,319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386,409</w:t>
            </w:r>
          </w:p>
        </w:tc>
      </w:tr>
      <w:tr>
        <w:trPr>
          <w:trHeight w:val="224"/>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48,960</w:t>
            </w:r>
          </w:p>
        </w:tc>
      </w:tr>
      <w:tr>
        <w:trPr>
          <w:trHeight w:val="223"/>
        </w:trPr>
        <w:tc>
          <w:tcPr>
            <w:tcW w:w="568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4,737</w:t>
            </w:r>
          </w:p>
        </w:tc>
      </w:tr>
      <w:tr>
        <w:trPr>
          <w:trHeight w:val="224"/>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358,012</w:t>
            </w:r>
          </w:p>
        </w:tc>
      </w:tr>
      <w:tr>
        <w:trPr>
          <w:trHeight w:val="223"/>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Property charges and 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33,796</w:t>
            </w:r>
          </w:p>
        </w:tc>
      </w:tr>
      <w:tr>
        <w:trPr>
          <w:trHeight w:val="217"/>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1,019,634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608,714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1,932,048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1,809,841</w:t>
            </w:r>
          </w:p>
        </w:tc>
      </w:tr>
      <w:tr>
        <w:trPr>
          <w:trHeight w:val="217"/>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(523,016)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(205,253)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(770,427)</w:t>
            </w:r>
          </w:p>
        </w:tc>
      </w:tr>
      <w:tr>
        <w:trPr>
          <w:trHeight w:val="204"/>
        </w:trPr>
        <w:tc>
          <w:tcPr>
            <w:tcW w:w="56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5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11,936</w:t>
            </w:r>
          </w:p>
        </w:tc>
      </w:tr>
      <w:tr>
        <w:trPr>
          <w:trHeight w:val="224"/>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(262,045)</w:t>
            </w:r>
          </w:p>
        </w:tc>
      </w:tr>
      <w:tr>
        <w:trPr>
          <w:trHeight w:val="223"/>
        </w:trPr>
        <w:tc>
          <w:tcPr>
            <w:tcW w:w="568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(18,954)</w:t>
            </w:r>
          </w:p>
        </w:tc>
      </w:tr>
      <w:tr>
        <w:trPr>
          <w:trHeight w:val="224"/>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r>
      <w:tr>
        <w:trPr>
          <w:trHeight w:val="223"/>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12,568</w:t>
            </w:r>
          </w:p>
        </w:tc>
      </w:tr>
      <w:tr>
        <w:trPr>
          <w:trHeight w:val="217"/>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Other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(143,179)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(130,915)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(303,133)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(257,957)</w:t>
            </w:r>
          </w:p>
        </w:tc>
      </w:tr>
      <w:tr>
        <w:trPr>
          <w:trHeight w:val="217"/>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(172,700)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(653,931)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(508,386)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(1,028,384)</w:t>
            </w:r>
          </w:p>
        </w:tc>
      </w:tr>
      <w:tr>
        <w:trPr>
          <w:trHeight w:val="224"/>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(156,738)</w:t>
            </w:r>
          </w:p>
        </w:tc>
      </w:tr>
      <w:tr>
        <w:trPr>
          <w:trHeight w:val="217"/>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(173,397)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(734,869)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(509,576)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(1,185,122)</w:t>
            </w:r>
          </w:p>
        </w:tc>
      </w:tr>
      <w:tr>
        <w:trPr>
          <w:trHeight w:val="224"/>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145,521</w:t>
            </w:r>
          </w:p>
        </w:tc>
      </w:tr>
      <w:tr>
        <w:trPr>
          <w:trHeight w:val="217"/>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(131,369)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(637,564)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(412,347)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(1,039,601)</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0"/>
        </w:trPr>
        <w:tc>
          <w:tcPr>
            <w:tcW w:w="56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Basic and diluted net loss per common share: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3"/>
        </w:trPr>
        <w:tc>
          <w:tcPr>
            <w:tcW w:w="5680" w:type="dxa"/>
            <w:vAlign w:val="bottom"/>
          </w:tcPr>
          <w:p>
            <w:pPr>
              <w:ind w:left="340"/>
              <w:spacing w:after="0"/>
              <w:rPr>
                <w:sz w:val="20"/>
                <w:szCs w:val="20"/>
                <w:color w:val="auto"/>
              </w:rPr>
            </w:pPr>
            <w:r>
              <w:rPr>
                <w:rFonts w:ascii="Arial" w:cs="Arial" w:eastAsia="Arial" w:hAnsi="Arial"/>
                <w:sz w:val="18"/>
                <w:szCs w:val="18"/>
                <w:color w:val="auto"/>
              </w:rPr>
              <w:t>Net loss attributable to Wynn Resorts, Limited: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23"/>
        </w:trPr>
        <w:tc>
          <w:tcPr>
            <w:tcW w:w="5680" w:type="dxa"/>
            <w:vAlign w:val="bottom"/>
          </w:tcPr>
          <w:p>
            <w:pPr>
              <w:ind w:left="6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24"/>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5680" w:type="dxa"/>
            <w:vAlign w:val="bottom"/>
          </w:tcPr>
          <w:p>
            <w:pPr>
              <w:ind w:left="6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114,545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106,713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112,792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106,688</w:t>
            </w:r>
          </w:p>
        </w:tc>
      </w:tr>
      <w:tr>
        <w:trPr>
          <w:trHeight w:val="224"/>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112,792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106,688</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52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7"/>
        </w:trPr>
        <w:tc>
          <w:tcPr>
            <w:tcW w:w="52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(509,576)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(1,185,122)</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Foreign currency translation adjustments, before and after tax</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17"/>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(173,687)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(734,816)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(505,834)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(1,184,054)</w:t>
            </w:r>
          </w:p>
        </w:tc>
      </w:tr>
      <w:tr>
        <w:trPr>
          <w:trHeight w:val="224"/>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Less: comprehensive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145,224</w:t>
            </w:r>
          </w:p>
        </w:tc>
      </w:tr>
      <w:tr>
        <w:trPr>
          <w:trHeight w:val="217"/>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Comprehensive loss attributable to Wynn Resorts, Limited</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(131,577)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(637,525)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(409,658)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(1,038,830)</w:t>
            </w:r>
          </w:p>
        </w:tc>
      </w:tr>
      <w:tr>
        <w:trPr>
          <w:trHeight w:val="20"/>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data)</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169"/>
        </w:trPr>
        <w:tc>
          <w:tcPr>
            <w:tcW w:w="2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ind w:left="640"/>
              <w:spacing w:after="0"/>
              <w:rPr>
                <w:sz w:val="20"/>
                <w:szCs w:val="20"/>
                <w:color w:val="auto"/>
              </w:rPr>
            </w:pPr>
            <w:r>
              <w:rPr>
                <w:rFonts w:ascii="Arial" w:cs="Arial" w:eastAsia="Arial" w:hAnsi="Arial"/>
                <w:sz w:val="12"/>
                <w:szCs w:val="12"/>
                <w:b w:val="1"/>
                <w:bCs w:val="1"/>
                <w:color w:val="auto"/>
                <w:w w:val="96"/>
              </w:rPr>
              <w:t>For the Three Months Ended June 30, 2021</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100" w:type="dxa"/>
            <w:vAlign w:val="bottom"/>
          </w:tcPr>
          <w:p>
            <w:pPr>
              <w:spacing w:after="0"/>
              <w:rPr>
                <w:sz w:val="14"/>
                <w:szCs w:val="14"/>
                <w:color w:val="auto"/>
              </w:rPr>
            </w:pPr>
          </w:p>
        </w:tc>
        <w:tc>
          <w:tcPr>
            <w:tcW w:w="1660" w:type="dxa"/>
            <w:vAlign w:val="bottom"/>
            <w:gridSpan w:val="5"/>
          </w:tcPr>
          <w:p>
            <w:pPr>
              <w:ind w:left="38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1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9"/>
                <w:szCs w:val="9"/>
                <w:color w:val="auto"/>
              </w:rPr>
            </w:pPr>
          </w:p>
        </w:tc>
        <w:tc>
          <w:tcPr>
            <w:tcW w:w="104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6" w:lineRule="exact"/>
              <w:rPr>
                <w:sz w:val="20"/>
                <w:szCs w:val="20"/>
                <w:color w:val="auto"/>
              </w:rPr>
            </w:pPr>
            <w:r>
              <w:rPr>
                <w:rFonts w:ascii="Arial" w:cs="Arial" w:eastAsia="Arial" w:hAnsi="Arial"/>
                <w:sz w:val="12"/>
                <w:szCs w:val="12"/>
                <w:b w:val="1"/>
                <w:bCs w:val="1"/>
                <w:color w:val="auto"/>
                <w:w w:val="92"/>
              </w:rPr>
              <w:t>Total Wynn</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39"/>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8"/>
        </w:trPr>
        <w:tc>
          <w:tcPr>
            <w:tcW w:w="210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9"/>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Par</w:t>
            </w:r>
          </w:p>
        </w:tc>
        <w:tc>
          <w:tcPr>
            <w:tcW w:w="12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4"/>
              </w:rPr>
              <w:t>Treasury</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2"/>
              </w:rPr>
              <w:t>Resorts, Ltd.</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w w:val="96"/>
              </w:rPr>
              <w:t>paid-in</w:t>
            </w: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88"/>
              </w:rPr>
              <w:t>comprehensive</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87"/>
              </w:rPr>
              <w:t>stockholders'</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9"/>
              <w:spacing w:after="0" w:line="118"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value</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stock</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income</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deficit</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equity</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840" w:type="dxa"/>
            <w:vAlign w:val="bottom"/>
          </w:tcPr>
          <w:p>
            <w:pPr>
              <w:jc w:val="center"/>
              <w:ind w:right="19"/>
              <w:spacing w:after="0"/>
              <w:rPr>
                <w:sz w:val="20"/>
                <w:szCs w:val="20"/>
                <w:color w:val="auto"/>
              </w:rPr>
            </w:pPr>
            <w:r>
              <w:rPr>
                <w:rFonts w:ascii="Arial" w:cs="Arial" w:eastAsia="Arial" w:hAnsi="Arial"/>
                <w:sz w:val="12"/>
                <w:szCs w:val="12"/>
                <w:b w:val="1"/>
                <w:bCs w:val="1"/>
                <w:color w:val="auto"/>
                <w:w w:val="90"/>
              </w:rPr>
              <w:t>deficit</w:t>
            </w:r>
          </w:p>
        </w:tc>
        <w:tc>
          <w:tcPr>
            <w:tcW w:w="0" w:type="dxa"/>
            <w:vAlign w:val="bottom"/>
          </w:tcPr>
          <w:p>
            <w:pPr>
              <w:spacing w:after="0"/>
              <w:rPr>
                <w:sz w:val="1"/>
                <w:szCs w:val="1"/>
                <w:color w:val="auto"/>
              </w:rPr>
            </w:pPr>
          </w:p>
        </w:tc>
      </w:tr>
      <w:tr>
        <w:trPr>
          <w:trHeight w:val="170"/>
        </w:trPr>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Balances, April 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115,647,328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(1,426,887)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3,466,073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6,501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(1,813,317)</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233,683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(436,622)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(202,939)</w:t>
            </w: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(131,369)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(131,369)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(42,028)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(173,397)</w:t>
            </w:r>
          </w:p>
        </w:tc>
        <w:tc>
          <w:tcPr>
            <w:tcW w:w="0" w:type="dxa"/>
            <w:vAlign w:val="bottom"/>
          </w:tcPr>
          <w:p>
            <w:pPr>
              <w:spacing w:after="0"/>
              <w:rPr>
                <w:sz w:val="1"/>
                <w:szCs w:val="1"/>
                <w:color w:val="auto"/>
              </w:rPr>
            </w:pPr>
          </w:p>
        </w:tc>
      </w:tr>
      <w:tr>
        <w:trPr>
          <w:trHeight w:val="179"/>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w:t>
            </w: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Issuance of restricted stock</w:t>
            </w:r>
          </w:p>
        </w:tc>
        <w:tc>
          <w:tcPr>
            <w:tcW w:w="860" w:type="dxa"/>
            <w:vAlign w:val="bottom"/>
          </w:tcPr>
          <w:p>
            <w:pPr>
              <w:jc w:val="right"/>
              <w:spacing w:after="0"/>
              <w:rPr>
                <w:sz w:val="20"/>
                <w:szCs w:val="20"/>
                <w:color w:val="auto"/>
              </w:rPr>
            </w:pPr>
            <w:r>
              <w:rPr>
                <w:rFonts w:ascii="Arial" w:cs="Arial" w:eastAsia="Arial" w:hAnsi="Arial"/>
                <w:sz w:val="12"/>
                <w:szCs w:val="12"/>
                <w:color w:val="auto"/>
              </w:rPr>
              <w:t>44,686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9"/>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Cancellation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18"/>
        </w:trPr>
        <w:tc>
          <w:tcPr>
            <w:tcW w:w="2100" w:type="dxa"/>
            <w:vAlign w:val="bottom"/>
          </w:tcPr>
          <w:p>
            <w:pPr>
              <w:spacing w:after="0" w:line="118" w:lineRule="exact"/>
              <w:rPr>
                <w:sz w:val="20"/>
                <w:szCs w:val="20"/>
                <w:color w:val="auto"/>
              </w:rPr>
            </w:pPr>
            <w:r>
              <w:rPr>
                <w:rFonts w:ascii="Arial" w:cs="Arial" w:eastAsia="Arial" w:hAnsi="Arial"/>
                <w:sz w:val="12"/>
                <w:szCs w:val="12"/>
                <w:color w:val="auto"/>
                <w:w w:val="93"/>
              </w:rPr>
              <w:t>Shares repurchased by the Company and</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(1,596)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(207)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(207)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held as treasury shares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Distribution to noncontrolling interest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(6,479)</w:t>
            </w: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Subsidiary equity issuance</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(20,211)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(20,211)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25,371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5,160</w:t>
            </w:r>
          </w:p>
        </w:tc>
        <w:tc>
          <w:tcPr>
            <w:tcW w:w="0" w:type="dxa"/>
            <w:vAlign w:val="bottom"/>
          </w:tcPr>
          <w:p>
            <w:pPr>
              <w:spacing w:after="0"/>
              <w:rPr>
                <w:sz w:val="1"/>
                <w:szCs w:val="1"/>
                <w:color w:val="auto"/>
              </w:rPr>
            </w:pPr>
          </w:p>
        </w:tc>
      </w:tr>
      <w:tr>
        <w:trPr>
          <w:trHeight w:val="172"/>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21,046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24,289</w:t>
            </w:r>
          </w:p>
        </w:tc>
        <w:tc>
          <w:tcPr>
            <w:tcW w:w="0" w:type="dxa"/>
            <w:vAlign w:val="bottom"/>
          </w:tcPr>
          <w:p>
            <w:pPr>
              <w:spacing w:after="0"/>
              <w:rPr>
                <w:sz w:val="1"/>
                <w:szCs w:val="1"/>
                <w:color w:val="auto"/>
              </w:rPr>
            </w:pPr>
          </w:p>
        </w:tc>
      </w:tr>
      <w:tr>
        <w:trPr>
          <w:trHeight w:val="171"/>
        </w:trPr>
        <w:tc>
          <w:tcPr>
            <w:tcW w:w="2100" w:type="dxa"/>
            <w:vAlign w:val="bottom"/>
          </w:tcPr>
          <w:p>
            <w:pPr>
              <w:spacing w:after="0"/>
              <w:rPr>
                <w:sz w:val="20"/>
                <w:szCs w:val="20"/>
                <w:color w:val="auto"/>
              </w:rPr>
            </w:pPr>
            <w:r>
              <w:rPr>
                <w:rFonts w:ascii="Arial" w:cs="Arial" w:eastAsia="Arial" w:hAnsi="Arial"/>
                <w:sz w:val="12"/>
                <w:szCs w:val="12"/>
                <w:b w:val="1"/>
                <w:bCs w:val="1"/>
                <w:color w:val="auto"/>
              </w:rPr>
              <w:t>Balances, June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115,683,983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1,313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(1,427,094)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3,466,908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6,293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(1,944,668)</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102,752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(456,591)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(353,839)</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ind w:left="640"/>
              <w:spacing w:after="0"/>
              <w:rPr>
                <w:sz w:val="20"/>
                <w:szCs w:val="20"/>
                <w:color w:val="auto"/>
              </w:rPr>
            </w:pPr>
            <w:r>
              <w:rPr>
                <w:rFonts w:ascii="Arial" w:cs="Arial" w:eastAsia="Arial" w:hAnsi="Arial"/>
                <w:sz w:val="12"/>
                <w:szCs w:val="12"/>
                <w:b w:val="1"/>
                <w:bCs w:val="1"/>
                <w:color w:val="auto"/>
                <w:w w:val="96"/>
              </w:rPr>
              <w:t>For the Three Months Ended June 30, 2020</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100" w:type="dxa"/>
            <w:vAlign w:val="bottom"/>
          </w:tcPr>
          <w:p>
            <w:pPr>
              <w:spacing w:after="0"/>
              <w:rPr>
                <w:sz w:val="14"/>
                <w:szCs w:val="14"/>
                <w:color w:val="auto"/>
              </w:rPr>
            </w:pPr>
          </w:p>
        </w:tc>
        <w:tc>
          <w:tcPr>
            <w:tcW w:w="1660" w:type="dxa"/>
            <w:vAlign w:val="bottom"/>
            <w:gridSpan w:val="5"/>
          </w:tcPr>
          <w:p>
            <w:pPr>
              <w:ind w:left="38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1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9"/>
                <w:szCs w:val="9"/>
                <w:color w:val="auto"/>
              </w:rPr>
            </w:pPr>
          </w:p>
        </w:tc>
        <w:tc>
          <w:tcPr>
            <w:tcW w:w="104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9"/>
                <w:szCs w:val="9"/>
                <w:color w:val="auto"/>
              </w:rPr>
            </w:pPr>
          </w:p>
        </w:tc>
        <w:tc>
          <w:tcPr>
            <w:tcW w:w="96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0"/>
              </w:rPr>
              <w:t>Retained</w:t>
            </w: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6" w:lineRule="exact"/>
              <w:rPr>
                <w:sz w:val="20"/>
                <w:szCs w:val="20"/>
                <w:color w:val="auto"/>
              </w:rPr>
            </w:pPr>
            <w:r>
              <w:rPr>
                <w:rFonts w:ascii="Arial" w:cs="Arial" w:eastAsia="Arial" w:hAnsi="Arial"/>
                <w:sz w:val="12"/>
                <w:szCs w:val="12"/>
                <w:b w:val="1"/>
                <w:bCs w:val="1"/>
                <w:color w:val="auto"/>
                <w:w w:val="92"/>
              </w:rPr>
              <w:t>Total Wynn</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39"/>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8"/>
        </w:trPr>
        <w:tc>
          <w:tcPr>
            <w:tcW w:w="210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9"/>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Par</w:t>
            </w:r>
          </w:p>
        </w:tc>
        <w:tc>
          <w:tcPr>
            <w:tcW w:w="12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4"/>
              </w:rPr>
              <w:t>Treasury</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91"/>
              </w:rPr>
              <w:t>earnings</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2"/>
              </w:rPr>
              <w:t>Resorts, Ltd.</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w w:val="96"/>
              </w:rPr>
              <w:t>paid-in</w:t>
            </w: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88"/>
              </w:rPr>
              <w:t>comprehensive</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87"/>
              </w:rPr>
              <w:t>stockholders'</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9"/>
              <w:spacing w:after="0" w:line="118"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value</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stock</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74"/>
              </w:rPr>
              <w:t>loss</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deficit)</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equity</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840" w:type="dxa"/>
            <w:vAlign w:val="bottom"/>
          </w:tcPr>
          <w:p>
            <w:pPr>
              <w:jc w:val="center"/>
              <w:ind w:right="39"/>
              <w:spacing w:after="0"/>
              <w:rPr>
                <w:sz w:val="20"/>
                <w:szCs w:val="20"/>
                <w:color w:val="auto"/>
              </w:rPr>
            </w:pPr>
            <w:r>
              <w:rPr>
                <w:rFonts w:ascii="Arial" w:cs="Arial" w:eastAsia="Arial" w:hAnsi="Arial"/>
                <w:sz w:val="12"/>
                <w:szCs w:val="12"/>
                <w:b w:val="1"/>
                <w:bCs w:val="1"/>
                <w:color w:val="auto"/>
                <w:w w:val="96"/>
              </w:rPr>
              <w:t>equity</w:t>
            </w:r>
          </w:p>
        </w:tc>
        <w:tc>
          <w:tcPr>
            <w:tcW w:w="0" w:type="dxa"/>
            <w:vAlign w:val="bottom"/>
          </w:tcPr>
          <w:p>
            <w:pPr>
              <w:spacing w:after="0"/>
              <w:rPr>
                <w:sz w:val="1"/>
                <w:szCs w:val="1"/>
                <w:color w:val="auto"/>
              </w:rPr>
            </w:pPr>
          </w:p>
        </w:tc>
      </w:tr>
      <w:tr>
        <w:trPr>
          <w:trHeight w:val="170"/>
        </w:trPr>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Balances, April 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107,884,163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(1,416,525)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2,526,062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132,266</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1,242,090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(249,610)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992,480</w:t>
            </w: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(637,564)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(637,564)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(97,305)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(734,869)</w:t>
            </w:r>
          </w:p>
        </w:tc>
        <w:tc>
          <w:tcPr>
            <w:tcW w:w="0" w:type="dxa"/>
            <w:vAlign w:val="bottom"/>
          </w:tcPr>
          <w:p>
            <w:pPr>
              <w:spacing w:after="0"/>
              <w:rPr>
                <w:sz w:val="1"/>
                <w:szCs w:val="1"/>
                <w:color w:val="auto"/>
              </w:rPr>
            </w:pPr>
          </w:p>
        </w:tc>
      </w:tr>
      <w:tr>
        <w:trPr>
          <w:trHeight w:val="179"/>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Issuance of restricted stock</w:t>
            </w:r>
          </w:p>
        </w:tc>
        <w:tc>
          <w:tcPr>
            <w:tcW w:w="860" w:type="dxa"/>
            <w:vAlign w:val="bottom"/>
          </w:tcPr>
          <w:p>
            <w:pPr>
              <w:jc w:val="right"/>
              <w:spacing w:after="0"/>
              <w:rPr>
                <w:sz w:val="20"/>
                <w:szCs w:val="20"/>
                <w:color w:val="auto"/>
              </w:rPr>
            </w:pPr>
            <w:r>
              <w:rPr>
                <w:rFonts w:ascii="Arial" w:cs="Arial" w:eastAsia="Arial" w:hAnsi="Arial"/>
                <w:sz w:val="12"/>
                <w:szCs w:val="12"/>
                <w:color w:val="auto"/>
              </w:rPr>
              <w:t>40,270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617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806</w:t>
            </w:r>
          </w:p>
        </w:tc>
        <w:tc>
          <w:tcPr>
            <w:tcW w:w="0" w:type="dxa"/>
            <w:vAlign w:val="bottom"/>
          </w:tcPr>
          <w:p>
            <w:pPr>
              <w:spacing w:after="0"/>
              <w:rPr>
                <w:sz w:val="1"/>
                <w:szCs w:val="1"/>
                <w:color w:val="auto"/>
              </w:rPr>
            </w:pPr>
          </w:p>
        </w:tc>
      </w:tr>
      <w:tr>
        <w:trPr>
          <w:trHeight w:val="179"/>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Cancellation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2100" w:type="dxa"/>
            <w:vAlign w:val="bottom"/>
          </w:tcPr>
          <w:p>
            <w:pPr>
              <w:spacing w:after="0" w:line="118" w:lineRule="exact"/>
              <w:rPr>
                <w:sz w:val="20"/>
                <w:szCs w:val="20"/>
                <w:color w:val="auto"/>
              </w:rPr>
            </w:pPr>
            <w:r>
              <w:rPr>
                <w:rFonts w:ascii="Arial" w:cs="Arial" w:eastAsia="Arial" w:hAnsi="Arial"/>
                <w:sz w:val="12"/>
                <w:szCs w:val="12"/>
                <w:color w:val="auto"/>
                <w:w w:val="93"/>
              </w:rPr>
              <w:t>Shares repurchased by the Company and</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(37,091)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(2,910)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(2,910)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141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(2,769)</w:t>
            </w: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held as treasury shares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Cash dividends declared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164"/>
        </w:trPr>
        <w:tc>
          <w:tcPr>
            <w:tcW w:w="210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17,039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17,039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18,273</w:t>
            </w:r>
          </w:p>
        </w:tc>
        <w:tc>
          <w:tcPr>
            <w:tcW w:w="0" w:type="dxa"/>
            <w:vAlign w:val="bottom"/>
          </w:tcPr>
          <w:p>
            <w:pPr>
              <w:spacing w:after="0"/>
              <w:rPr>
                <w:sz w:val="1"/>
                <w:szCs w:val="1"/>
                <w:color w:val="auto"/>
              </w:rPr>
            </w:pPr>
          </w:p>
        </w:tc>
      </w:tr>
      <w:tr>
        <w:trPr>
          <w:trHeight w:val="196"/>
        </w:trPr>
        <w:tc>
          <w:tcPr>
            <w:tcW w:w="2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Balances, June 30,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107,869,865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(1,419,435)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2,543,718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(505,090)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619,519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(345,321)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274,198</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STOCKHOLDERS' EQUITY (DEFICIT) (continued)</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data)</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169"/>
        </w:trPr>
        <w:tc>
          <w:tcPr>
            <w:tcW w:w="2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spacing w:after="0"/>
              <w:rPr>
                <w:sz w:val="20"/>
                <w:szCs w:val="20"/>
                <w:color w:val="auto"/>
              </w:rPr>
            </w:pPr>
            <w:r>
              <w:rPr>
                <w:rFonts w:ascii="Arial" w:cs="Arial" w:eastAsia="Arial" w:hAnsi="Arial"/>
                <w:sz w:val="12"/>
                <w:szCs w:val="12"/>
                <w:b w:val="1"/>
                <w:bCs w:val="1"/>
                <w:color w:val="auto"/>
                <w:w w:val="99"/>
              </w:rPr>
              <w:t>For the Six Months Ended June 30, 2021</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100" w:type="dxa"/>
            <w:vAlign w:val="bottom"/>
          </w:tcPr>
          <w:p>
            <w:pPr>
              <w:spacing w:after="0"/>
              <w:rPr>
                <w:sz w:val="14"/>
                <w:szCs w:val="14"/>
                <w:color w:val="auto"/>
              </w:rPr>
            </w:pPr>
          </w:p>
        </w:tc>
        <w:tc>
          <w:tcPr>
            <w:tcW w:w="1660" w:type="dxa"/>
            <w:vAlign w:val="bottom"/>
            <w:gridSpan w:val="5"/>
          </w:tcPr>
          <w:p>
            <w:pPr>
              <w:ind w:left="38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1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center"/>
              <w:ind w:right="59"/>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2"/>
              </w:rPr>
              <w:t>Total Wynn</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39"/>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8"/>
        </w:trPr>
        <w:tc>
          <w:tcPr>
            <w:tcW w:w="210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9"/>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Par</w:t>
            </w:r>
          </w:p>
        </w:tc>
        <w:tc>
          <w:tcPr>
            <w:tcW w:w="12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4"/>
              </w:rPr>
              <w:t>Treasury</w:t>
            </w: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92"/>
              </w:rPr>
              <w:t>Resorts, Ltd.</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39"/>
              <w:spacing w:after="0" w:line="118" w:lineRule="exact"/>
              <w:rPr>
                <w:sz w:val="20"/>
                <w:szCs w:val="20"/>
                <w:color w:val="auto"/>
              </w:rPr>
            </w:pPr>
            <w:r>
              <w:rPr>
                <w:rFonts w:ascii="Arial" w:cs="Arial" w:eastAsia="Arial" w:hAnsi="Arial"/>
                <w:sz w:val="12"/>
                <w:szCs w:val="12"/>
                <w:b w:val="1"/>
                <w:bCs w:val="1"/>
                <w:color w:val="auto"/>
                <w:w w:val="96"/>
              </w:rPr>
              <w:t>paid-in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88"/>
              </w:rPr>
              <w:t>comprehensive</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87"/>
              </w:rPr>
              <w:t>stockholders'</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9"/>
              <w:spacing w:after="0" w:line="118"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value</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stock</w:t>
            </w:r>
          </w:p>
        </w:tc>
        <w:tc>
          <w:tcPr>
            <w:tcW w:w="10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income</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deficit</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 (deficit)</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840" w:type="dxa"/>
            <w:vAlign w:val="bottom"/>
          </w:tcPr>
          <w:p>
            <w:pPr>
              <w:jc w:val="center"/>
              <w:ind w:right="19"/>
              <w:spacing w:after="0"/>
              <w:rPr>
                <w:sz w:val="20"/>
                <w:szCs w:val="20"/>
                <w:color w:val="auto"/>
              </w:rPr>
            </w:pPr>
            <w:r>
              <w:rPr>
                <w:rFonts w:ascii="Arial" w:cs="Arial" w:eastAsia="Arial" w:hAnsi="Arial"/>
                <w:sz w:val="12"/>
                <w:szCs w:val="12"/>
                <w:b w:val="1"/>
                <w:bCs w:val="1"/>
                <w:color w:val="auto"/>
                <w:w w:val="90"/>
              </w:rPr>
              <w:t>deficit</w:t>
            </w:r>
          </w:p>
        </w:tc>
        <w:tc>
          <w:tcPr>
            <w:tcW w:w="0" w:type="dxa"/>
            <w:vAlign w:val="bottom"/>
          </w:tcPr>
          <w:p>
            <w:pPr>
              <w:spacing w:after="0"/>
              <w:rPr>
                <w:sz w:val="1"/>
                <w:szCs w:val="1"/>
                <w:color w:val="auto"/>
              </w:rPr>
            </w:pPr>
          </w:p>
        </w:tc>
      </w:tr>
      <w:tr>
        <w:trPr>
          <w:trHeight w:val="170"/>
        </w:trPr>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Balances, January 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107,888,336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(1,422,531)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2,598,115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3,604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(1,532,420)</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(351,997)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(385,320)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(737,317)</w:t>
            </w: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(412,347)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(412,347)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(97,229)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(509,576)</w:t>
            </w:r>
          </w:p>
        </w:tc>
        <w:tc>
          <w:tcPr>
            <w:tcW w:w="0" w:type="dxa"/>
            <w:vAlign w:val="bottom"/>
          </w:tcPr>
          <w:p>
            <w:pPr>
              <w:spacing w:after="0"/>
              <w:rPr>
                <w:sz w:val="1"/>
                <w:szCs w:val="1"/>
                <w:color w:val="auto"/>
              </w:rPr>
            </w:pPr>
          </w:p>
        </w:tc>
      </w:tr>
      <w:tr>
        <w:trPr>
          <w:trHeight w:val="179"/>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3,742</w:t>
            </w:r>
          </w:p>
        </w:tc>
        <w:tc>
          <w:tcPr>
            <w:tcW w:w="0" w:type="dxa"/>
            <w:vAlign w:val="bottom"/>
          </w:tcPr>
          <w:p>
            <w:pPr>
              <w:spacing w:after="0"/>
              <w:rPr>
                <w:sz w:val="1"/>
                <w:szCs w:val="1"/>
                <w:color w:val="auto"/>
              </w:rPr>
            </w:pPr>
          </w:p>
        </w:tc>
      </w:tr>
      <w:tr>
        <w:trPr>
          <w:trHeight w:val="118"/>
        </w:trPr>
        <w:tc>
          <w:tcPr>
            <w:tcW w:w="2100" w:type="dxa"/>
            <w:vAlign w:val="bottom"/>
          </w:tcPr>
          <w:p>
            <w:pPr>
              <w:spacing w:after="0" w:line="118" w:lineRule="exact"/>
              <w:rPr>
                <w:sz w:val="20"/>
                <w:szCs w:val="20"/>
                <w:color w:val="auto"/>
              </w:rPr>
            </w:pPr>
            <w:r>
              <w:rPr>
                <w:rFonts w:ascii="Arial" w:cs="Arial" w:eastAsia="Arial" w:hAnsi="Arial"/>
                <w:sz w:val="12"/>
                <w:szCs w:val="12"/>
                <w:color w:val="auto"/>
                <w:w w:val="98"/>
              </w:rPr>
              <w:t>Issuance of common stock, net of $17.7</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100" w:type="dxa"/>
            <w:vAlign w:val="bottom"/>
          </w:tcPr>
          <w:p>
            <w:pPr>
              <w:spacing w:after="0" w:line="118" w:lineRule="exact"/>
              <w:rPr>
                <w:sz w:val="20"/>
                <w:szCs w:val="20"/>
                <w:color w:val="auto"/>
              </w:rPr>
            </w:pPr>
            <w:r>
              <w:rPr>
                <w:rFonts w:ascii="Arial" w:cs="Arial" w:eastAsia="Arial" w:hAnsi="Arial"/>
                <w:sz w:val="12"/>
                <w:szCs w:val="12"/>
                <w:color w:val="auto"/>
              </w:rPr>
              <w:t>million underwriter discounts,</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7,475,000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2"/>
                <w:szCs w:val="12"/>
                <w:color w:val="auto"/>
              </w:rPr>
              <w:t>841,821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841,896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841,896</w:t>
            </w: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commissions and other expenses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Issuance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379,971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5,899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6,272</w:t>
            </w: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Cancellation of restricted stock</w:t>
            </w:r>
          </w:p>
        </w:tc>
        <w:tc>
          <w:tcPr>
            <w:tcW w:w="860" w:type="dxa"/>
            <w:vAlign w:val="bottom"/>
          </w:tcPr>
          <w:p>
            <w:pPr>
              <w:jc w:val="right"/>
              <w:spacing w:after="0"/>
              <w:rPr>
                <w:sz w:val="20"/>
                <w:szCs w:val="20"/>
                <w:color w:val="auto"/>
              </w:rPr>
            </w:pPr>
            <w:r>
              <w:rPr>
                <w:rFonts w:ascii="Arial" w:cs="Arial" w:eastAsia="Arial" w:hAnsi="Arial"/>
                <w:sz w:val="12"/>
                <w:szCs w:val="12"/>
                <w:color w:val="auto"/>
              </w:rPr>
              <w:t>(19,534)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114</w:t>
            </w: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93"/>
              </w:rPr>
              <w:t>Shares repurchased by the Company and</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(39,790)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(4,563)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(4,563)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(4,563)</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held as treasury shares</w:t>
            </w: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Distribution to noncontrolling interest</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(6,479)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(6,479)</w:t>
            </w:r>
          </w:p>
        </w:tc>
        <w:tc>
          <w:tcPr>
            <w:tcW w:w="0" w:type="dxa"/>
            <w:vAlign w:val="bottom"/>
          </w:tcPr>
          <w:p>
            <w:pPr>
              <w:spacing w:after="0"/>
              <w:rPr>
                <w:sz w:val="1"/>
                <w:szCs w:val="1"/>
                <w:color w:val="auto"/>
              </w:rPr>
            </w:pPr>
          </w:p>
        </w:tc>
      </w:tr>
      <w:tr>
        <w:trPr>
          <w:trHeight w:val="179"/>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Subsidiary equity issuance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5,160</w:t>
            </w:r>
          </w:p>
        </w:tc>
        <w:tc>
          <w:tcPr>
            <w:tcW w:w="0" w:type="dxa"/>
            <w:vAlign w:val="bottom"/>
          </w:tcPr>
          <w:p>
            <w:pPr>
              <w:spacing w:after="0"/>
              <w:rPr>
                <w:sz w:val="1"/>
                <w:szCs w:val="1"/>
                <w:color w:val="auto"/>
              </w:rPr>
            </w:pPr>
          </w:p>
        </w:tc>
      </w:tr>
      <w:tr>
        <w:trPr>
          <w:trHeight w:val="164"/>
        </w:trPr>
        <w:tc>
          <w:tcPr>
            <w:tcW w:w="210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41,284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41,284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5,628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46,912</w:t>
            </w:r>
          </w:p>
        </w:tc>
        <w:tc>
          <w:tcPr>
            <w:tcW w:w="0" w:type="dxa"/>
            <w:vAlign w:val="bottom"/>
          </w:tcPr>
          <w:p>
            <w:pPr>
              <w:spacing w:after="0"/>
              <w:rPr>
                <w:sz w:val="1"/>
                <w:szCs w:val="1"/>
                <w:color w:val="auto"/>
              </w:rPr>
            </w:pPr>
          </w:p>
        </w:tc>
      </w:tr>
      <w:tr>
        <w:trPr>
          <w:trHeight w:val="196"/>
        </w:trPr>
        <w:tc>
          <w:tcPr>
            <w:tcW w:w="2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Balances, June 30,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115,683,983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(1,427,094)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3,466,908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6,293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(1,944,668)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102,752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(456,591)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(353,839)</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2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spacing w:after="0"/>
              <w:rPr>
                <w:sz w:val="20"/>
                <w:szCs w:val="20"/>
                <w:color w:val="auto"/>
              </w:rPr>
            </w:pPr>
            <w:r>
              <w:rPr>
                <w:rFonts w:ascii="Arial" w:cs="Arial" w:eastAsia="Arial" w:hAnsi="Arial"/>
                <w:sz w:val="12"/>
                <w:szCs w:val="12"/>
                <w:b w:val="1"/>
                <w:bCs w:val="1"/>
                <w:color w:val="auto"/>
                <w:w w:val="99"/>
              </w:rPr>
              <w:t>For the Six Months Ended June 30, 2020</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100" w:type="dxa"/>
            <w:vAlign w:val="bottom"/>
          </w:tcPr>
          <w:p>
            <w:pPr>
              <w:spacing w:after="0"/>
              <w:rPr>
                <w:sz w:val="14"/>
                <w:szCs w:val="14"/>
                <w:color w:val="auto"/>
              </w:rPr>
            </w:pPr>
          </w:p>
        </w:tc>
        <w:tc>
          <w:tcPr>
            <w:tcW w:w="1660" w:type="dxa"/>
            <w:vAlign w:val="bottom"/>
            <w:gridSpan w:val="5"/>
          </w:tcPr>
          <w:p>
            <w:pPr>
              <w:ind w:left="38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1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center"/>
              <w:ind w:right="59"/>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9"/>
                <w:szCs w:val="9"/>
                <w:color w:val="auto"/>
              </w:rPr>
            </w:pPr>
          </w:p>
        </w:tc>
        <w:tc>
          <w:tcPr>
            <w:tcW w:w="96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0"/>
              </w:rPr>
              <w:t>Retained</w:t>
            </w:r>
          </w:p>
        </w:tc>
        <w:tc>
          <w:tcPr>
            <w:tcW w:w="100" w:type="dxa"/>
            <w:vAlign w:val="bottom"/>
          </w:tcPr>
          <w:p>
            <w:pPr>
              <w:spacing w:after="0"/>
              <w:rPr>
                <w:sz w:val="9"/>
                <w:szCs w:val="9"/>
                <w:color w:val="auto"/>
              </w:rPr>
            </w:pPr>
          </w:p>
        </w:tc>
        <w:tc>
          <w:tcPr>
            <w:tcW w:w="106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2"/>
              </w:rPr>
              <w:t>Total Wynn</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39"/>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8"/>
        </w:trPr>
        <w:tc>
          <w:tcPr>
            <w:tcW w:w="210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9"/>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Par</w:t>
            </w:r>
          </w:p>
        </w:tc>
        <w:tc>
          <w:tcPr>
            <w:tcW w:w="12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4"/>
              </w:rPr>
              <w:t>Treasury</w:t>
            </w: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91"/>
              </w:rPr>
              <w:t>earnings</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92"/>
              </w:rPr>
              <w:t>Resorts, Ltd.</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39"/>
              <w:spacing w:after="0" w:line="118" w:lineRule="exact"/>
              <w:rPr>
                <w:sz w:val="20"/>
                <w:szCs w:val="20"/>
                <w:color w:val="auto"/>
              </w:rPr>
            </w:pPr>
            <w:r>
              <w:rPr>
                <w:rFonts w:ascii="Arial" w:cs="Arial" w:eastAsia="Arial" w:hAnsi="Arial"/>
                <w:sz w:val="12"/>
                <w:szCs w:val="12"/>
                <w:b w:val="1"/>
                <w:bCs w:val="1"/>
                <w:color w:val="auto"/>
                <w:w w:val="96"/>
              </w:rPr>
              <w:t>paid-in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88"/>
              </w:rPr>
              <w:t>comprehensive</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87"/>
              </w:rPr>
              <w:t>stockholders'</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9"/>
              <w:spacing w:after="0" w:line="118"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value</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stock</w:t>
            </w:r>
          </w:p>
        </w:tc>
        <w:tc>
          <w:tcPr>
            <w:tcW w:w="10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74"/>
              </w:rPr>
              <w:t>loss</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deficit)</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equity</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840" w:type="dxa"/>
            <w:vAlign w:val="bottom"/>
          </w:tcPr>
          <w:p>
            <w:pPr>
              <w:jc w:val="center"/>
              <w:ind w:right="39"/>
              <w:spacing w:after="0"/>
              <w:rPr>
                <w:sz w:val="20"/>
                <w:szCs w:val="20"/>
                <w:color w:val="auto"/>
              </w:rPr>
            </w:pPr>
            <w:r>
              <w:rPr>
                <w:rFonts w:ascii="Arial" w:cs="Arial" w:eastAsia="Arial" w:hAnsi="Arial"/>
                <w:sz w:val="12"/>
                <w:szCs w:val="12"/>
                <w:b w:val="1"/>
                <w:bCs w:val="1"/>
                <w:color w:val="auto"/>
                <w:w w:val="96"/>
              </w:rPr>
              <w:t>equity</w:t>
            </w:r>
          </w:p>
        </w:tc>
        <w:tc>
          <w:tcPr>
            <w:tcW w:w="0" w:type="dxa"/>
            <w:vAlign w:val="bottom"/>
          </w:tcPr>
          <w:p>
            <w:pPr>
              <w:spacing w:after="0"/>
              <w:rPr>
                <w:sz w:val="1"/>
                <w:szCs w:val="1"/>
                <w:color w:val="auto"/>
              </w:rPr>
            </w:pPr>
          </w:p>
        </w:tc>
      </w:tr>
      <w:tr>
        <w:trPr>
          <w:trHeight w:val="170"/>
        </w:trPr>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Balances, January 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107,363,943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(1,410,998)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2,512,676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641,818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1,743,045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(201,573)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1,541,472</w:t>
            </w: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(1,039,601)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(1,039,601)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(145,521)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(1,185,122)</w:t>
            </w:r>
          </w:p>
        </w:tc>
        <w:tc>
          <w:tcPr>
            <w:tcW w:w="0" w:type="dxa"/>
            <w:vAlign w:val="bottom"/>
          </w:tcPr>
          <w:p>
            <w:pPr>
              <w:spacing w:after="0"/>
              <w:rPr>
                <w:sz w:val="1"/>
                <w:szCs w:val="1"/>
                <w:color w:val="auto"/>
              </w:rPr>
            </w:pPr>
          </w:p>
        </w:tc>
      </w:tr>
      <w:tr>
        <w:trPr>
          <w:trHeight w:val="179"/>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1,068</w:t>
            </w: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Issuance of restricted stock</w:t>
            </w:r>
          </w:p>
        </w:tc>
        <w:tc>
          <w:tcPr>
            <w:tcW w:w="860" w:type="dxa"/>
            <w:vAlign w:val="bottom"/>
          </w:tcPr>
          <w:p>
            <w:pPr>
              <w:jc w:val="right"/>
              <w:spacing w:after="0"/>
              <w:rPr>
                <w:sz w:val="20"/>
                <w:szCs w:val="20"/>
                <w:color w:val="auto"/>
              </w:rPr>
            </w:pPr>
            <w:r>
              <w:rPr>
                <w:rFonts w:ascii="Arial" w:cs="Arial" w:eastAsia="Arial" w:hAnsi="Arial"/>
                <w:sz w:val="12"/>
                <w:szCs w:val="12"/>
                <w:color w:val="auto"/>
              </w:rPr>
              <w:t>661,015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6,703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6,709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7,527</w:t>
            </w:r>
          </w:p>
        </w:tc>
        <w:tc>
          <w:tcPr>
            <w:tcW w:w="0" w:type="dxa"/>
            <w:vAlign w:val="bottom"/>
          </w:tcPr>
          <w:p>
            <w:pPr>
              <w:spacing w:after="0"/>
              <w:rPr>
                <w:sz w:val="1"/>
                <w:szCs w:val="1"/>
                <w:color w:val="auto"/>
              </w:rPr>
            </w:pPr>
          </w:p>
        </w:tc>
      </w:tr>
      <w:tr>
        <w:trPr>
          <w:trHeight w:val="179"/>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Cancellation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(73,047)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2100" w:type="dxa"/>
            <w:vAlign w:val="bottom"/>
          </w:tcPr>
          <w:p>
            <w:pPr>
              <w:spacing w:after="0" w:line="118" w:lineRule="exact"/>
              <w:rPr>
                <w:sz w:val="20"/>
                <w:szCs w:val="20"/>
                <w:color w:val="auto"/>
              </w:rPr>
            </w:pPr>
            <w:r>
              <w:rPr>
                <w:rFonts w:ascii="Arial" w:cs="Arial" w:eastAsia="Arial" w:hAnsi="Arial"/>
                <w:sz w:val="12"/>
                <w:szCs w:val="12"/>
                <w:color w:val="auto"/>
                <w:w w:val="93"/>
              </w:rPr>
              <w:t>Shares repurchased by the Company and</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(82,046)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(8,437)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(8,437)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141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(8,296)</w:t>
            </w: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held as treasury shares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Cash dividends declared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(107,307)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(107,307)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(107,277)</w:t>
            </w: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2"/>
                <w:szCs w:val="12"/>
                <w:color w:val="auto"/>
              </w:rPr>
              <w:t>Distribution to noncontrolling interest</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(998)</w:t>
            </w:r>
          </w:p>
        </w:tc>
        <w:tc>
          <w:tcPr>
            <w:tcW w:w="0" w:type="dxa"/>
            <w:vAlign w:val="bottom"/>
          </w:tcPr>
          <w:p>
            <w:pPr>
              <w:spacing w:after="0"/>
              <w:rPr>
                <w:sz w:val="1"/>
                <w:szCs w:val="1"/>
                <w:color w:val="auto"/>
              </w:rPr>
            </w:pPr>
          </w:p>
        </w:tc>
      </w:tr>
      <w:tr>
        <w:trPr>
          <w:trHeight w:val="179"/>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24,339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25,824</w:t>
            </w:r>
          </w:p>
        </w:tc>
        <w:tc>
          <w:tcPr>
            <w:tcW w:w="0" w:type="dxa"/>
            <w:vAlign w:val="bottom"/>
          </w:tcPr>
          <w:p>
            <w:pPr>
              <w:spacing w:after="0"/>
              <w:rPr>
                <w:sz w:val="1"/>
                <w:szCs w:val="1"/>
                <w:color w:val="auto"/>
              </w:rPr>
            </w:pPr>
          </w:p>
        </w:tc>
      </w:tr>
      <w:tr>
        <w:trPr>
          <w:trHeight w:val="164"/>
        </w:trPr>
        <w:tc>
          <w:tcPr>
            <w:tcW w:w="2100" w:type="dxa"/>
            <w:vAlign w:val="bottom"/>
          </w:tcPr>
          <w:p>
            <w:pPr>
              <w:spacing w:after="0"/>
              <w:rPr>
                <w:sz w:val="20"/>
                <w:szCs w:val="20"/>
                <w:color w:val="auto"/>
              </w:rPr>
            </w:pPr>
            <w:r>
              <w:rPr>
                <w:rFonts w:ascii="Arial" w:cs="Arial" w:eastAsia="Arial" w:hAnsi="Arial"/>
                <w:sz w:val="12"/>
                <w:szCs w:val="12"/>
                <w:b w:val="1"/>
                <w:bCs w:val="1"/>
                <w:color w:val="auto"/>
              </w:rPr>
              <w:t>Balances, June 30,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107,869,865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1,234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(1,419,435)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2,543,718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(908)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(505,090)</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619,519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(345,321)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274,198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Six Months Ended June 30,</w:t>
            </w:r>
          </w:p>
        </w:tc>
      </w:tr>
      <w:tr>
        <w:trPr>
          <w:trHeight w:val="191"/>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(509,576)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(1,185,122)</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368,428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358,012</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155,316</w:t>
            </w: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49,453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30,448</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14,155</w:t>
            </w: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1,462</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Provision for credit losses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48,960</w:t>
            </w: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Change in derivatives fair value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18,954</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charges and other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21,228</w:t>
            </w: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Increase (decrease) in cash from changes in:</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8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Receivables,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7"/>
        </w:trPr>
        <w:tc>
          <w:tcPr>
            <w:tcW w:w="8260" w:type="dxa"/>
            <w:vAlign w:val="bottom"/>
          </w:tcPr>
          <w:p>
            <w:pPr>
              <w:ind w:left="660"/>
              <w:spacing w:after="0"/>
              <w:rPr>
                <w:sz w:val="20"/>
                <w:szCs w:val="20"/>
                <w:color w:val="auto"/>
              </w:rPr>
            </w:pPr>
            <w:r>
              <w:rPr>
                <w:rFonts w:ascii="Arial" w:cs="Arial" w:eastAsia="Arial" w:hAnsi="Arial"/>
                <w:sz w:val="16"/>
                <w:szCs w:val="16"/>
                <w:color w:val="auto"/>
              </w:rPr>
              <w:t>Inventories, prepaid expenses and other</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(35,819)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15,579</w:t>
            </w:r>
          </w:p>
        </w:tc>
      </w:tr>
      <w:tr>
        <w:trPr>
          <w:trHeight w:val="214"/>
        </w:trPr>
        <w:tc>
          <w:tcPr>
            <w:tcW w:w="8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Customer deposits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111,967</w:t>
            </w:r>
          </w:p>
        </w:tc>
      </w:tr>
      <w:tr>
        <w:trPr>
          <w:trHeight w:val="207"/>
        </w:trPr>
        <w:tc>
          <w:tcPr>
            <w:tcW w:w="82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(198,907)</w:t>
            </w:r>
          </w:p>
        </w:tc>
      </w:tr>
      <w:tr>
        <w:trPr>
          <w:trHeight w:val="207"/>
        </w:trPr>
        <w:tc>
          <w:tcPr>
            <w:tcW w:w="8260" w:type="dxa"/>
            <w:vAlign w:val="bottom"/>
            <w:shd w:val="clear" w:color="auto" w:fill="CCEEFF"/>
          </w:tcPr>
          <w:p>
            <w:pPr>
              <w:ind w:left="1080"/>
              <w:spacing w:after="0"/>
              <w:rPr>
                <w:sz w:val="20"/>
                <w:szCs w:val="20"/>
                <w:color w:val="auto"/>
              </w:rPr>
            </w:pPr>
            <w:r>
              <w:rPr>
                <w:rFonts w:ascii="Arial" w:cs="Arial" w:eastAsia="Arial" w:hAnsi="Arial"/>
                <w:sz w:val="16"/>
                <w:szCs w:val="16"/>
                <w:b w:val="1"/>
                <w:bCs w:val="1"/>
                <w:color w:val="auto"/>
              </w:rPr>
              <w:t>Net cash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(226,807)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(607,987)</w:t>
            </w:r>
          </w:p>
        </w:tc>
      </w:tr>
      <w:tr>
        <w:trPr>
          <w:trHeight w:val="188"/>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3"/>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 net of construction payables and retention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(191,682)</w:t>
            </w: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Purchase of intangible and 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assets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w:t>
            </w:r>
          </w:p>
        </w:tc>
      </w:tr>
      <w:tr>
        <w:trPr>
          <w:trHeight w:val="201"/>
        </w:trPr>
        <w:tc>
          <w:tcPr>
            <w:tcW w:w="8260" w:type="dxa"/>
            <w:vAlign w:val="bottom"/>
            <w:tcBorders>
              <w:bottom w:val="single" w:sz="8" w:color="CCEEFF"/>
            </w:tcBorders>
          </w:tcPr>
          <w:p>
            <w:pPr>
              <w:ind w:left="108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(122,284)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(187,949)</w:t>
            </w:r>
          </w:p>
        </w:tc>
      </w:tr>
      <w:tr>
        <w:trPr>
          <w:trHeight w:val="19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Proceeds from issuance of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2,894,134</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Repayments of long-term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(1,205,099)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(527,535)</w:t>
            </w: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Proceeds from issuance of Wynn Resorts, Limited common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841,896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(8,437)</w:t>
            </w: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Finance lease payments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Dividends paid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(108,074)</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 to noncontrolling interest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Proceeds from issuance of subsidiary common stock</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financing costs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(13,196)</w:t>
            </w:r>
          </w:p>
        </w:tc>
      </w:tr>
      <w:tr>
        <w:trPr>
          <w:trHeight w:val="201"/>
        </w:trPr>
        <w:tc>
          <w:tcPr>
            <w:tcW w:w="8260" w:type="dxa"/>
            <w:vAlign w:val="bottom"/>
            <w:tcBorders>
              <w:bottom w:val="single" w:sz="8" w:color="CCEEFF"/>
            </w:tcBorders>
          </w:tcPr>
          <w:p>
            <w:pPr>
              <w:ind w:left="108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(329,849)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2,235,890</w:t>
            </w:r>
          </w:p>
        </w:tc>
      </w:tr>
      <w:tr>
        <w:trPr>
          <w:trHeight w:val="20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on cash, cash equivalents and 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4,341</w:t>
            </w:r>
          </w:p>
        </w:tc>
      </w:tr>
      <w:tr>
        <w:trPr>
          <w:trHeight w:val="188"/>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3"/>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(Decrease) increase in cash, cash equivalents and restricted cash</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(677,299)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1,444,295</w:t>
            </w:r>
          </w:p>
        </w:tc>
      </w:tr>
      <w:tr>
        <w:trPr>
          <w:trHeight w:val="208"/>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b w:val="1"/>
                <w:bCs w:val="1"/>
                <w:color w:val="auto"/>
              </w:rPr>
              <w:t>Balance,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3,486,384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2,358,292</w:t>
            </w:r>
          </w:p>
        </w:tc>
      </w:tr>
      <w:tr>
        <w:trPr>
          <w:trHeight w:val="229"/>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2,809,085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3,802,587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8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Cash paid for interest, net of amounts capitalized</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294,011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238,044</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Liability settled with shares of common stock</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w:t>
            </w: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Accounts and construction payables related to property and equipment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66,701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127,674</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liabilities related to intangible assets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14,088</w:t>
            </w:r>
          </w:p>
        </w:tc>
      </w:tr>
      <w:tr>
        <w:trPr>
          <w:trHeight w:val="204"/>
        </w:trPr>
        <w:tc>
          <w:tcPr>
            <w:tcW w:w="8260" w:type="dxa"/>
            <w:vAlign w:val="bottom"/>
          </w:tcPr>
          <w:p>
            <w:pPr>
              <w:ind w:left="340"/>
              <w:spacing w:after="0"/>
              <w:rPr>
                <w:sz w:val="20"/>
                <w:szCs w:val="20"/>
                <w:color w:val="auto"/>
              </w:rPr>
            </w:pPr>
            <w:r>
              <w:rPr>
                <w:rFonts w:ascii="Arial" w:cs="Arial" w:eastAsia="Arial" w:hAnsi="Arial"/>
                <w:sz w:val="16"/>
                <w:szCs w:val="16"/>
                <w:color w:val="auto"/>
              </w:rPr>
              <w:t>Finance lease liabilities arising from obtaining finance lease assets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7,423</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93345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4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16"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On June 23, 2019, the Company opened Encore Boston Harbor, an integrated resort in Everett, Massachusetts, that is owned 100% by the Company. In October 2020, Wynn Interactive Ltd. ("Wynn Interactive") was formed through the merger of the Company's U.S. online sports betting and gaming business, social casino business, and Wynn Resorts' strategic partner, BetBull Limited ("BetBull"). Wynn Resorts holds an approximately 74% interest in, and consolidates, Wynn Interactive. The results of Wynn Interactive's operations are presented within Corporate and other in the accompanying condensed consolidated financial statements, except where otherwise noted.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40"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Since the outbreak of COVID-19 in early 2020, steps have been taken by various countries, including those in which the Company operates, to advise citizens to avoid non-essential travel, to restrict inbound international travel, to implement closures of non-essential operations, and to implement quarantines and lockdowns to contain the spread of the virus. As part of the immediate response to the initial outbreak of COVID-19, each of the Company's properties was subject to partial or full closure for varying lengths of time during 2020, and have all since reopened. Several vaccines have been granted authorization in numerous countries and are being rolled out to citizens based on availability and priority of need. There can be no assurance as to when a sufficient number of individuals will be vaccinated, permitting travel restrictions to be fully lifted.</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Macau Operations</w:t>
      </w:r>
    </w:p>
    <w:p>
      <w:pPr>
        <w:spacing w:after="0" w:line="227"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Visitation to Macau has fallen significantly since the outbreak of COVID-19, driven by the strong deterrent effect of the COVID-19 pandemic on travel and social activities, quarantine measures in Macau and elsewhere, travel and entry restrictions and conditions in Macau, the PRC, Hong Kong and Taiwan involving COVID-19 testing, among other things, and the suspension or reduced accessibility of transportation to and from Macau. Beginning in June 2020 certain restrictions and conditions have eased to allow for visitation to Macau as certain regions recover from the COVID-19 pandemic. Quarantine-free travel, subject to COVID-19 safeguards such as testing and the usual visa requirements, has been reintroduced between Macau and most areas and cities within the PRC, and in September 2020, PRC authorities fully resumed the IVS exit visa program, which permits individual PRC citizens from nearly 50 PRC cities to travel to Macau for tourism purposes. On August 3, 2021, in response to a risk of a community outbreak, the government of Macau has announced enhanced measures including tighter border control and strict mandatory COVID-19 testing requirements.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Las Vegas Operations and Encore Boston Harbor</w:t>
      </w:r>
    </w:p>
    <w:p>
      <w:pPr>
        <w:spacing w:after="0" w:line="227"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 Company’s Las Vegas Operations and Encore Boston Harbor had each implemented certain COVID-19 specific protective measures, such as limiting the number of seats per table game, slot machine spacing, temperature checks, mask protection, and suspension of certain entertainment and nightlife offerings. On April 8, 2021, Encore at Wynn Las Vegas resumed full operations. On May 3, 2021, the Company's Las Vegas Operations were permitted by the Nevada Gaming Control Board to reopen all gaming areas to 100% of capacity, with no continuing table game or slot machine spacing restrictions. On July 27, 2021, the Governor of Nevada issued an emergency directive, in accordance with new recommendations from the Centers for Disease Control, re-imposing mask protection requirements in all public indoor areas effective July 30, 2021. At Encore Boston Harbor, on January 25, 2021, limitations on operating hours that had been in place since November 2020 were lifted, and the property restored certain operations and reopened its hotel tower on a Thursday through Sunday schedule. On April 27, 2021, the Governor of Massachusetts announced a phased plan for further reopening and on May 28, 2021 signed 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340" w:right="262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executive order rescinding the COVID-19 related restrictions and limitations on businesses as of May 29, 2021. The property continues to operate its hotel tower Thursday through Sunday.</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Summary</w:t>
      </w:r>
    </w:p>
    <w:p>
      <w:pPr>
        <w:spacing w:after="0" w:line="227"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The COVID-19 pandemic has had and will continue to have an adverse effect on the Company's results of operations. Notwithstanding the easing of certain COVID-19 protective measures by authorities throughout the world, certain travel restrictions, quarantine measures, testing requirements, and capacity limitations remain in effect at our Macau Operations, and the Company is currently unable to determine when protective measures and the suspension of certain offerings in effect at our Macau Operations will be lifted.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spacing w:after="0" w:line="19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As of June 30, 2021, the Company had total cash and cash equivalents, excluding restricted cash, of $2.80 billion, and had access to $834.2 million of available borrowing capacity from the WRF Revolving Facility and $293.2 million of available borrowing capacity from the Wynn Macau Revolving Facility. The Company has suspended its dividend program. Given the Company's liquidity position at June 30, 2021, the Company believes it is able to support continuing operations and respond to the current COVID-19 pandemic challenges.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Gaming Concession</w:t>
      </w:r>
    </w:p>
    <w:p>
      <w:pPr>
        <w:spacing w:after="0" w:line="240"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term of the Company's concession agreement with the Macau government ends on June 26, 2022. If the term of this concession agreement is not extended or renewed or is not replaced by a new gaming concession, all of the Company's gaming operations and related equipment in Macau will be automatically transferred to the Macau government without compensation on that date and the Company will cease to generate gaming revenues from its Macau Operations. In addition, under the indentures governing the Company's $4.7 billion aggregate principal amount of WML Senior Notes, upon the occurrence of any event after which none of WML or any of its subsidiaries own or manage casino or gaming areas or operate casino games of fortune and chance in Macau in substantially the same manner as they are owning or managing casino or gaming areas or operating casino games as of the issue date of the respective senior notes, for a period of 10 consecutive days or more, and such event has a material adverse effect on the financial condition, business, properties or results of operations of WML and its subsidiaries, taken as a whole, holders of the WML Senior Notes can require the Company to repurchase all or any part of the WML Senior Notes at par, plus any accrued and unpaid interest (the "Special Put Option").</w:t>
      </w:r>
    </w:p>
    <w:p>
      <w:pPr>
        <w:spacing w:after="0" w:line="200"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Macau government has publicly commented that it is studying the process by which concessions and subconcessions may be renewed, extended or issued. The Company is monitoring developments with respect to the Macau government's concession renewal or extension process, and at this time believes that its concession will be renewed or extended beyond June 26, 2022. The failure to extend or renew the Company's concession or obtain a new concession and the resulting ability of the WML Senior Note holders to exercise the Special Put Option would have a material adverse effect on the Company's business, financial condition,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Agreement</w:t>
      </w:r>
    </w:p>
    <w:p>
      <w:pPr>
        <w:spacing w:after="0" w:line="227"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On May 10, 2021, Wynn Interactive entered into a business combination agreement (the "Business Combination Agreement") with Austerlitz Acquisition Corporation I, a Cayman Islands exempted company ("Austerlitz I"), and Wave Merger Sub Limited, an exempted company limited by shares incorporated in Bermuda and a direct, wholly owned subsidiary of Austerlitz I ("Merger Sub"). The Business Combination Agreement provides for, among other things, the consummation of the following transactions: (i) Austerlitz I will transfer by way of continuation from the Cayman Islands to Bermuda and change its name to "Wynn Interactive, Limited"; and (ii) Merger Sub will merge with and into Wynn Interactive (the "Merger"), with Wynn Interactive being the surviving company of the Merger and direct, wholly owned subsidiary of Austerlitz I. Upon closing of the transaction, assuming no share redemptions by the public stockholders of Austerlitz I, the Company is expected to retain an approximately 58% equity interest (and approximately 72% voting interest) in Wynn Interactive. The proposed business combination is expected to close by the end of 2021, subject to approval by Austerlitz I's stockholders, gaming regulatory approval and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340" w:right="262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5"/>
          <w:szCs w:val="15"/>
          <w:b w:val="1"/>
          <w:bCs w:val="1"/>
          <w:color w:val="auto"/>
        </w:rPr>
        <w:t>Basis of Presentation and Significant Accounting Policies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40"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six months ended June 30, 2021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40"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16, "Retail Joint Venture." All significant intercompany accounts and transactions have been eliminated. Certain amounts in the condensed consolidated financial statements for the first quarter of 2021 have been reclassified to be consistent with the current quarter presentation. These reclassifications had no effect on the previously reported net loss or operating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40"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credit losses, estimates regarding the useful lives and recoverability of the cost of long-lived assets, fair value estimates of intangible assets and their estimated useful lives, and litigation and contingency estimates.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40"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$234.2 million and $12.5 million for the three months ended June 30, 2021 and 2020, respectively, and $449.2 million and $266.4 million for the six months ended June 30, 2021 and 2020,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40"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In March 2020, the FASB issued ASU No. 2020-04, "Reference Rate Reform (Topic 848): Facilitation of the Effects of Reference Rate Reform on Financial Reporting" ("ASU 2020-04"). ASU 2020-04 provides optional expedients and exceptions for applying GAAP to contracts, hedging relationships, and other transactions affected by reference rate reform if certain criteria are met. In response to the concerns about structural risks of interbank offered rates and, particularly, the risk of cessation of the London Interbank Offered Rate (referred to as "LIBOR"), regulators in several jurisdictions around the world have undertaken reference rate reform initiatives to identify alternative reference rates that are more observable or transaction-based and less susceptible to manipulation. ASU 2020-04 also provides companies with optional guidance to ease the potential accounting burden associated with transitioning away from reference rates that are expected to be discontinued. ASU 2020-04 can be adopted no later than December 1, 2022 with early adoption permitted. The Company is currently assessing the impact the adoption of the new guidance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340" w:right="262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5"/>
          <w:szCs w:val="15"/>
          <w:b w:val="1"/>
          <w:bCs w:val="1"/>
          <w:color w:val="auto"/>
        </w:rPr>
        <w:t>Cash, Cash Equivalents and Restricted Cash</w:t>
      </w:r>
    </w:p>
    <w:p>
      <w:pPr>
        <w:spacing w:after="0" w:line="2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84"/>
        </w:trPr>
        <w:tc>
          <w:tcPr>
            <w:tcW w:w="75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r>
      <w:tr>
        <w:trPr>
          <w:trHeight w:val="204"/>
        </w:trPr>
        <w:tc>
          <w:tcPr>
            <w:tcW w:w="7500" w:type="dxa"/>
            <w:vAlign w:val="bottom"/>
            <w:shd w:val="clear" w:color="auto" w:fill="CCEEFF"/>
          </w:tcPr>
          <w:p>
            <w:pPr>
              <w:ind w:left="420"/>
              <w:spacing w:after="0" w:line="204" w:lineRule="exact"/>
              <w:rPr>
                <w:sz w:val="20"/>
                <w:szCs w:val="20"/>
                <w:color w:val="auto"/>
              </w:rPr>
            </w:pPr>
            <w:r>
              <w:rPr>
                <w:rFonts w:ascii="Arial" w:cs="Arial" w:eastAsia="Arial" w:hAnsi="Arial"/>
                <w:sz w:val="18"/>
                <w:szCs w:val="18"/>
                <w:b w:val="1"/>
                <w:bCs w:val="1"/>
                <w:color w:val="auto"/>
              </w:rPr>
              <w:t>Cash and cash equivalents:</w:t>
            </w: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3"/>
        </w:trPr>
        <w:tc>
          <w:tcPr>
            <w:tcW w:w="7500" w:type="dxa"/>
            <w:vAlign w:val="bottom"/>
          </w:tcPr>
          <w:p>
            <w:pPr>
              <w:ind w:left="54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2,437,127</w:t>
            </w:r>
          </w:p>
        </w:tc>
        <w:tc>
          <w:tcPr>
            <w:tcW w:w="1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2,501,452</w:t>
            </w:r>
          </w:p>
        </w:tc>
      </w:tr>
      <w:tr>
        <w:trPr>
          <w:trHeight w:val="224"/>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365,589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980,580</w:t>
            </w:r>
          </w:p>
        </w:tc>
      </w:tr>
      <w:tr>
        <w:trPr>
          <w:trHeight w:val="217"/>
        </w:trPr>
        <w:tc>
          <w:tcPr>
            <w:tcW w:w="7500" w:type="dxa"/>
            <w:vAlign w:val="bottom"/>
          </w:tcPr>
          <w:p>
            <w:pPr>
              <w:ind w:left="640"/>
              <w:spacing w:after="0"/>
              <w:rPr>
                <w:sz w:val="20"/>
                <w:szCs w:val="20"/>
                <w:color w:val="auto"/>
              </w:rPr>
            </w:pPr>
            <w:r>
              <w:rPr>
                <w:rFonts w:ascii="Arial" w:cs="Arial" w:eastAsia="Arial" w:hAnsi="Arial"/>
                <w:sz w:val="18"/>
                <w:szCs w:val="18"/>
                <w:b w:val="1"/>
                <w:bCs w:val="1"/>
                <w:color w:val="auto"/>
              </w:rPr>
              <w:t>Total cash and cash equivalents</w:t>
            </w: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2,802,716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3,482,032</w:t>
            </w:r>
          </w:p>
        </w:tc>
      </w:tr>
      <w:tr>
        <w:trPr>
          <w:trHeight w:val="224"/>
        </w:trPr>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r>
      <w:tr>
        <w:trPr>
          <w:trHeight w:val="221"/>
        </w:trPr>
        <w:tc>
          <w:tcPr>
            <w:tcW w:w="7500" w:type="dxa"/>
            <w:vAlign w:val="bottom"/>
          </w:tcPr>
          <w:p>
            <w:pPr>
              <w:ind w:left="4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2,809,085</w:t>
            </w:r>
          </w:p>
        </w:tc>
        <w:tc>
          <w:tcPr>
            <w:tcW w:w="1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3,486,384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-2540</wp:posOffset>
            </wp:positionV>
            <wp:extent cx="2372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72995" cy="8255"/>
                    </a:xfrm>
                    <a:prstGeom prst="rect">
                      <a:avLst/>
                    </a:prstGeom>
                    <a:noFill/>
                  </pic:spPr>
                </pic:pic>
              </a:graphicData>
            </a:graphic>
          </wp:anchor>
        </w:drawing>
      </w:r>
    </w:p>
    <w:p>
      <w:pPr>
        <w:ind w:left="220" w:hanging="197"/>
        <w:spacing w:after="0" w:line="238"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ind w:left="220" w:hanging="197"/>
        <w:spacing w:after="0" w:line="196"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ind w:left="220" w:hanging="197"/>
        <w:spacing w:after="0"/>
        <w:tabs>
          <w:tab w:leader="none" w:pos="22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Restricted cash consists of cash subject to certain contractual restrictions, cash collateral associated with obligations and cash held in a trust in accordance with WML's share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-257175</wp:posOffset>
            </wp:positionV>
            <wp:extent cx="237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2995" cy="8255"/>
                    </a:xfrm>
                    <a:prstGeom prst="rect">
                      <a:avLst/>
                    </a:prstGeom>
                    <a:noFill/>
                  </pic:spPr>
                </pic:pic>
              </a:graphicData>
            </a:graphic>
          </wp:anchor>
        </w:drawing>
      </w:r>
    </w:p>
    <w:p>
      <w:pPr>
        <w:spacing w:after="0" w:line="3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5"/>
          <w:szCs w:val="15"/>
          <w:b w:val="1"/>
          <w:bCs w:val="1"/>
          <w:color w:val="auto"/>
        </w:rPr>
        <w:t>Receivables, net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200" w:type="dxa"/>
            <w:vAlign w:val="bottom"/>
          </w:tcPr>
          <w:p>
            <w:pPr>
              <w:jc w:val="right"/>
              <w:ind w:right="217"/>
              <w:spacing w:after="0"/>
              <w:rPr>
                <w:sz w:val="20"/>
                <w:szCs w:val="20"/>
                <w:color w:val="auto"/>
              </w:rPr>
            </w:pPr>
            <w:r>
              <w:rPr>
                <w:rFonts w:ascii="Arial" w:cs="Arial" w:eastAsia="Arial" w:hAnsi="Arial"/>
                <w:sz w:val="14"/>
                <w:szCs w:val="14"/>
                <w:b w:val="1"/>
                <w:bCs w:val="1"/>
                <w:color w:val="auto"/>
                <w:w w:val="96"/>
              </w:rPr>
              <w:t>December 31,</w:t>
            </w:r>
          </w:p>
        </w:tc>
      </w:tr>
      <w:tr>
        <w:trPr>
          <w:trHeight w:val="184"/>
        </w:trPr>
        <w:tc>
          <w:tcPr>
            <w:tcW w:w="75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r>
      <w:tr>
        <w:trPr>
          <w:trHeight w:val="217"/>
        </w:trPr>
        <w:tc>
          <w:tcPr>
            <w:tcW w:w="7540" w:type="dxa"/>
            <w:vAlign w:val="bottom"/>
            <w:shd w:val="clear" w:color="auto" w:fill="CCEEFF"/>
          </w:tcPr>
          <w:p>
            <w:pPr>
              <w:ind w:left="420"/>
              <w:spacing w:after="0" w:line="204" w:lineRule="exact"/>
              <w:rPr>
                <w:sz w:val="20"/>
                <w:szCs w:val="20"/>
                <w:color w:val="auto"/>
              </w:rPr>
            </w:pPr>
            <w:r>
              <w:rPr>
                <w:rFonts w:ascii="Arial" w:cs="Arial" w:eastAsia="Arial" w:hAnsi="Arial"/>
                <w:sz w:val="18"/>
                <w:szCs w:val="18"/>
                <w:color w:val="auto"/>
              </w:rPr>
              <w:t>Casino</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207,823</w:t>
            </w:r>
          </w:p>
        </w:tc>
      </w:tr>
      <w:tr>
        <w:trPr>
          <w:trHeight w:val="223"/>
        </w:trPr>
        <w:tc>
          <w:tcPr>
            <w:tcW w:w="7540" w:type="dxa"/>
            <w:vAlign w:val="bottom"/>
          </w:tcPr>
          <w:p>
            <w:pPr>
              <w:ind w:left="420"/>
              <w:spacing w:after="0"/>
              <w:rPr>
                <w:sz w:val="20"/>
                <w:szCs w:val="20"/>
                <w:color w:val="auto"/>
              </w:rPr>
            </w:pPr>
            <w:r>
              <w:rPr>
                <w:rFonts w:ascii="Arial" w:cs="Arial" w:eastAsia="Arial" w:hAnsi="Arial"/>
                <w:sz w:val="18"/>
                <w:szCs w:val="18"/>
                <w:color w:val="auto"/>
              </w:rPr>
              <w:t>Hotel</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15,039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7,075</w:t>
            </w:r>
          </w:p>
        </w:tc>
      </w:tr>
      <w:tr>
        <w:trPr>
          <w:trHeight w:val="224"/>
        </w:trPr>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85,474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85,589</w:t>
            </w:r>
          </w:p>
        </w:tc>
      </w:tr>
      <w:tr>
        <w:trPr>
          <w:trHeight w:val="217"/>
        </w:trPr>
        <w:tc>
          <w:tcPr>
            <w:tcW w:w="7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344,002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300,487</w:t>
            </w:r>
          </w:p>
        </w:tc>
      </w:tr>
      <w:tr>
        <w:trPr>
          <w:trHeight w:val="223"/>
        </w:trPr>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allowance for credit losses</w:t>
            </w: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(98,043)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(100,329)</w:t>
            </w:r>
          </w:p>
        </w:tc>
      </w:tr>
      <w:tr>
        <w:trPr>
          <w:trHeight w:val="217"/>
        </w:trPr>
        <w:tc>
          <w:tcPr>
            <w:tcW w:w="7540" w:type="dxa"/>
            <w:vAlign w:val="bottom"/>
          </w:tcPr>
          <w:p>
            <w:pPr>
              <w:spacing w:after="0"/>
              <w:rPr>
                <w:sz w:val="18"/>
                <w:szCs w:val="18"/>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245,959</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200,158</w:t>
            </w:r>
          </w:p>
        </w:tc>
      </w:tr>
      <w:tr>
        <w:trPr>
          <w:trHeight w:val="20"/>
        </w:trPr>
        <w:tc>
          <w:tcPr>
            <w:tcW w:w="7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As of June 30, 2021 and December 31, 2020, approximately 68.7% and 77.3%,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p>
    <w:p>
      <w:pPr>
        <w:spacing w:after="0" w:line="21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Company’s allowance for casino credit losses was 39.3% and 47.2% of gross casino receivables as of June 30, 2021 and December 31, 2020, respectively.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181"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following table shows the movement in the Company's allowance for credit losses recognized for receivables that occurred during the period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140" w:type="dxa"/>
            <w:vAlign w:val="bottom"/>
          </w:tcPr>
          <w:p>
            <w:pPr>
              <w:jc w:val="right"/>
              <w:ind w:right="377"/>
              <w:spacing w:after="0"/>
              <w:rPr>
                <w:sz w:val="20"/>
                <w:szCs w:val="20"/>
                <w:color w:val="auto"/>
              </w:rPr>
            </w:pPr>
            <w:r>
              <w:rPr>
                <w:rFonts w:ascii="Arial" w:cs="Arial" w:eastAsia="Arial" w:hAnsi="Arial"/>
                <w:sz w:val="14"/>
                <w:szCs w:val="14"/>
                <w:b w:val="1"/>
                <w:bCs w:val="1"/>
                <w:color w:val="auto"/>
              </w:rPr>
              <w:t>June 30,</w:t>
            </w:r>
          </w:p>
        </w:tc>
      </w:tr>
      <w:tr>
        <w:trPr>
          <w:trHeight w:val="184"/>
        </w:trPr>
        <w:tc>
          <w:tcPr>
            <w:tcW w:w="8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year</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100,329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39,317</w:t>
            </w:r>
          </w:p>
        </w:tc>
      </w:tr>
      <w:tr>
        <w:trPr>
          <w:trHeight w:val="223"/>
        </w:trPr>
        <w:tc>
          <w:tcPr>
            <w:tcW w:w="826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48,960</w:t>
            </w:r>
          </w:p>
        </w:tc>
      </w:tr>
      <w:tr>
        <w:trPr>
          <w:trHeight w:val="224"/>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Write-offs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8260" w:type="dxa"/>
            <w:vAlign w:val="bottom"/>
          </w:tcPr>
          <w:p>
            <w:pPr>
              <w:ind w:left="160"/>
              <w:spacing w:after="0"/>
              <w:rPr>
                <w:sz w:val="20"/>
                <w:szCs w:val="20"/>
                <w:color w:val="auto"/>
              </w:rPr>
            </w:pPr>
            <w:r>
              <w:rPr>
                <w:rFonts w:ascii="Arial" w:cs="Arial" w:eastAsia="Arial" w:hAnsi="Arial"/>
                <w:sz w:val="18"/>
                <w:szCs w:val="18"/>
                <w:color w:val="auto"/>
              </w:rPr>
              <w:t>Recoveries of receivables previously written off</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4"/>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98,043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88,319</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340" w:right="262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5 -</w:t>
      </w:r>
      <w:r>
        <w:rPr>
          <w:sz w:val="20"/>
          <w:szCs w:val="20"/>
          <w:color w:val="auto"/>
        </w:rPr>
        <w:tab/>
      </w:r>
      <w:r>
        <w:rPr>
          <w:rFonts w:ascii="Arial" w:cs="Arial" w:eastAsia="Arial" w:hAnsi="Arial"/>
          <w:sz w:val="16"/>
          <w:szCs w:val="16"/>
          <w:b w:val="1"/>
          <w:bCs w:val="1"/>
          <w:color w:val="auto"/>
        </w:rPr>
        <w:t>Property and Equipment, net</w:t>
      </w:r>
    </w:p>
    <w:p>
      <w:pPr>
        <w:spacing w:after="0" w:line="2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r>
      <w:tr>
        <w:trPr>
          <w:trHeight w:val="184"/>
        </w:trPr>
        <w:tc>
          <w:tcPr>
            <w:tcW w:w="8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7"/>
        </w:trPr>
        <w:tc>
          <w:tcPr>
            <w:tcW w:w="82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Buildings and improvements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9,745,976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9,758,846</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1,276,442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1,265,510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3,105,343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3,093,481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Airplanes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110,623</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136,390</w:t>
            </w:r>
          </w:p>
        </w:tc>
      </w:tr>
      <w:tr>
        <w:trPr>
          <w:trHeight w:val="217"/>
        </w:trPr>
        <w:tc>
          <w:tcPr>
            <w:tcW w:w="8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14,419,648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14,364,850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(5,494,262)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(5,168,206)</w:t>
            </w:r>
          </w:p>
        </w:tc>
      </w:tr>
      <w:tr>
        <w:trPr>
          <w:trHeight w:val="217"/>
        </w:trPr>
        <w:tc>
          <w:tcPr>
            <w:tcW w:w="826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8,925,386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9,196,644</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of June 30, 2021 and December 31, 2020, construction in progress consisted primarily of costs capitalized for various capital enhancements at the Company's properties, including the Wynn Las Vegas room remodel.</w:t>
      </w:r>
    </w:p>
    <w:p>
      <w:pPr>
        <w:spacing w:after="0" w:line="20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Depreciation expense for the three months ended June 30, 2021 and 2020 was $176.1 million and $172.8 million, respectively, and depreciation expense for the six months ended June 30, 2021 and 2020 was $353.9 million and $345.1 million, respectively.</w:t>
      </w:r>
    </w:p>
    <w:p>
      <w:pPr>
        <w:spacing w:after="0" w:line="20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6"/>
          <w:szCs w:val="16"/>
          <w:b w:val="1"/>
          <w:bCs w:val="1"/>
          <w:color w:val="auto"/>
        </w:rPr>
        <w:t>Goodwill</w:t>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movement in the Company's goodwill balance that occurred during the six-month period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2021</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144,095</w:t>
            </w:r>
          </w:p>
        </w:tc>
      </w:tr>
      <w:tr>
        <w:trPr>
          <w:trHeight w:val="223"/>
        </w:trPr>
        <w:tc>
          <w:tcPr>
            <w:tcW w:w="9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translation</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r>
      <w:tr>
        <w:trPr>
          <w:trHeight w:val="242"/>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145,179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340" w:right="262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7 -</w:t>
      </w:r>
      <w:r>
        <w:rPr>
          <w:sz w:val="20"/>
          <w:szCs w:val="20"/>
          <w:color w:val="auto"/>
        </w:rPr>
        <w:tab/>
      </w:r>
      <w:r>
        <w:rPr>
          <w:rFonts w:ascii="Arial" w:cs="Arial" w:eastAsia="Arial" w:hAnsi="Arial"/>
          <w:sz w:val="16"/>
          <w:szCs w:val="16"/>
          <w:b w:val="1"/>
          <w:bCs w:val="1"/>
          <w:color w:val="auto"/>
        </w:rPr>
        <w:t>Long-Term Debt</w:t>
      </w:r>
    </w:p>
    <w:p>
      <w:pPr>
        <w:spacing w:after="0" w:line="2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Long-term debt consisted of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r>
      <w:tr>
        <w:trPr>
          <w:trHeight w:val="184"/>
        </w:trPr>
        <w:tc>
          <w:tcPr>
            <w:tcW w:w="8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04"/>
        </w:trPr>
        <w:tc>
          <w:tcPr>
            <w:tcW w:w="82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i w:val="1"/>
                <w:iCs w:val="1"/>
                <w:color w:val="auto"/>
              </w:rPr>
              <w:t>Macau Related:</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Wynn Macau Credit Facilities </w:t>
            </w:r>
            <w:r>
              <w:rPr>
                <w:rFonts w:ascii="Arial" w:cs="Arial" w:eastAsia="Arial" w:hAnsi="Arial"/>
                <w:sz w:val="14"/>
                <w:szCs w:val="14"/>
                <w:color w:val="auto"/>
              </w:rPr>
              <w:t>(1)</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Wynn Macau Term Loan, due 2022 </w:t>
            </w:r>
            <w:r>
              <w:rPr>
                <w:rFonts w:ascii="Arial" w:cs="Arial" w:eastAsia="Arial" w:hAnsi="Arial"/>
                <w:sz w:val="14"/>
                <w:szCs w:val="14"/>
                <w:color w:val="auto"/>
              </w:rPr>
              <w:t>(2)</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1,268,106</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 xml:space="preserve">Wynn Macau Revolver, due 2022 </w:t>
            </w:r>
            <w:r>
              <w:rPr>
                <w:rFonts w:ascii="Arial" w:cs="Arial" w:eastAsia="Arial" w:hAnsi="Arial"/>
                <w:sz w:val="14"/>
                <w:szCs w:val="14"/>
                <w:color w:val="auto"/>
              </w:rPr>
              <w:t>(3)</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457,290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407,443</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4 7/8% Senior Notes, due 2024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WML 5 1/2% Senior Notes, due 2026</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5 1/2% Senior Notes, due 2027</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WML 5 5/8% Senior Notes, due 2028</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1,350,000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5 1/8% Senior Notes, due 2029</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63"/>
        </w:trPr>
        <w:tc>
          <w:tcPr>
            <w:tcW w:w="8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U.S. and Corporate Related: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WRF Credit Facilities </w:t>
            </w:r>
            <w:r>
              <w:rPr>
                <w:rFonts w:ascii="Arial" w:cs="Arial" w:eastAsia="Arial" w:hAnsi="Arial"/>
                <w:sz w:val="14"/>
                <w:szCs w:val="14"/>
                <w:color w:val="auto"/>
              </w:rPr>
              <w:t>(4)</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WRF Term Loan, due 2024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WRF Revolver, due 2024</w:t>
            </w: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716,000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WLV 4 1/4% Senior Notes, due 2023</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WLV 5 1/2% Senior Notes, due 2025</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1,780,000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WLV 5 1/4% Senior Notes, due 2027</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WRF 7 3/4% Senior Notes, due 2025</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WRF 5 1/8% Senior Notes, due 2029</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Retail Term Loan, due 2025 </w:t>
            </w:r>
            <w:r>
              <w:rPr>
                <w:rFonts w:ascii="Arial" w:cs="Arial" w:eastAsia="Arial" w:hAnsi="Arial"/>
                <w:sz w:val="14"/>
                <w:szCs w:val="14"/>
                <w:color w:val="auto"/>
              </w:rPr>
              <w:t>(5)</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615,000</w:t>
            </w:r>
          </w:p>
        </w:tc>
      </w:tr>
      <w:tr>
        <w:trPr>
          <w:trHeight w:val="217"/>
        </w:trPr>
        <w:tc>
          <w:tcPr>
            <w:tcW w:w="8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11,997,688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13,154,049</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(88,279)</w:t>
            </w:r>
          </w:p>
        </w:tc>
      </w:tr>
      <w:tr>
        <w:trPr>
          <w:trHeight w:val="217"/>
        </w:trPr>
        <w:tc>
          <w:tcPr>
            <w:tcW w:w="8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11,920,913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13,065,770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(1,308,353)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(596,408)</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 net of current portion</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10,612,560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12,469,362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200" w:hanging="195"/>
        <w:spacing w:after="0"/>
        <w:tabs>
          <w:tab w:leader="none" w:pos="2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borrowings under the Wynn Macau Credit Facilities bear interest at LIBOR or HIBOR plus a margin of 1.50% to 2.25% per annum based on Wynn Resorts Macau S.A.’s leverage ratio.</w:t>
      </w:r>
    </w:p>
    <w:p>
      <w:pPr>
        <w:spacing w:after="0" w:line="20" w:lineRule="exact"/>
        <w:rPr>
          <w:rFonts w:ascii="Arial" w:cs="Arial" w:eastAsia="Arial" w:hAnsi="Arial"/>
          <w:sz w:val="13"/>
          <w:szCs w:val="13"/>
          <w:color w:val="auto"/>
        </w:rPr>
      </w:pPr>
    </w:p>
    <w:p>
      <w:pPr>
        <w:ind w:left="240" w:hanging="235"/>
        <w:spacing w:after="0" w:line="253" w:lineRule="auto"/>
        <w:tabs>
          <w:tab w:leader="none" w:pos="215" w:val="left"/>
        </w:tabs>
        <w:numPr>
          <w:ilvl w:val="0"/>
          <w:numId w:val="4"/>
        </w:numPr>
        <w:rPr>
          <w:rFonts w:ascii="Arial" w:cs="Arial" w:eastAsia="Arial" w:hAnsi="Arial"/>
          <w:sz w:val="13"/>
          <w:szCs w:val="13"/>
          <w:color w:val="auto"/>
        </w:rPr>
      </w:pPr>
      <w:r>
        <w:rPr>
          <w:rFonts w:ascii="Arial" w:cs="Arial" w:eastAsia="Arial" w:hAnsi="Arial"/>
          <w:sz w:val="13"/>
          <w:szCs w:val="13"/>
          <w:color w:val="auto"/>
        </w:rPr>
        <w:t>Approximately $454.4 million and $348.5 million of the Wynn Macau Term Loan bears interest at a rate of LIBOR plus 2.25% per year and HIBOR plus 2.25% per year, respectively. As of June 30, 2021, the weighted average interest rate was approximately 2.35%. In January 2021, the Company prepaid $412.5 million of the Wynn Macau Term Loan.</w:t>
      </w:r>
    </w:p>
    <w:p>
      <w:pPr>
        <w:ind w:left="240" w:hanging="235"/>
        <w:spacing w:after="0" w:line="253" w:lineRule="auto"/>
        <w:tabs>
          <w:tab w:leader="none" w:pos="202" w:val="left"/>
        </w:tabs>
        <w:numPr>
          <w:ilvl w:val="0"/>
          <w:numId w:val="4"/>
        </w:numPr>
        <w:rPr>
          <w:rFonts w:ascii="Arial" w:cs="Arial" w:eastAsia="Arial" w:hAnsi="Arial"/>
          <w:sz w:val="13"/>
          <w:szCs w:val="13"/>
          <w:color w:val="auto"/>
        </w:rPr>
      </w:pPr>
      <w:r>
        <w:rPr>
          <w:rFonts w:ascii="Arial" w:cs="Arial" w:eastAsia="Arial" w:hAnsi="Arial"/>
          <w:sz w:val="13"/>
          <w:szCs w:val="13"/>
          <w:color w:val="auto"/>
        </w:rPr>
        <w:t>Approximately $260.2 million and $197.1 million of the Wynn Macau Revolver bears interest at a rate of LIBOR plus 2.25% per year and HIBOR plus 2.25% per year, respectively. As of June 30, 2021, the weighted average interest rate was approximately 2.34%. As of June 30, 2021, the available borrowing capacity under the Wynn Macau Revolver was $293.2 million.</w:t>
      </w:r>
    </w:p>
    <w:p>
      <w:pPr>
        <w:ind w:left="240" w:hanging="235"/>
        <w:spacing w:after="0" w:line="235" w:lineRule="auto"/>
        <w:tabs>
          <w:tab w:leader="none" w:pos="21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WRF Credit Facilities bear interest at a rate of LIBOR plus 1.75% per year. As of June 30, 2021, the weighted average interest rate was approximately 1.86%. Additionally, as of June 30, 2021, the available borrowing capacity under the WRF Revolver was $834.2 million, net of $15.8 million in outstanding letters of credit.</w:t>
      </w:r>
    </w:p>
    <w:p>
      <w:pPr>
        <w:ind w:left="200" w:hanging="195"/>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Retail Term Loan bears interest at a rate of LIBOR plus 1.70% per year. As of June 30, 2021, the effective interest rate was 2.70%.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Credit Facilities Refinancing Commitment</w:t>
      </w:r>
    </w:p>
    <w:p>
      <w:pPr>
        <w:spacing w:after="0" w:line="240"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August 2021, a subsidiary of WML received lender commitments for a senior unsecured revolving credit facility in an aggregate principal amount of up to $1.50 billion with a final maturity four years from inception. The Company expects to enter into the facility during the third quarter of 2021, and to use a portion of the net proceeds from borrowings under the new facility to facilitate the repayment of the outstanding $1.26 billion of borrowings under the existing Wynn Macau Credit Facilities at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340" w:right="262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June 30, 2021, management believes the Company was in compliance with all debt covenants.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40"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estimated fair value of the Company's long-term debt as of June 30, 2021 and December 31, 2020, was approximately $12.41 billion and $13.35 billion, respectively, compared to its carrying value, excluding debt issuance costs and original issue discount and premium, of $12.00 billion and $13.15 billion, respectively. The estimated fair value of the Company's long-term debt is based on recent trades, if available, and indicative pricing from market information (Level 2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 (Deficit)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40"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On February 11, 2021, the Company completed a registered public offering of 7,475,000 newly issued shares of its common stock, par value $0.01 per share, at a price of $115.00 per share for proceeds of $841.9 million, net of $17.7 million in underwriting discounts, commissions, and other expenses. The Company used $716.0 million of the proceeds from the equity offering to repay the then outstanding borrowings under the WRF Revolver, and intends to use the remaining net proceeds for general corporate purposes.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4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During the first quarter of 2020, the Company paid a cash dividend of $1.00 per share, and recorded $107.5 million as a reduction of retained earnings from cash dividends declared.</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May 6, 2020, the Company announced that it had suspended its quarterly dividend program due to the financial impact of the COVID-19 pandemic.</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4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April 16, 2021, Wynn Interactive issued a pre-emptive rights notice to its shareholders in connection with the proposed creation and issuance of new Class A shares. Upon the consummation of the share issuance in May 2021, Wynn Interactive issued 3,229 new Class A shares to noncontrolling interest holders in exchange for aggregate proceeds of $4.7 million.</w:t>
      </w:r>
    </w:p>
    <w:p>
      <w:pPr>
        <w:spacing w:after="0" w:line="216" w:lineRule="exact"/>
        <w:rPr>
          <w:sz w:val="20"/>
          <w:szCs w:val="20"/>
          <w:color w:val="auto"/>
        </w:rPr>
      </w:pPr>
    </w:p>
    <w:p>
      <w:pPr>
        <w:ind w:firstLine="395"/>
        <w:spacing w:after="0" w:line="324" w:lineRule="auto"/>
        <w:rPr>
          <w:sz w:val="20"/>
          <w:szCs w:val="20"/>
          <w:color w:val="auto"/>
        </w:rPr>
      </w:pPr>
      <w:r>
        <w:rPr>
          <w:rFonts w:ascii="Arial" w:cs="Arial" w:eastAsia="Arial" w:hAnsi="Arial"/>
          <w:sz w:val="16"/>
          <w:szCs w:val="16"/>
          <w:color w:val="auto"/>
        </w:rPr>
        <w:t>The WML board of directors concluded not to recommend the payment of a dividend with respect to either of the years ended December 31, 2020 or 2019 due to the financial impact of the COVID-19 pandemic. As such, WML paid no dividends during 2020 or the six months ended June 30, 2021.</w:t>
      </w:r>
    </w:p>
    <w:p>
      <w:pPr>
        <w:spacing w:after="0" w:line="161"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During the six months ended June 30, 2021 and 2020, the Retail Joint Venture made aggregate distributions of approximately $6.48 million and $1.0 million, respectively, to its noncontrolling interest holder. For more information on the Retail Joint Venture, see Note 16, "Retail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340" w:right="262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2"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b w:val="1"/>
          <w:bCs w:val="1"/>
          <w:color w:val="auto"/>
        </w:rPr>
        <w:t>Note 9 -</w:t>
      </w:r>
      <w:r>
        <w:rPr>
          <w:sz w:val="20"/>
          <w:szCs w:val="20"/>
          <w:color w:val="auto"/>
        </w:rPr>
        <w:tab/>
      </w:r>
      <w:r>
        <w:rPr>
          <w:rFonts w:ascii="Arial" w:cs="Arial" w:eastAsia="Arial" w:hAnsi="Arial"/>
          <w:sz w:val="16"/>
          <w:szCs w:val="16"/>
          <w:b w:val="1"/>
          <w:bCs w:val="1"/>
          <w:color w:val="auto"/>
        </w:rPr>
        <w:t>Fair Value Measurements</w:t>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70"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845"/>
              <w:spacing w:after="0"/>
              <w:rPr>
                <w:sz w:val="20"/>
                <w:szCs w:val="20"/>
                <w:color w:val="auto"/>
              </w:rPr>
            </w:pPr>
            <w:r>
              <w:rPr>
                <w:rFonts w:ascii="Arial" w:cs="Arial" w:eastAsia="Arial" w:hAnsi="Arial"/>
                <w:sz w:val="14"/>
                <w:szCs w:val="14"/>
                <w:b w:val="1"/>
                <w:bCs w:val="1"/>
                <w:color w:val="auto"/>
                <w:w w:val="90"/>
              </w:rPr>
              <w:t>Fair Value Measurements Using:</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0" w:lineRule="exact"/>
              <w:rPr>
                <w:sz w:val="20"/>
                <w:szCs w:val="20"/>
                <w:color w:val="auto"/>
              </w:rPr>
            </w:pPr>
            <w:r>
              <w:rPr>
                <w:rFonts w:ascii="Arial" w:cs="Arial" w:eastAsia="Arial" w:hAnsi="Arial"/>
                <w:sz w:val="14"/>
                <w:szCs w:val="14"/>
                <w:b w:val="1"/>
                <w:bCs w:val="1"/>
                <w:color w:val="auto"/>
                <w:w w:val="89"/>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1"/>
                <w:szCs w:val="11"/>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2" w:lineRule="exact"/>
              <w:rPr>
                <w:sz w:val="20"/>
                <w:szCs w:val="20"/>
                <w:color w:val="auto"/>
              </w:rPr>
            </w:pPr>
            <w:r>
              <w:rPr>
                <w:rFonts w:ascii="Arial" w:cs="Arial" w:eastAsia="Arial" w:hAnsi="Arial"/>
                <w:sz w:val="14"/>
                <w:szCs w:val="14"/>
                <w:b w:val="1"/>
                <w:bCs w:val="1"/>
                <w:color w:val="auto"/>
                <w:w w:val="89"/>
              </w:rPr>
              <w:t>Prices in</w:t>
            </w:r>
          </w:p>
        </w:tc>
        <w:tc>
          <w:tcPr>
            <w:tcW w:w="2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20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90"/>
              </w:rPr>
              <w:t>Active</w:t>
            </w:r>
          </w:p>
        </w:tc>
        <w:tc>
          <w:tcPr>
            <w:tcW w:w="240" w:type="dxa"/>
            <w:vAlign w:val="bottom"/>
          </w:tcPr>
          <w:p>
            <w:pPr>
              <w:spacing w:after="0"/>
              <w:rPr>
                <w:sz w:val="11"/>
                <w:szCs w:val="11"/>
                <w:color w:val="auto"/>
              </w:rPr>
            </w:pPr>
          </w:p>
        </w:tc>
        <w:tc>
          <w:tcPr>
            <w:tcW w:w="1540" w:type="dxa"/>
            <w:vAlign w:val="bottom"/>
            <w:gridSpan w:val="3"/>
          </w:tcPr>
          <w:p>
            <w:pPr>
              <w:jc w:val="center"/>
              <w:ind w:right="580"/>
              <w:spacing w:after="0" w:line="132" w:lineRule="exact"/>
              <w:rPr>
                <w:sz w:val="20"/>
                <w:szCs w:val="20"/>
                <w:color w:val="auto"/>
              </w:rPr>
            </w:pPr>
            <w:r>
              <w:rPr>
                <w:rFonts w:ascii="Arial" w:cs="Arial" w:eastAsia="Arial" w:hAnsi="Arial"/>
                <w:sz w:val="14"/>
                <w:szCs w:val="14"/>
                <w:b w:val="1"/>
                <w:bCs w:val="1"/>
                <w:color w:val="auto"/>
                <w:w w:val="89"/>
              </w:rPr>
              <w:t>Observable</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94"/>
              </w:rPr>
              <w:t>Markets</w:t>
            </w:r>
          </w:p>
        </w:tc>
        <w:tc>
          <w:tcPr>
            <w:tcW w:w="240" w:type="dxa"/>
            <w:vAlign w:val="bottom"/>
          </w:tcPr>
          <w:p>
            <w:pPr>
              <w:spacing w:after="0"/>
              <w:rPr>
                <w:sz w:val="11"/>
                <w:szCs w:val="11"/>
                <w:color w:val="auto"/>
              </w:rPr>
            </w:pPr>
          </w:p>
        </w:tc>
        <w:tc>
          <w:tcPr>
            <w:tcW w:w="1540" w:type="dxa"/>
            <w:vAlign w:val="bottom"/>
            <w:gridSpan w:val="3"/>
          </w:tcPr>
          <w:p>
            <w:pPr>
              <w:jc w:val="center"/>
              <w:ind w:right="560"/>
              <w:spacing w:after="0" w:line="132" w:lineRule="exact"/>
              <w:rPr>
                <w:sz w:val="20"/>
                <w:szCs w:val="20"/>
                <w:color w:val="auto"/>
              </w:rPr>
            </w:pPr>
            <w:r>
              <w:rPr>
                <w:rFonts w:ascii="Arial" w:cs="Arial" w:eastAsia="Arial" w:hAnsi="Arial"/>
                <w:sz w:val="14"/>
                <w:szCs w:val="14"/>
                <w:b w:val="1"/>
                <w:bCs w:val="1"/>
                <w:color w:val="auto"/>
                <w:w w:val="90"/>
              </w:rPr>
              <w:t>Inputs</w:t>
            </w:r>
          </w:p>
        </w:tc>
        <w:tc>
          <w:tcPr>
            <w:tcW w:w="1200" w:type="dxa"/>
            <w:vAlign w:val="bottom"/>
          </w:tcPr>
          <w:p>
            <w:pPr>
              <w:jc w:val="center"/>
              <w:ind w:right="141"/>
              <w:spacing w:after="0" w:line="132"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5"/>
                <w:szCs w:val="15"/>
                <w:color w:val="auto"/>
              </w:rPr>
            </w:pPr>
          </w:p>
        </w:tc>
        <w:tc>
          <w:tcPr>
            <w:tcW w:w="15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(Level 2)</w:t>
            </w:r>
          </w:p>
        </w:tc>
        <w:tc>
          <w:tcPr>
            <w:tcW w:w="1200" w:type="dxa"/>
            <w:vAlign w:val="bottom"/>
          </w:tcPr>
          <w:p>
            <w:pPr>
              <w:jc w:val="center"/>
              <w:ind w:right="161"/>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4"/>
        </w:trPr>
        <w:tc>
          <w:tcPr>
            <w:tcW w:w="51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365,589</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365,589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22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6"/>
        </w:trPr>
        <w:tc>
          <w:tcPr>
            <w:tcW w:w="5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gridSpan w:val="6"/>
          </w:tcPr>
          <w:p>
            <w:pPr>
              <w:jc w:val="center"/>
              <w:ind w:left="845"/>
              <w:spacing w:after="0"/>
              <w:rPr>
                <w:sz w:val="20"/>
                <w:szCs w:val="20"/>
                <w:color w:val="auto"/>
              </w:rPr>
            </w:pPr>
            <w:r>
              <w:rPr>
                <w:rFonts w:ascii="Arial" w:cs="Arial" w:eastAsia="Arial" w:hAnsi="Arial"/>
                <w:sz w:val="14"/>
                <w:szCs w:val="14"/>
                <w:b w:val="1"/>
                <w:bCs w:val="1"/>
                <w:color w:val="auto"/>
                <w:w w:val="90"/>
              </w:rPr>
              <w:t>Fair Value Measurements Using:</w:t>
            </w: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0"/>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0" w:lineRule="exact"/>
              <w:rPr>
                <w:sz w:val="20"/>
                <w:szCs w:val="20"/>
                <w:color w:val="auto"/>
              </w:rPr>
            </w:pPr>
            <w:r>
              <w:rPr>
                <w:rFonts w:ascii="Arial" w:cs="Arial" w:eastAsia="Arial" w:hAnsi="Arial"/>
                <w:sz w:val="14"/>
                <w:szCs w:val="14"/>
                <w:b w:val="1"/>
                <w:bCs w:val="1"/>
                <w:color w:val="auto"/>
                <w:w w:val="89"/>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1"/>
                <w:szCs w:val="11"/>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2" w:lineRule="exact"/>
              <w:rPr>
                <w:sz w:val="20"/>
                <w:szCs w:val="20"/>
                <w:color w:val="auto"/>
              </w:rPr>
            </w:pPr>
            <w:r>
              <w:rPr>
                <w:rFonts w:ascii="Arial" w:cs="Arial" w:eastAsia="Arial" w:hAnsi="Arial"/>
                <w:sz w:val="14"/>
                <w:szCs w:val="14"/>
                <w:b w:val="1"/>
                <w:bCs w:val="1"/>
                <w:color w:val="auto"/>
                <w:w w:val="89"/>
              </w:rPr>
              <w:t>Prices in</w:t>
            </w:r>
          </w:p>
        </w:tc>
        <w:tc>
          <w:tcPr>
            <w:tcW w:w="2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20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90"/>
              </w:rPr>
              <w:t>Active</w:t>
            </w:r>
          </w:p>
        </w:tc>
        <w:tc>
          <w:tcPr>
            <w:tcW w:w="240" w:type="dxa"/>
            <w:vAlign w:val="bottom"/>
          </w:tcPr>
          <w:p>
            <w:pPr>
              <w:spacing w:after="0"/>
              <w:rPr>
                <w:sz w:val="11"/>
                <w:szCs w:val="11"/>
                <w:color w:val="auto"/>
              </w:rPr>
            </w:pPr>
          </w:p>
        </w:tc>
        <w:tc>
          <w:tcPr>
            <w:tcW w:w="1540" w:type="dxa"/>
            <w:vAlign w:val="bottom"/>
            <w:gridSpan w:val="3"/>
          </w:tcPr>
          <w:p>
            <w:pPr>
              <w:jc w:val="center"/>
              <w:ind w:right="580"/>
              <w:spacing w:after="0" w:line="132" w:lineRule="exact"/>
              <w:rPr>
                <w:sz w:val="20"/>
                <w:szCs w:val="20"/>
                <w:color w:val="auto"/>
              </w:rPr>
            </w:pPr>
            <w:r>
              <w:rPr>
                <w:rFonts w:ascii="Arial" w:cs="Arial" w:eastAsia="Arial" w:hAnsi="Arial"/>
                <w:sz w:val="14"/>
                <w:szCs w:val="14"/>
                <w:b w:val="1"/>
                <w:bCs w:val="1"/>
                <w:color w:val="auto"/>
                <w:w w:val="89"/>
              </w:rPr>
              <w:t>Observable</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94"/>
              </w:rPr>
              <w:t>Markets</w:t>
            </w:r>
          </w:p>
        </w:tc>
        <w:tc>
          <w:tcPr>
            <w:tcW w:w="240" w:type="dxa"/>
            <w:vAlign w:val="bottom"/>
          </w:tcPr>
          <w:p>
            <w:pPr>
              <w:spacing w:after="0"/>
              <w:rPr>
                <w:sz w:val="11"/>
                <w:szCs w:val="11"/>
                <w:color w:val="auto"/>
              </w:rPr>
            </w:pPr>
          </w:p>
        </w:tc>
        <w:tc>
          <w:tcPr>
            <w:tcW w:w="1540" w:type="dxa"/>
            <w:vAlign w:val="bottom"/>
            <w:gridSpan w:val="3"/>
          </w:tcPr>
          <w:p>
            <w:pPr>
              <w:jc w:val="center"/>
              <w:ind w:right="560"/>
              <w:spacing w:after="0" w:line="132" w:lineRule="exact"/>
              <w:rPr>
                <w:sz w:val="20"/>
                <w:szCs w:val="20"/>
                <w:color w:val="auto"/>
              </w:rPr>
            </w:pPr>
            <w:r>
              <w:rPr>
                <w:rFonts w:ascii="Arial" w:cs="Arial" w:eastAsia="Arial" w:hAnsi="Arial"/>
                <w:sz w:val="14"/>
                <w:szCs w:val="14"/>
                <w:b w:val="1"/>
                <w:bCs w:val="1"/>
                <w:color w:val="auto"/>
                <w:w w:val="90"/>
              </w:rPr>
              <w:t>Inputs</w:t>
            </w:r>
          </w:p>
        </w:tc>
        <w:tc>
          <w:tcPr>
            <w:tcW w:w="1200" w:type="dxa"/>
            <w:vAlign w:val="bottom"/>
          </w:tcPr>
          <w:p>
            <w:pPr>
              <w:jc w:val="center"/>
              <w:ind w:right="141"/>
              <w:spacing w:after="0" w:line="132"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5"/>
                <w:szCs w:val="15"/>
                <w:color w:val="auto"/>
              </w:rPr>
            </w:pPr>
          </w:p>
        </w:tc>
        <w:tc>
          <w:tcPr>
            <w:tcW w:w="15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(Level 2)</w:t>
            </w:r>
          </w:p>
        </w:tc>
        <w:tc>
          <w:tcPr>
            <w:tcW w:w="1200" w:type="dxa"/>
            <w:vAlign w:val="bottom"/>
          </w:tcPr>
          <w:p>
            <w:pPr>
              <w:jc w:val="center"/>
              <w:ind w:right="161"/>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4"/>
        </w:trPr>
        <w:tc>
          <w:tcPr>
            <w:tcW w:w="51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980,580</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504,980</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475,600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22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16,908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10 - Customer Contract Liabilities</w:t>
      </w:r>
    </w:p>
    <w:p>
      <w:pPr>
        <w:spacing w:after="0" w:line="246" w:lineRule="exact"/>
        <w:rPr>
          <w:sz w:val="20"/>
          <w:szCs w:val="20"/>
          <w:color w:val="auto"/>
        </w:rPr>
      </w:pPr>
    </w:p>
    <w:p>
      <w:pPr>
        <w:jc w:val="both"/>
        <w:ind w:left="100" w:firstLine="395"/>
        <w:spacing w:after="0" w:line="261"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55"/>
              <w:spacing w:after="0"/>
              <w:rPr>
                <w:sz w:val="20"/>
                <w:szCs w:val="20"/>
                <w:color w:val="auto"/>
              </w:rPr>
            </w:pPr>
            <w:r>
              <w:rPr>
                <w:rFonts w:ascii="Arial" w:cs="Arial" w:eastAsia="Arial" w:hAnsi="Arial"/>
                <w:sz w:val="14"/>
                <w:szCs w:val="14"/>
                <w:b w:val="1"/>
                <w:bCs w:val="1"/>
                <w:color w:val="auto"/>
                <w:w w:val="87"/>
              </w:rPr>
              <w:t>June 30, 2021</w:t>
            </w:r>
          </w:p>
        </w:tc>
        <w:tc>
          <w:tcPr>
            <w:tcW w:w="2560" w:type="dxa"/>
            <w:vAlign w:val="bottom"/>
            <w:gridSpan w:val="6"/>
          </w:tcPr>
          <w:p>
            <w:pPr>
              <w:spacing w:after="0"/>
              <w:rPr>
                <w:sz w:val="20"/>
                <w:szCs w:val="20"/>
                <w:color w:val="auto"/>
              </w:rPr>
            </w:pPr>
            <w:r>
              <w:rPr>
                <w:rFonts w:ascii="Arial" w:cs="Arial" w:eastAsia="Arial" w:hAnsi="Arial"/>
                <w:sz w:val="14"/>
                <w:szCs w:val="14"/>
                <w:b w:val="1"/>
                <w:bCs w:val="1"/>
                <w:color w:val="auto"/>
                <w:w w:val="97"/>
              </w:rPr>
              <w:t>December 31, 2020 Increase (decrease)</w:t>
            </w:r>
          </w:p>
        </w:tc>
        <w:tc>
          <w:tcPr>
            <w:tcW w:w="1060" w:type="dxa"/>
            <w:vAlign w:val="bottom"/>
          </w:tcPr>
          <w:p>
            <w:pPr>
              <w:jc w:val="right"/>
              <w:ind w:right="155"/>
              <w:spacing w:after="0"/>
              <w:rPr>
                <w:sz w:val="20"/>
                <w:szCs w:val="20"/>
                <w:color w:val="auto"/>
              </w:rPr>
            </w:pPr>
            <w:r>
              <w:rPr>
                <w:rFonts w:ascii="Arial" w:cs="Arial" w:eastAsia="Arial" w:hAnsi="Arial"/>
                <w:sz w:val="14"/>
                <w:szCs w:val="14"/>
                <w:b w:val="1"/>
                <w:bCs w:val="1"/>
                <w:color w:val="auto"/>
                <w:w w:val="87"/>
              </w:rPr>
              <w:t>June 30, 2020</w:t>
            </w:r>
          </w:p>
        </w:tc>
        <w:tc>
          <w:tcPr>
            <w:tcW w:w="2440" w:type="dxa"/>
            <w:vAlign w:val="bottom"/>
            <w:gridSpan w:val="5"/>
          </w:tcPr>
          <w:p>
            <w:pPr>
              <w:jc w:val="right"/>
              <w:spacing w:after="0"/>
              <w:rPr>
                <w:sz w:val="20"/>
                <w:szCs w:val="20"/>
                <w:color w:val="auto"/>
              </w:rPr>
            </w:pPr>
            <w:r>
              <w:rPr>
                <w:rFonts w:ascii="Arial" w:cs="Arial" w:eastAsia="Arial" w:hAnsi="Arial"/>
                <w:sz w:val="14"/>
                <w:szCs w:val="14"/>
                <w:b w:val="1"/>
                <w:bCs w:val="1"/>
                <w:color w:val="auto"/>
                <w:w w:val="89"/>
              </w:rPr>
              <w:t>December 31, 2019 Increase (decrease)</w:t>
            </w: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w w:val="88"/>
              </w:rPr>
              <w:t xml:space="preserve">asino outstanding chips and front money deposits </w:t>
            </w:r>
            <w:r>
              <w:rPr>
                <w:rFonts w:ascii="Arial" w:cs="Arial" w:eastAsia="Arial" w:hAnsi="Arial"/>
                <w:sz w:val="14"/>
                <w:szCs w:val="14"/>
                <w:color w:val="auto"/>
                <w:w w:val="88"/>
              </w:rPr>
              <w:t>(1)</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431,536$</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596,463$</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(164,927)$</w:t>
            </w:r>
          </w:p>
        </w:tc>
        <w:tc>
          <w:tcPr>
            <w:tcW w:w="1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904,792$</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769,053$</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135,739</w:t>
            </w:r>
          </w:p>
        </w:tc>
      </w:tr>
      <w:tr>
        <w:trPr>
          <w:trHeight w:val="224"/>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 xml:space="preserve">dvance room deposits and ticket sales </w:t>
            </w:r>
            <w:r>
              <w:rPr>
                <w:rFonts w:ascii="Arial" w:cs="Arial" w:eastAsia="Arial" w:hAnsi="Arial"/>
                <w:sz w:val="14"/>
                <w:szCs w:val="14"/>
                <w:color w:val="auto"/>
              </w:rPr>
              <w:t>(2)</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56,208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29,224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26,984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28,874</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49,834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(20,960)</w:t>
            </w:r>
          </w:p>
        </w:tc>
      </w:tr>
      <w:tr>
        <w:trPr>
          <w:trHeight w:val="224"/>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 xml:space="preserve">ther gaming-related liabilities </w:t>
            </w:r>
            <w:r>
              <w:rPr>
                <w:rFonts w:ascii="Arial" w:cs="Arial" w:eastAsia="Arial" w:hAnsi="Arial"/>
                <w:sz w:val="14"/>
                <w:szCs w:val="14"/>
                <w:color w:val="auto"/>
              </w:rPr>
              <w:t>(3)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10,333</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7,882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13,970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(8,378)</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 xml:space="preserve">oyalty program and related liabilities </w:t>
            </w:r>
            <w:r>
              <w:rPr>
                <w:rFonts w:ascii="Arial" w:cs="Arial" w:eastAsia="Arial" w:hAnsi="Arial"/>
                <w:sz w:val="14"/>
                <w:szCs w:val="14"/>
                <w:color w:val="auto"/>
              </w:rPr>
              <w:t>(4)</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29,260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22,736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6,524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21,566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21,148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42"/>
        </w:trPr>
        <w:tc>
          <w:tcPr>
            <w:tcW w:w="100" w:type="dxa"/>
            <w:vAlign w:val="bottom"/>
          </w:tcPr>
          <w:p>
            <w:pPr>
              <w:spacing w:after="0"/>
              <w:rPr>
                <w:sz w:val="20"/>
                <w:szCs w:val="20"/>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527,337$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656,305$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(128,968)$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960,824$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854,005$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106,819</w:t>
            </w:r>
          </w:p>
        </w:tc>
      </w:tr>
      <w:tr>
        <w:trPr>
          <w:trHeight w:val="20"/>
        </w:trPr>
        <w:tc>
          <w:tcPr>
            <w:tcW w:w="10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-759460</wp:posOffset>
            </wp:positionV>
            <wp:extent cx="6985635" cy="150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5635" cy="15049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-467360</wp:posOffset>
            </wp:positionV>
            <wp:extent cx="6985635" cy="142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5635" cy="142240"/>
                    </a:xfrm>
                    <a:prstGeom prst="rect">
                      <a:avLst/>
                    </a:prstGeom>
                    <a:noFill/>
                  </pic:spPr>
                </pic:pic>
              </a:graphicData>
            </a:graphic>
          </wp:anchor>
        </w:drawing>
      </w:r>
    </w:p>
    <w:p>
      <w:pPr>
        <w:spacing w:after="0" w:line="54" w:lineRule="exact"/>
        <w:rPr>
          <w:sz w:val="20"/>
          <w:szCs w:val="20"/>
          <w:color w:val="auto"/>
        </w:rPr>
      </w:pPr>
    </w:p>
    <w:p>
      <w:pPr>
        <w:jc w:val="both"/>
        <w:ind w:left="340" w:hanging="235"/>
        <w:spacing w:after="0" w:line="241" w:lineRule="auto"/>
        <w:tabs>
          <w:tab w:leader="none" w:pos="321"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jc w:val="both"/>
        <w:ind w:left="340" w:hanging="235"/>
        <w:spacing w:after="0" w:line="253" w:lineRule="auto"/>
        <w:tabs>
          <w:tab w:leader="none" w:pos="301" w:val="left"/>
        </w:tabs>
        <w:numPr>
          <w:ilvl w:val="0"/>
          <w:numId w:val="5"/>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340" w:hanging="235"/>
        <w:spacing w:after="0" w:line="235" w:lineRule="auto"/>
        <w:tabs>
          <w:tab w:leader="none" w:pos="315"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340" w:hanging="235"/>
        <w:spacing w:after="0" w:line="244" w:lineRule="auto"/>
        <w:tabs>
          <w:tab w:leader="none" w:pos="301" w:val="left"/>
        </w:tabs>
        <w:numPr>
          <w:ilvl w:val="0"/>
          <w:numId w:val="5"/>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64135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340" w:right="262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52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17"/>
        </w:trPr>
        <w:tc>
          <w:tcPr>
            <w:tcW w:w="52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 xml:space="preserve">Casino </w:t>
            </w:r>
            <w:r>
              <w:rPr>
                <w:rFonts w:ascii="Arial" w:cs="Arial" w:eastAsia="Arial" w:hAnsi="Arial"/>
                <w:sz w:val="14"/>
                <w:szCs w:val="14"/>
                <w:color w:val="auto"/>
              </w:rPr>
              <w:t>(1)</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Rooms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and beverage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(2)</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4"/>
                <w:szCs w:val="14"/>
                <w:color w:val="auto"/>
              </w:rPr>
              <w:t>(3)</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15,275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16,792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25,993</w:t>
            </w:r>
          </w:p>
        </w:tc>
      </w:tr>
      <w:tr>
        <w:trPr>
          <w:trHeight w:val="217"/>
        </w:trPr>
        <w:tc>
          <w:tcPr>
            <w:tcW w:w="5220" w:type="dxa"/>
            <w:vAlign w:val="bottom"/>
          </w:tcPr>
          <w:p>
            <w:pPr>
              <w:ind w:left="340"/>
              <w:spacing w:after="0"/>
              <w:rPr>
                <w:sz w:val="20"/>
                <w:szCs w:val="20"/>
                <w:color w:val="auto"/>
              </w:rPr>
            </w:pPr>
            <w:r>
              <w:rPr>
                <w:rFonts w:ascii="Arial" w:cs="Arial" w:eastAsia="Arial" w:hAnsi="Arial"/>
                <w:sz w:val="18"/>
                <w:szCs w:val="18"/>
                <w:b w:val="1"/>
                <w:bCs w:val="1"/>
                <w:color w:val="auto"/>
              </w:rPr>
              <w:t>Total stock-based compensation expense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7"/>
              </w:rPr>
              <w:t>25,107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7"/>
              </w:rPr>
              <w:t>21,084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49,453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30,448</w:t>
            </w:r>
          </w:p>
        </w:tc>
      </w:tr>
      <w:tr>
        <w:trPr>
          <w:trHeight w:val="224"/>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capitalized</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17"/>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Total stock-based compensation costs</w:t>
            </w:r>
          </w:p>
        </w:tc>
        <w:tc>
          <w:tcPr>
            <w:tcW w:w="860" w:type="dxa"/>
            <w:vAlign w:val="bottom"/>
            <w:tcBorders>
              <w:bottom w:val="single" w:sz="8" w:color="auto"/>
            </w:tcBorders>
          </w:tcPr>
          <w:p>
            <w:pPr>
              <w:jc w:val="right"/>
              <w:ind w:right="661"/>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26,231</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21,570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51,482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31,151</w:t>
            </w:r>
          </w:p>
        </w:tc>
      </w:tr>
      <w:tr>
        <w:trPr>
          <w:trHeight w:val="20"/>
        </w:trPr>
        <w:tc>
          <w:tcPr>
            <w:tcW w:w="5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200" w:hanging="195"/>
        <w:spacing w:after="0"/>
        <w:tabs>
          <w:tab w:leader="none" w:pos="200" w:val="left"/>
        </w:tabs>
        <w:numPr>
          <w:ilvl w:val="0"/>
          <w:numId w:val="6"/>
        </w:numPr>
        <w:rPr>
          <w:rFonts w:ascii="Arial" w:cs="Arial" w:eastAsia="Arial" w:hAnsi="Arial"/>
          <w:sz w:val="13"/>
          <w:szCs w:val="13"/>
          <w:color w:val="auto"/>
        </w:rPr>
      </w:pPr>
      <w:r>
        <w:rPr>
          <w:rFonts w:ascii="Arial" w:cs="Arial" w:eastAsia="Arial" w:hAnsi="Arial"/>
          <w:sz w:val="13"/>
          <w:szCs w:val="13"/>
          <w:color w:val="auto"/>
        </w:rPr>
        <w:t>For the six months ended June 30, 2020, reflects the reversal of $3.3 million of compensation cost previously recognized for awards forfeited in connection with the departure of an employee.</w:t>
      </w:r>
    </w:p>
    <w:p>
      <w:pPr>
        <w:spacing w:after="0" w:line="20" w:lineRule="exact"/>
        <w:rPr>
          <w:rFonts w:ascii="Arial" w:cs="Arial" w:eastAsia="Arial" w:hAnsi="Arial"/>
          <w:sz w:val="13"/>
          <w:szCs w:val="13"/>
          <w:color w:val="auto"/>
        </w:rPr>
      </w:pPr>
    </w:p>
    <w:p>
      <w:pPr>
        <w:ind w:left="240" w:hanging="235"/>
        <w:spacing w:after="0" w:line="235" w:lineRule="auto"/>
        <w:tabs>
          <w:tab w:leader="none" w:pos="215"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and six months ended June 30, 2021, reflects compensation cost of $1.4 million and $2.7 million, respectively, recognized in connection with the vesting of restricted stock performance awards.</w:t>
      </w:r>
    </w:p>
    <w:p>
      <w:pPr>
        <w:ind w:left="200" w:hanging="195"/>
        <w:spacing w:after="0"/>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and six months ended June 30, 2020, reflects compensation cost of $4.4 million recognized in connection with the vesting of restricted stock performance awards.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46"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Company recorded an income tax expense of $0.7 million and $80.9 million for the three months ended June 30, 2021 and 2020, respectively and an income tax expense of $1.2 million and $156.7 million for the six months ended June 30, 2021 and 2020, respectively. The 2021 income tax expense primarily related to an increase in valuation allowance for U.S deferred tax assets and to the Macau dividend tax agreement that provides for an annual payment of MOP 12.8 million (approximately $1.6 million) as complementary tax otherwise due by stockholders of Wynn Macau SA. The 2020 income tax expense primarily related to the increase in the valuation allowance for U.S. foreign tax credits.</w:t>
      </w:r>
    </w:p>
    <w:p>
      <w:pPr>
        <w:spacing w:after="0" w:line="18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March 2021, the Company received an extension of its Macau dividend tax agreement, providing for a payment of MOP 12.8 million (approximately $1.6 million) for 2021 and MOP 6.3 million (approximately $0.8 million) for the period ending June 26, 2022, the expiration date of the gaming concession agreement.</w:t>
      </w:r>
    </w:p>
    <w:p>
      <w:pPr>
        <w:spacing w:after="0" w:line="21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Company records valuation allowances on certain of its U.S. and foreign deferred tax assets. During the third quarter of 2020, the Company concluded it could no longer rely on forecasted future taxable income in assessing a valuation allowance on its deferred tax assets. This conclusion was reached due to cumulative operating losses incurred by the Company and tax legislation that reduced future sources of taxable income. As of June 30, 2021, the Company continues to rely solely on the reversal of net taxable temporary differences in assessing a need for a valuation allowance.</w:t>
      </w:r>
    </w:p>
    <w:p>
      <w:pPr>
        <w:spacing w:after="0" w:line="18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April 2020, Wynn Macau SA received an extension of the exemption from Macau’s 12% Complementary Tax on casino gaming profits earned from January 1, 2021 to June 26, 2022, the expiration date of the gaming concession agreement.</w:t>
      </w:r>
    </w:p>
    <w:p>
      <w:pPr>
        <w:spacing w:after="0" w:line="20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the three and six months ended June 30, 2021 and 2020, the Company did not have any casino gaming profits exempt from the Macau Complementary Tax. The Company's non-gaming profits remain subject to the Macau Complementary Tax and its casino winnings remain subject to the Macau special gaming tax and other levies in accordance with its concession agreement.</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March 2021, the Financial Services Bureau concluded its review of the 2017 and 2018 Macau income tax returns of Palo with no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340" w:right="262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246"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Basic earnings per share ("EPS") is computed by dividing net loss attributable to Wynn Resorts by the weighted average number of common shares outstanding during the period. Diluted EPS is computed by dividing net loss attributable to Wynn Resorts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outstanding stock options and unvested restricted stock.</w:t>
      </w:r>
    </w:p>
    <w:p>
      <w:pPr>
        <w:spacing w:after="0" w:line="22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2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2"/>
        </w:trPr>
        <w:tc>
          <w:tcPr>
            <w:tcW w:w="54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4"/>
        </w:trPr>
        <w:tc>
          <w:tcPr>
            <w:tcW w:w="54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(131,369)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(637,564)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(412,347)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(1,039,601)</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106,688</w:t>
            </w:r>
          </w:p>
        </w:tc>
        <w:tc>
          <w:tcPr>
            <w:tcW w:w="0" w:type="dxa"/>
            <w:vAlign w:val="bottom"/>
          </w:tcPr>
          <w:p>
            <w:pPr>
              <w:spacing w:after="0"/>
              <w:rPr>
                <w:sz w:val="1"/>
                <w:szCs w:val="1"/>
                <w:color w:val="auto"/>
              </w:rPr>
            </w:pPr>
          </w:p>
        </w:tc>
      </w:tr>
      <w:tr>
        <w:trPr>
          <w:trHeight w:val="172"/>
        </w:trPr>
        <w:tc>
          <w:tcPr>
            <w:tcW w:w="5420" w:type="dxa"/>
            <w:vAlign w:val="bottom"/>
          </w:tcPr>
          <w:p>
            <w:pPr>
              <w:ind w:left="220"/>
              <w:spacing w:after="0" w:line="172" w:lineRule="exact"/>
              <w:rPr>
                <w:sz w:val="20"/>
                <w:szCs w:val="20"/>
                <w:color w:val="auto"/>
              </w:rPr>
            </w:pPr>
            <w:r>
              <w:rPr>
                <w:rFonts w:ascii="Arial" w:cs="Arial" w:eastAsia="Arial" w:hAnsi="Arial"/>
                <w:sz w:val="18"/>
                <w:szCs w:val="18"/>
                <w:color w:val="auto"/>
                <w:w w:val="94"/>
              </w:rPr>
              <w:t>Potential dilutive effect of stock options, nonvested, and performance</w:t>
            </w:r>
          </w:p>
        </w:tc>
        <w:tc>
          <w:tcPr>
            <w:tcW w:w="32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Pr>
          <w:p>
            <w:pPr>
              <w:ind w:left="220"/>
              <w:spacing w:after="0"/>
              <w:rPr>
                <w:sz w:val="20"/>
                <w:szCs w:val="20"/>
                <w:color w:val="auto"/>
              </w:rPr>
            </w:pPr>
            <w:r>
              <w:rPr>
                <w:rFonts w:ascii="Arial" w:cs="Arial" w:eastAsia="Arial" w:hAnsi="Arial"/>
                <w:sz w:val="18"/>
                <w:szCs w:val="18"/>
                <w:color w:val="auto"/>
              </w:rPr>
              <w:t>nonvested shares</w:t>
            </w:r>
          </w:p>
        </w:tc>
        <w:tc>
          <w:tcPr>
            <w:tcW w:w="3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5420" w:type="dxa"/>
            <w:vAlign w:val="bottom"/>
            <w:tcBorders>
              <w:top w:val="single" w:sz="8" w:color="CCEEFF"/>
            </w:tcBorders>
            <w:shd w:val="clear" w:color="auto" w:fill="CCEEFF"/>
          </w:tcPr>
          <w:p>
            <w:pPr>
              <w:ind w:left="220"/>
              <w:spacing w:after="0" w:line="152" w:lineRule="exact"/>
              <w:rPr>
                <w:sz w:val="20"/>
                <w:szCs w:val="20"/>
                <w:color w:val="auto"/>
              </w:rPr>
            </w:pPr>
            <w:r>
              <w:rPr>
                <w:rFonts w:ascii="Arial" w:cs="Arial" w:eastAsia="Arial" w:hAnsi="Arial"/>
                <w:sz w:val="16"/>
                <w:szCs w:val="16"/>
                <w:b w:val="1"/>
                <w:bCs w:val="1"/>
                <w:color w:val="auto"/>
              </w:rPr>
              <w:t>Weighted average common and common equivalent shares</w:t>
            </w: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114,545</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106,713</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112,792</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106,688</w:t>
            </w: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shd w:val="clear" w:color="auto" w:fill="CCEEFF"/>
          </w:tcPr>
          <w:p>
            <w:pPr>
              <w:ind w:left="220"/>
              <w:spacing w:after="0" w:line="197" w:lineRule="exact"/>
              <w:rPr>
                <w:sz w:val="20"/>
                <w:szCs w:val="20"/>
                <w:color w:val="auto"/>
              </w:rPr>
            </w:pPr>
            <w:r>
              <w:rPr>
                <w:rFonts w:ascii="Arial" w:cs="Arial" w:eastAsia="Arial" w:hAnsi="Arial"/>
                <w:sz w:val="18"/>
                <w:szCs w:val="18"/>
                <w:b w:val="1"/>
                <w:bCs w:val="1"/>
                <w:color w:val="auto"/>
              </w:rPr>
              <w:t>outstanding</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0"/>
              </w:rPr>
              <w:t>Net loss attributable to Wynn Resorts, Limited per common share, basic</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w w:val="88"/>
              </w:rPr>
              <w:t>Net loss attributable to Wynn Resorts, Limited per common share,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(5.97)</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420" w:type="dxa"/>
            <w:vAlign w:val="bottom"/>
          </w:tcPr>
          <w:p>
            <w:pPr>
              <w:ind w:left="220"/>
              <w:spacing w:after="0" w:line="172" w:lineRule="exact"/>
              <w:rPr>
                <w:sz w:val="20"/>
                <w:szCs w:val="20"/>
                <w:color w:val="auto"/>
              </w:rPr>
            </w:pPr>
            <w:r>
              <w:rPr>
                <w:rFonts w:ascii="Arial" w:cs="Arial" w:eastAsia="Arial" w:hAnsi="Arial"/>
                <w:sz w:val="18"/>
                <w:szCs w:val="18"/>
                <w:color w:val="auto"/>
                <w:w w:val="87"/>
              </w:rPr>
              <w:t>Anti-dilutive stock options, nonvested, and performance nonvested shares</w:t>
            </w: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197"/>
        </w:trPr>
        <w:tc>
          <w:tcPr>
            <w:tcW w:w="5420" w:type="dxa"/>
            <w:vAlign w:val="bottom"/>
          </w:tcPr>
          <w:p>
            <w:pPr>
              <w:ind w:left="220"/>
              <w:spacing w:after="0" w:line="196" w:lineRule="exact"/>
              <w:rPr>
                <w:sz w:val="20"/>
                <w:szCs w:val="20"/>
                <w:color w:val="auto"/>
              </w:rPr>
            </w:pPr>
            <w:r>
              <w:rPr>
                <w:rFonts w:ascii="Arial" w:cs="Arial" w:eastAsia="Arial" w:hAnsi="Arial"/>
                <w:sz w:val="18"/>
                <w:szCs w:val="18"/>
                <w:color w:val="auto"/>
              </w:rPr>
              <w:t>excluded from the calculation of diluted net income per share</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minimum and contingent operating lease income for the periods presented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94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20" w:type="dxa"/>
            <w:vAlign w:val="bottom"/>
            <w:gridSpan w:val="4"/>
          </w:tcPr>
          <w:p>
            <w:pPr>
              <w:jc w:val="right"/>
              <w:ind w:right="517"/>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544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rental income</w:t>
            </w: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59,723</w:t>
            </w:r>
          </w:p>
        </w:tc>
      </w:tr>
      <w:tr>
        <w:trPr>
          <w:trHeight w:val="22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rental income</w:t>
            </w: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30,110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w:t>
            </w: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55,328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29,912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104,072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68,242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340" w:right="262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40"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Gaming License Related Actions</w:t>
      </w:r>
    </w:p>
    <w:p>
      <w:pPr>
        <w:spacing w:after="0" w:line="24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(the "Boston area license"). On November 7, 2014, the gaming license became effective.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Revere Action</w:t>
      </w:r>
    </w:p>
    <w:p>
      <w:pPr>
        <w:spacing w:after="0" w:line="240"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On October 16, 2014, the City of Revere, the host community to the unsuccessful bidder for the Boston area license, the International Brotherhood of Electrical Workers, Local 103, and several individuals, filed a complaint against the MGC and its gaming commissioners in Suffolk Superior Court in Boston, Massachusetts (the "Revere Action"). Mohegan Sun ("Mohegan"), the other applicant for the Boston area license, joined the lawsuit and challenged the MGC's award of the Boston area license. On December 3, 2015, the court granted the MGC's motion to dismiss the claims asserted in the Revere Action and the court dismissed all claims except Mohegan's claim alleging procedural error by the MGC in granting the license to Wynn MA. The plaintiffs appealed. After multiple appeals and cross appeals, only two claims remained: (1) individual plaintiffs' claim for violation of the open meeting laws; and (2) Mohegan's claim for procedural error. On July 12, 2019, the Suffolk Superior Court granted the MGC's motion for summary judgment and dismissed the open meeting law claim, leaving only Mohegan's procedural claim for procedural error.</w:t>
      </w:r>
    </w:p>
    <w:p>
      <w:pPr>
        <w:spacing w:after="0" w:line="19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On August 2, 2019, Mohegan filed a motion to file a second amended complaint, to add new claims related to the MGC's allegedly inadequate 2013 investigation. On October 15, 2019, the court granted Mohegan's motion to amend and allowed it to file a second amended intervenor's complaint.</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Wynn MA is not a party to and is not named in the Revere Action.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Litigation</w:t>
      </w:r>
    </w:p>
    <w:p>
      <w:pPr>
        <w:spacing w:after="0" w:line="240"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 number of stockholder derivative actions were filed in state and federal court located in Clark County, Nevada against certain current and former members of the Company's Board of Directors and, in some cases, the Company's current and former officers. Each of the complaints alleged, among other things, breach of fiduciary duties in failing to detect, prevent and remedy alleged inappropriate personal conduct by Stephen A. Wynn in the workplace.</w:t>
      </w:r>
    </w:p>
    <w:p>
      <w:pPr>
        <w:spacing w:after="0" w:line="18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The actions filed in the Eighth Judicial District Court of Clark County, Nevada were consolidated as </w:t>
      </w:r>
      <w:r>
        <w:rPr>
          <w:rFonts w:ascii="Arial" w:cs="Arial" w:eastAsia="Arial" w:hAnsi="Arial"/>
          <w:sz w:val="18"/>
          <w:szCs w:val="18"/>
          <w:i w:val="1"/>
          <w:iCs w:val="1"/>
          <w:color w:val="auto"/>
        </w:rPr>
        <w:t>In re Wynn Resorts, Ltd. Derivative Litigation</w:t>
      </w:r>
      <w:r>
        <w:rPr>
          <w:rFonts w:ascii="Arial" w:cs="Arial" w:eastAsia="Arial" w:hAnsi="Arial"/>
          <w:sz w:val="18"/>
          <w:szCs w:val="18"/>
          <w:color w:val="auto"/>
        </w:rPr>
        <w:t xml:space="preserve"> ("State Derivative Case").</w:t>
      </w:r>
    </w:p>
    <w:p>
      <w:pPr>
        <w:spacing w:after="0" w:line="208" w:lineRule="exact"/>
        <w:rPr>
          <w:sz w:val="20"/>
          <w:szCs w:val="20"/>
          <w:color w:val="auto"/>
        </w:rPr>
      </w:pPr>
    </w:p>
    <w:p>
      <w:pPr>
        <w:jc w:val="both"/>
        <w:ind w:firstLine="395"/>
        <w:spacing w:after="0" w:line="316" w:lineRule="auto"/>
        <w:rPr>
          <w:sz w:val="20"/>
          <w:szCs w:val="20"/>
          <w:color w:val="auto"/>
        </w:rPr>
      </w:pPr>
      <w:r>
        <w:rPr>
          <w:rFonts w:ascii="Arial" w:cs="Arial" w:eastAsia="Arial" w:hAnsi="Arial"/>
          <w:sz w:val="15"/>
          <w:szCs w:val="15"/>
          <w:color w:val="auto"/>
        </w:rPr>
        <w:t>On June 3, 2019, a separate stockholder derivative action was filed in the Eighth Judicial District Court of Clark County, Nevada alleging substantially similar causes of action as the State Derivative Case with the additional allegation that various of the Company's attorneys committed professional malpractice, and certain current and former executives also breached fiduciary duties and aided and abetted the breach of fiduciary duties, in connection with the alleged inappropriate personal conduct by Stephen A. Wynn in the workplace. This case was consolidated in September 2019 into the State Derivative Case.</w:t>
      </w:r>
    </w:p>
    <w:p>
      <w:pPr>
        <w:spacing w:after="0" w:line="17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On November 27, 2019, the State Derivative Case parties agreed to terms of a settlement agreement. The court approved the settlement agreement on February 12, 2020, and entered a written order approving the settlement on March 10, 2020. Following the Nevada Supreme Court’s dismissal of the only appeal, the settlement agreement became effective and final. Following the dismissal, the Company received net proceeds of $30.2 million, which has been recognized as a reduction of general and administrative expense within the Condensed Consolidated Statements of Operations for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340" w:right="262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 xml:space="preserve">In 2018, several actions filed in the United States District Court, District of Nevada were consolidated as </w:t>
      </w:r>
      <w:r>
        <w:rPr>
          <w:rFonts w:ascii="Arial" w:cs="Arial" w:eastAsia="Arial" w:hAnsi="Arial"/>
          <w:sz w:val="16"/>
          <w:szCs w:val="16"/>
          <w:i w:val="1"/>
          <w:iCs w:val="1"/>
          <w:color w:val="auto"/>
        </w:rPr>
        <w:t>In re Wynn Resorts, Ltd. Derivative Litigation</w:t>
      </w:r>
      <w:r>
        <w:rPr>
          <w:rFonts w:ascii="Arial" w:cs="Arial" w:eastAsia="Arial" w:hAnsi="Arial"/>
          <w:sz w:val="16"/>
          <w:szCs w:val="16"/>
          <w:color w:val="auto"/>
        </w:rPr>
        <w:t xml:space="preserve"> ("Federal Derivative Case"), which also claim corporate waste and violation of Section 14(a) of the Exchange Act. In June 2018, the Company filed a motion to dismiss and a motion to stay pending resolution of the Securities Action (described below). On March 29, 2019, the Court granted the Company's request for a stay. On March 25, 2020, the parties stipulated to dismiss the Federal Derivative Case given the approved settlement in the State Derivative Case.</w:t>
      </w:r>
    </w:p>
    <w:p>
      <w:pPr>
        <w:spacing w:after="0" w:line="17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6"/>
          <w:szCs w:val="16"/>
          <w:color w:val="auto"/>
        </w:rPr>
        <w:t>On March 25, 2019, a separate stockholder derivative action was filed in the United States District Court, District of Nevada alleging similar causes of action as the Federal Derivative Case with the additional allegation that the Board of Directors improperly refused the stockholder's demand to commence litigation against the officers and directors of the Company. On April 30, 2020, the Company filed a motion for summary judgment, seeking dismissal of the claims given the approved settlement in the State Derivative Case. On January 12, 2021, the court granted the Company’s motion for summary judgment of this action and denied the stockholder’s request to vacate the parties' stipulation to dismiss the Federal Derivative Case. On February 11, 2021, the stockholder filed a notice of appeal to the United States Court of Appeals for the Ninth Circuit. On May 12, 2021, the parties stipulated to dismiss the appeal.</w:t>
      </w:r>
    </w:p>
    <w:p>
      <w:pPr>
        <w:spacing w:after="0" w:line="20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Each of the actions sought to recover for the Company unspecified damages, including restitution and disgorgement of profits, and also sought to recover attorneys' fees, costs and related expenses for the plaintiff.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Action</w:t>
      </w:r>
    </w:p>
    <w:p>
      <w:pPr>
        <w:spacing w:after="0" w:line="240"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On July 28, 2021, the court granted in part, and denied in part, the Company's motion to dismiss the amended complaint, dismissing certain of plaintiffs' claims, including all claims against Mr. Billings and the individual directors, and allowing other claims to proceed against the Company and several of the Company's current and former executive officers, including Mr. Maddox, Stephen A. Wynn, Kimmarie Sinatra, and Steven Cootey.</w:t>
      </w:r>
    </w:p>
    <w:p>
      <w:pPr>
        <w:spacing w:after="0" w:line="20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Investigation</w:t>
      </w:r>
    </w:p>
    <w:p>
      <w:pPr>
        <w:spacing w:after="0" w:line="240"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in the first half of 2020, received two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Retail Joint Venture</w:t>
      </w:r>
    </w:p>
    <w:p>
      <w:pPr>
        <w:spacing w:after="0" w:line="24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As of June 30, 2021 and December 31, 2020, the Retail Joint Venture had total assets of $101.2 million and $96.3 million, respectively, and total liabilities of $629.1 million and $633.5 million, respectively. As of June 30, 2021 and December 31, 2020, the Retail Joint Venture's liabilities included long-term debt of $612.6 million and $612.3 million, respectively, net of debt issuance costs, related to the outstanding borrowings under the Retail Term Loan.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340" w:right="262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 Information</w:t>
      </w:r>
    </w:p>
    <w:p>
      <w:pPr>
        <w:spacing w:after="0" w:line="246"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The Company reviews the results of operations for each of its operating segments, and identifies reportable segments based upon factors such as geography, regulatory environment, and the Company's organizational and management reporting structure. Wynn Macau and Encore, an expansion at Wynn Macau, are managed as a single integrated resort and have been aggregated as one reportable segment ("Wynn Macau"). Wynn Palace is presented as a separate reportable segment and is combined with Wynn Macau for geographical presentation. Other Macau primarily represents the assets for the Company's Macau holding company. Wynn Las Vegas, Encore, an expansion at Wynn Las Vegas, and the Retail Joint Venture are managed as a single integrated resort and have been aggregated as one reportable segment ("Las Vegas Operations"). Encore Boston Harbor is presented as one reportable segment. The results of Wynn Interactive are presented within Corporate and other.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340" w:right="262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6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060" w:type="dxa"/>
            <w:vAlign w:val="bottom"/>
            <w:gridSpan w:val="4"/>
          </w:tcPr>
          <w:p>
            <w:pPr>
              <w:ind w:lef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374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374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perating revenues</w:t>
            </w:r>
          </w:p>
        </w:tc>
        <w:tc>
          <w:tcPr>
            <w:tcW w:w="14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acau Operations:</w:t>
            </w:r>
          </w:p>
        </w:tc>
        <w:tc>
          <w:tcPr>
            <w:tcW w:w="1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ynn Palace</w:t>
            </w:r>
          </w:p>
        </w:tc>
        <w:tc>
          <w:tcPr>
            <w:tcW w:w="14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Casino</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212,067$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(11,428)$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397,976$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196,148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1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Food and beverage</w:t>
            </w:r>
          </w:p>
        </w:tc>
        <w:tc>
          <w:tcPr>
            <w:tcW w:w="14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13,805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25,477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17,529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14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13,484</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46,349</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7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270,371</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8,718</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507,697</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268,231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37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ynn Macau</w:t>
            </w:r>
          </w:p>
        </w:tc>
        <w:tc>
          <w:tcPr>
            <w:tcW w:w="14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Casino</w:t>
            </w:r>
          </w:p>
        </w:tc>
        <w:tc>
          <w:tcPr>
            <w:tcW w:w="14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142,419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281,346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186,604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1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Food and beverage</w:t>
            </w:r>
          </w:p>
        </w:tc>
        <w:tc>
          <w:tcPr>
            <w:tcW w:w="14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13,215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14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38,212</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7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184,028</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11,888</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363,679</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241,377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7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Total Macau Operations</w:t>
            </w:r>
          </w:p>
        </w:tc>
        <w:tc>
          <w:tcPr>
            <w:tcW w:w="14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454,399</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20,606</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871,376</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509,608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 w:type="dxa"/>
            <w:vAlign w:val="bottom"/>
            <w:vMerge w:val="restart"/>
          </w:tcPr>
          <w:p>
            <w:pPr>
              <w:spacing w:after="0"/>
              <w:rPr>
                <w:sz w:val="20"/>
                <w:szCs w:val="20"/>
                <w:color w:val="auto"/>
              </w:rPr>
            </w:pPr>
            <w:r>
              <w:rPr>
                <w:rFonts w:ascii="Arial" w:cs="Arial" w:eastAsia="Arial" w:hAnsi="Arial"/>
                <w:sz w:val="10"/>
                <w:szCs w:val="10"/>
                <w:color w:val="auto"/>
                <w:w w:val="75"/>
              </w:rPr>
              <w:t>as</w:t>
            </w:r>
          </w:p>
        </w:tc>
        <w:tc>
          <w:tcPr>
            <w:tcW w:w="3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00" w:type="dxa"/>
            <w:vAlign w:val="bottom"/>
            <w:vMerge w:val="continue"/>
          </w:tcPr>
          <w:p>
            <w:pPr>
              <w:spacing w:after="0"/>
              <w:rPr>
                <w:sz w:val="19"/>
                <w:szCs w:val="19"/>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Vegas Operations:</w:t>
            </w:r>
          </w:p>
        </w:tc>
        <w:tc>
          <w:tcPr>
            <w:tcW w:w="14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Casino</w:t>
            </w:r>
          </w:p>
        </w:tc>
        <w:tc>
          <w:tcPr>
            <w:tcW w:w="14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112,775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24,365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192,678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95,660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1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133,546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Food and beverage</w:t>
            </w:r>
          </w:p>
        </w:tc>
        <w:tc>
          <w:tcPr>
            <w:tcW w:w="14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112,858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16,092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152,935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122,071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14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Las Vegas Operations</w:t>
            </w:r>
          </w:p>
        </w:tc>
        <w:tc>
          <w:tcPr>
            <w:tcW w:w="14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355,066</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64,886</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533,782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388,710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ncore Boston Harbor:</w:t>
            </w:r>
          </w:p>
        </w:tc>
        <w:tc>
          <w:tcPr>
            <w:tcW w:w="1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Casino</w:t>
            </w:r>
          </w:p>
        </w:tc>
        <w:tc>
          <w:tcPr>
            <w:tcW w:w="1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135,485</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246,964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Rooms</w:t>
            </w:r>
          </w:p>
        </w:tc>
        <w:tc>
          <w:tcPr>
            <w:tcW w:w="14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14,385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10,955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14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7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Total Encore Boston Harbor</w:t>
            </w:r>
          </w:p>
        </w:tc>
        <w:tc>
          <w:tcPr>
            <w:tcW w:w="14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165,241</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295,331</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141,096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orporate and other:</w:t>
            </w:r>
          </w:p>
        </w:tc>
        <w:tc>
          <w:tcPr>
            <w:tcW w:w="14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Entertainment, retail and other</w:t>
            </w:r>
          </w:p>
        </w:tc>
        <w:tc>
          <w:tcPr>
            <w:tcW w:w="14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15,407</w:t>
            </w:r>
          </w:p>
        </w:tc>
        <w:tc>
          <w:tcPr>
            <w:tcW w:w="1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26,306</w:t>
            </w:r>
          </w:p>
        </w:tc>
        <w:tc>
          <w:tcPr>
            <w:tcW w:w="10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Corporate and other</w:t>
            </w:r>
          </w:p>
        </w:tc>
        <w:tc>
          <w:tcPr>
            <w:tcW w:w="14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15,407</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26,306</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otal operating revenues</w:t>
            </w:r>
          </w:p>
        </w:tc>
        <w:tc>
          <w:tcPr>
            <w:tcW w:w="14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840" w:type="dxa"/>
            <w:vAlign w:val="bottom"/>
            <w:gridSpan w:val="2"/>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990,113$</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85,698$</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1,726,795$</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1,039,414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1"/>
        </w:trPr>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jc w:val="right"/>
              <w:ind w:right="8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-826770</wp:posOffset>
            </wp:positionV>
            <wp:extent cx="6985635" cy="167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85635" cy="16700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22" w:name="page23"/>
    <w:bookmarkEnd w:id="22"/>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340" w:right="262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880" w:type="dxa"/>
            <w:vAlign w:val="bottom"/>
            <w:gridSpan w:val="3"/>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r>
      <w:tr>
        <w:trPr>
          <w:trHeight w:val="181"/>
        </w:trPr>
        <w:tc>
          <w:tcPr>
            <w:tcW w:w="100" w:type="dxa"/>
            <w:vAlign w:val="bottom"/>
          </w:tcPr>
          <w:p>
            <w:pPr>
              <w:spacing w:after="0"/>
              <w:rPr>
                <w:sz w:val="15"/>
                <w:szCs w:val="15"/>
                <w:color w:val="auto"/>
              </w:rPr>
            </w:pPr>
          </w:p>
        </w:tc>
        <w:tc>
          <w:tcPr>
            <w:tcW w:w="44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05"/>
        </w:trPr>
        <w:tc>
          <w:tcPr>
            <w:tcW w:w="100" w:type="dxa"/>
            <w:vAlign w:val="bottom"/>
          </w:tcPr>
          <w:p>
            <w:pPr>
              <w:spacing w:after="0"/>
              <w:rPr>
                <w:sz w:val="17"/>
                <w:szCs w:val="17"/>
                <w:color w:val="auto"/>
              </w:rPr>
            </w:pPr>
          </w:p>
        </w:tc>
        <w:tc>
          <w:tcPr>
            <w:tcW w:w="442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 xml:space="preserve">djusted Property EBITDA </w:t>
            </w:r>
            <w:r>
              <w:rPr>
                <w:rFonts w:ascii="Arial" w:cs="Arial" w:eastAsia="Arial" w:hAnsi="Arial"/>
                <w:sz w:val="14"/>
                <w:szCs w:val="14"/>
                <w:b w:val="1"/>
                <w:bCs w:val="1"/>
                <w:color w:val="auto"/>
              </w:rPr>
              <w:t>(2)</w:t>
            </w: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Macau Operations:</w:t>
            </w: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4"/>
        </w:trPr>
        <w:tc>
          <w:tcPr>
            <w:tcW w:w="100" w:type="dxa"/>
            <w:vAlign w:val="bottom"/>
          </w:tcPr>
          <w:p>
            <w:pPr>
              <w:spacing w:after="0"/>
              <w:rPr>
                <w:sz w:val="19"/>
                <w:szCs w:val="19"/>
                <w:color w:val="auto"/>
              </w:rPr>
            </w:pP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Wynn Palace</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(100,732)</w:t>
            </w:r>
          </w:p>
        </w:tc>
      </w:tr>
      <w:tr>
        <w:trPr>
          <w:trHeight w:val="223"/>
        </w:trPr>
        <w:tc>
          <w:tcPr>
            <w:tcW w:w="100" w:type="dxa"/>
            <w:vAlign w:val="bottom"/>
          </w:tcPr>
          <w:p>
            <w:pPr>
              <w:spacing w:after="0"/>
              <w:rPr>
                <w:sz w:val="19"/>
                <w:szCs w:val="19"/>
                <w:color w:val="auto"/>
              </w:rPr>
            </w:pPr>
          </w:p>
        </w:tc>
        <w:tc>
          <w:tcPr>
            <w:tcW w:w="44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Wynn Macau</w:t>
            </w:r>
          </w:p>
        </w:tc>
        <w:tc>
          <w:tcPr>
            <w:tcW w:w="7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(82,646)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(63,438)</w:t>
            </w:r>
          </w:p>
        </w:tc>
      </w:tr>
      <w:tr>
        <w:trPr>
          <w:trHeight w:val="217"/>
        </w:trPr>
        <w:tc>
          <w:tcPr>
            <w:tcW w:w="100" w:type="dxa"/>
            <w:vAlign w:val="bottom"/>
          </w:tcPr>
          <w:p>
            <w:pPr>
              <w:spacing w:after="0"/>
              <w:rPr>
                <w:sz w:val="18"/>
                <w:szCs w:val="18"/>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Macau Operations</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67,641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(193,554)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111,566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(164,170)</w:t>
            </w:r>
          </w:p>
        </w:tc>
      </w:tr>
      <w:tr>
        <w:trPr>
          <w:trHeight w:val="223"/>
        </w:trPr>
        <w:tc>
          <w:tcPr>
            <w:tcW w:w="4520" w:type="dxa"/>
            <w:vAlign w:val="bottom"/>
            <w:gridSpan w:val="2"/>
          </w:tcPr>
          <w:p>
            <w:pPr>
              <w:ind w:left="60"/>
              <w:spacing w:after="0"/>
              <w:rPr>
                <w:sz w:val="20"/>
                <w:szCs w:val="20"/>
                <w:color w:val="auto"/>
              </w:rPr>
            </w:pPr>
            <w:r>
              <w:rPr>
                <w:rFonts w:ascii="Arial" w:cs="Arial" w:eastAsia="Arial" w:hAnsi="Arial"/>
                <w:sz w:val="18"/>
                <w:szCs w:val="18"/>
                <w:color w:val="auto"/>
              </w:rPr>
              <w:t xml:space="preserve">Las Vegas Operations </w:t>
            </w:r>
            <w:r>
              <w:rPr>
                <w:rFonts w:ascii="Arial" w:cs="Arial" w:eastAsia="Arial" w:hAnsi="Arial"/>
                <w:sz w:val="14"/>
                <w:szCs w:val="14"/>
                <w:color w:val="auto"/>
              </w:rPr>
              <w:t>(3)</w:t>
            </w:r>
          </w:p>
        </w:tc>
        <w:tc>
          <w:tcPr>
            <w:tcW w:w="7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133,222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(75,564)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161,303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(97,641)</w:t>
            </w:r>
          </w:p>
        </w:tc>
      </w:tr>
      <w:tr>
        <w:trPr>
          <w:trHeight w:val="224"/>
        </w:trPr>
        <w:tc>
          <w:tcPr>
            <w:tcW w:w="10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(4)</w:t>
            </w:r>
          </w:p>
        </w:tc>
        <w:tc>
          <w:tcPr>
            <w:tcW w:w="7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(66,415)</w:t>
            </w:r>
          </w:p>
        </w:tc>
      </w:tr>
      <w:tr>
        <w:trPr>
          <w:trHeight w:val="223"/>
        </w:trPr>
        <w:tc>
          <w:tcPr>
            <w:tcW w:w="4520" w:type="dxa"/>
            <w:vAlign w:val="bottom"/>
            <w:gridSpan w:val="2"/>
          </w:tcPr>
          <w:p>
            <w:pPr>
              <w:ind w:left="60"/>
              <w:spacing w:after="0"/>
              <w:rPr>
                <w:sz w:val="20"/>
                <w:szCs w:val="20"/>
                <w:color w:val="auto"/>
              </w:rPr>
            </w:pPr>
            <w:r>
              <w:rPr>
                <w:rFonts w:ascii="Arial" w:cs="Arial" w:eastAsia="Arial" w:hAnsi="Arial"/>
                <w:sz w:val="18"/>
                <w:szCs w:val="18"/>
                <w:color w:val="auto"/>
              </w:rPr>
              <w:t>Corporate and other</w:t>
            </w:r>
          </w:p>
        </w:tc>
        <w:tc>
          <w:tcPr>
            <w:tcW w:w="7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(40,899)</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(84,368)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10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206,880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(322,897)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265,780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(328,226)</w:t>
            </w:r>
          </w:p>
        </w:tc>
      </w:tr>
      <w:tr>
        <w:trPr>
          <w:trHeight w:val="224"/>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ther operating expenses</w:t>
            </w: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4"/>
        </w:trPr>
        <w:tc>
          <w:tcPr>
            <w:tcW w:w="100" w:type="dxa"/>
            <w:vAlign w:val="bottom"/>
          </w:tcPr>
          <w:p>
            <w:pPr>
              <w:spacing w:after="0"/>
              <w:rPr>
                <w:sz w:val="19"/>
                <w:szCs w:val="19"/>
                <w:color w:val="auto"/>
              </w:rPr>
            </w:pP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w:t>
            </w:r>
          </w:p>
        </w:tc>
        <w:tc>
          <w:tcPr>
            <w:tcW w:w="7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r>
      <w:tr>
        <w:trPr>
          <w:trHeight w:val="223"/>
        </w:trPr>
        <w:tc>
          <w:tcPr>
            <w:tcW w:w="100" w:type="dxa"/>
            <w:vAlign w:val="bottom"/>
          </w:tcPr>
          <w:p>
            <w:pPr>
              <w:spacing w:after="0"/>
              <w:rPr>
                <w:sz w:val="19"/>
                <w:szCs w:val="19"/>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183,307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179,266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368,428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358,012</w:t>
            </w:r>
          </w:p>
        </w:tc>
      </w:tr>
      <w:tr>
        <w:trPr>
          <w:trHeight w:val="224"/>
        </w:trPr>
        <w:tc>
          <w:tcPr>
            <w:tcW w:w="100" w:type="dxa"/>
            <w:vAlign w:val="bottom"/>
          </w:tcPr>
          <w:p>
            <w:pPr>
              <w:spacing w:after="0"/>
              <w:rPr>
                <w:sz w:val="19"/>
                <w:szCs w:val="19"/>
                <w:color w:val="auto"/>
              </w:rPr>
            </w:pP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charges and other</w:t>
            </w:r>
          </w:p>
        </w:tc>
        <w:tc>
          <w:tcPr>
            <w:tcW w:w="7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33,796</w:t>
            </w:r>
          </w:p>
        </w:tc>
      </w:tr>
      <w:tr>
        <w:trPr>
          <w:trHeight w:val="223"/>
        </w:trPr>
        <w:tc>
          <w:tcPr>
            <w:tcW w:w="100" w:type="dxa"/>
            <w:vAlign w:val="bottom"/>
          </w:tcPr>
          <w:p>
            <w:pPr>
              <w:spacing w:after="0"/>
              <w:rPr>
                <w:sz w:val="19"/>
                <w:szCs w:val="19"/>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 xml:space="preserve">Corporate expenses and other </w:t>
            </w:r>
            <w:r>
              <w:rPr>
                <w:rFonts w:ascii="Arial" w:cs="Arial" w:eastAsia="Arial" w:hAnsi="Arial"/>
                <w:sz w:val="14"/>
                <w:szCs w:val="14"/>
                <w:color w:val="auto"/>
              </w:rPr>
              <w:t>(5)</w:t>
            </w:r>
          </w:p>
        </w:tc>
        <w:tc>
          <w:tcPr>
            <w:tcW w:w="7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19,841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37,762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15,208</w:t>
            </w:r>
          </w:p>
        </w:tc>
      </w:tr>
      <w:tr>
        <w:trPr>
          <w:trHeight w:val="224"/>
        </w:trPr>
        <w:tc>
          <w:tcPr>
            <w:tcW w:w="100" w:type="dxa"/>
            <w:vAlign w:val="bottom"/>
          </w:tcPr>
          <w:p>
            <w:pPr>
              <w:spacing w:after="0"/>
              <w:rPr>
                <w:sz w:val="19"/>
                <w:szCs w:val="19"/>
                <w:color w:val="auto"/>
              </w:rPr>
            </w:pP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7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25,107</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21,084</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49,453</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30,448</w:t>
            </w:r>
          </w:p>
        </w:tc>
      </w:tr>
      <w:tr>
        <w:trPr>
          <w:trHeight w:val="217"/>
        </w:trPr>
        <w:tc>
          <w:tcPr>
            <w:tcW w:w="100" w:type="dxa"/>
            <w:vAlign w:val="bottom"/>
          </w:tcPr>
          <w:p>
            <w:pPr>
              <w:spacing w:after="0"/>
              <w:rPr>
                <w:sz w:val="18"/>
                <w:szCs w:val="18"/>
                <w:color w:val="auto"/>
              </w:rPr>
            </w:pPr>
          </w:p>
        </w:tc>
        <w:tc>
          <w:tcPr>
            <w:tcW w:w="4420" w:type="dxa"/>
            <w:vAlign w:val="bottom"/>
            <w:tcBorders>
              <w:bottom w:val="single" w:sz="8" w:color="CCEEFF"/>
            </w:tcBorders>
          </w:tcPr>
          <w:p>
            <w:pPr>
              <w:ind w:left="420"/>
              <w:spacing w:after="0"/>
              <w:rPr>
                <w:sz w:val="20"/>
                <w:szCs w:val="20"/>
                <w:color w:val="auto"/>
              </w:rPr>
            </w:pPr>
            <w:r>
              <w:rPr>
                <w:rFonts w:ascii="Arial" w:cs="Arial" w:eastAsia="Arial" w:hAnsi="Arial"/>
                <w:sz w:val="18"/>
                <w:szCs w:val="18"/>
                <w:b w:val="1"/>
                <w:bCs w:val="1"/>
                <w:color w:val="auto"/>
              </w:rPr>
              <w:t>Total other operating expenses</w:t>
            </w:r>
          </w:p>
        </w:tc>
        <w:tc>
          <w:tcPr>
            <w:tcW w:w="7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236,401</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200,119</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471,033</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442,201</w:t>
            </w:r>
          </w:p>
        </w:tc>
      </w:tr>
      <w:tr>
        <w:trPr>
          <w:trHeight w:val="217"/>
        </w:trPr>
        <w:tc>
          <w:tcPr>
            <w:tcW w:w="10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perating loss</w:t>
            </w:r>
          </w:p>
        </w:tc>
        <w:tc>
          <w:tcPr>
            <w:tcW w:w="7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(29,521)</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(523,016)</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(205,253)</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(770,427)</w:t>
            </w:r>
          </w:p>
        </w:tc>
      </w:tr>
      <w:tr>
        <w:trPr>
          <w:trHeight w:val="204"/>
        </w:trPr>
        <w:tc>
          <w:tcPr>
            <w:tcW w:w="4520" w:type="dxa"/>
            <w:vAlign w:val="bottom"/>
            <w:gridSpan w:val="2"/>
          </w:tcPr>
          <w:p>
            <w:pPr>
              <w:ind w:left="20"/>
              <w:spacing w:after="0" w:line="204" w:lineRule="exact"/>
              <w:rPr>
                <w:sz w:val="20"/>
                <w:szCs w:val="20"/>
                <w:color w:val="auto"/>
              </w:rPr>
            </w:pPr>
            <w:r>
              <w:rPr>
                <w:rFonts w:ascii="Arial" w:cs="Arial" w:eastAsia="Arial" w:hAnsi="Arial"/>
                <w:sz w:val="18"/>
                <w:szCs w:val="18"/>
                <w:b w:val="1"/>
                <w:bCs w:val="1"/>
                <w:color w:val="auto"/>
              </w:rPr>
              <w:t>ther non-operating income and expenses</w:t>
            </w:r>
          </w:p>
        </w:tc>
        <w:tc>
          <w:tcPr>
            <w:tcW w:w="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4"/>
        </w:trPr>
        <w:tc>
          <w:tcPr>
            <w:tcW w:w="100" w:type="dxa"/>
            <w:vAlign w:val="bottom"/>
          </w:tcPr>
          <w:p>
            <w:pPr>
              <w:spacing w:after="0"/>
              <w:rPr>
                <w:sz w:val="19"/>
                <w:szCs w:val="19"/>
                <w:color w:val="auto"/>
              </w:rPr>
            </w:pP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11,936</w:t>
            </w:r>
          </w:p>
        </w:tc>
      </w:tr>
      <w:tr>
        <w:trPr>
          <w:trHeight w:val="223"/>
        </w:trPr>
        <w:tc>
          <w:tcPr>
            <w:tcW w:w="100" w:type="dxa"/>
            <w:vAlign w:val="bottom"/>
          </w:tcPr>
          <w:p>
            <w:pPr>
              <w:spacing w:after="0"/>
              <w:rPr>
                <w:sz w:val="19"/>
                <w:szCs w:val="19"/>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Interest expense, net of amounts capitalized</w:t>
            </w:r>
          </w:p>
        </w:tc>
        <w:tc>
          <w:tcPr>
            <w:tcW w:w="7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(150,424)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(133,218)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(303,276)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(262,045)</w:t>
            </w:r>
          </w:p>
        </w:tc>
      </w:tr>
      <w:tr>
        <w:trPr>
          <w:trHeight w:val="224"/>
        </w:trPr>
        <w:tc>
          <w:tcPr>
            <w:tcW w:w="100" w:type="dxa"/>
            <w:vAlign w:val="bottom"/>
          </w:tcPr>
          <w:p>
            <w:pPr>
              <w:spacing w:after="0"/>
              <w:rPr>
                <w:sz w:val="19"/>
                <w:szCs w:val="19"/>
                <w:color w:val="auto"/>
              </w:rPr>
            </w:pP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derivatives fair value</w:t>
            </w:r>
          </w:p>
        </w:tc>
        <w:tc>
          <w:tcPr>
            <w:tcW w:w="7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w:t>
            </w:r>
          </w:p>
        </w:tc>
      </w:tr>
      <w:tr>
        <w:trPr>
          <w:trHeight w:val="223"/>
        </w:trPr>
        <w:tc>
          <w:tcPr>
            <w:tcW w:w="100" w:type="dxa"/>
            <w:vAlign w:val="bottom"/>
          </w:tcPr>
          <w:p>
            <w:pPr>
              <w:spacing w:after="0"/>
              <w:rPr>
                <w:sz w:val="19"/>
                <w:szCs w:val="19"/>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Loss on extinguishment of debt</w:t>
            </w:r>
          </w:p>
        </w:tc>
        <w:tc>
          <w:tcPr>
            <w:tcW w:w="7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(1,462)</w:t>
            </w:r>
          </w:p>
        </w:tc>
      </w:tr>
      <w:tr>
        <w:trPr>
          <w:trHeight w:val="224"/>
        </w:trPr>
        <w:tc>
          <w:tcPr>
            <w:tcW w:w="100" w:type="dxa"/>
            <w:vAlign w:val="bottom"/>
          </w:tcPr>
          <w:p>
            <w:pPr>
              <w:spacing w:after="0"/>
              <w:rPr>
                <w:sz w:val="19"/>
                <w:szCs w:val="19"/>
                <w:color w:val="auto"/>
              </w:rPr>
            </w:pP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12,568</w:t>
            </w:r>
          </w:p>
        </w:tc>
      </w:tr>
      <w:tr>
        <w:trPr>
          <w:trHeight w:val="217"/>
        </w:trPr>
        <w:tc>
          <w:tcPr>
            <w:tcW w:w="10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b w:val="1"/>
                <w:bCs w:val="1"/>
                <w:color w:val="auto"/>
                <w:w w:val="96"/>
              </w:rPr>
              <w:t>Total other non-operating income and expenses</w:t>
            </w:r>
          </w:p>
        </w:tc>
        <w:tc>
          <w:tcPr>
            <w:tcW w:w="7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(143,179)</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(130,915)</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(303,133)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(257,957)</w:t>
            </w:r>
          </w:p>
        </w:tc>
      </w:tr>
      <w:tr>
        <w:trPr>
          <w:trHeight w:val="217"/>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oss before income taxes</w:t>
            </w:r>
          </w:p>
        </w:tc>
        <w:tc>
          <w:tcPr>
            <w:tcW w:w="7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(172,700)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(653,931)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(508,386)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(1,028,384)</w:t>
            </w:r>
          </w:p>
        </w:tc>
      </w:tr>
      <w:tr>
        <w:trPr>
          <w:trHeight w:val="223"/>
        </w:trPr>
        <w:tc>
          <w:tcPr>
            <w:tcW w:w="100" w:type="dxa"/>
            <w:vAlign w:val="bottom"/>
          </w:tcPr>
          <w:p>
            <w:pPr>
              <w:spacing w:after="0"/>
              <w:rPr>
                <w:sz w:val="19"/>
                <w:szCs w:val="19"/>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Provision for income taxes</w:t>
            </w:r>
          </w:p>
        </w:tc>
        <w:tc>
          <w:tcPr>
            <w:tcW w:w="7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(80,938)</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(156,738)</w:t>
            </w:r>
          </w:p>
        </w:tc>
      </w:tr>
      <w:tr>
        <w:trPr>
          <w:trHeight w:val="217"/>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et loss</w:t>
            </w:r>
          </w:p>
        </w:tc>
        <w:tc>
          <w:tcPr>
            <w:tcW w:w="7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(173,397)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(734,869)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(509,576)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(1,185,122)</w:t>
            </w:r>
          </w:p>
        </w:tc>
      </w:tr>
      <w:tr>
        <w:trPr>
          <w:trHeight w:val="223"/>
        </w:trPr>
        <w:tc>
          <w:tcPr>
            <w:tcW w:w="100" w:type="dxa"/>
            <w:vAlign w:val="bottom"/>
          </w:tcPr>
          <w:p>
            <w:pPr>
              <w:spacing w:after="0"/>
              <w:rPr>
                <w:sz w:val="19"/>
                <w:szCs w:val="19"/>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Net loss attributable to noncontrolling interests</w:t>
            </w:r>
          </w:p>
        </w:tc>
        <w:tc>
          <w:tcPr>
            <w:tcW w:w="7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42,028</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97,305</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97,229</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145,521</w:t>
            </w:r>
          </w:p>
        </w:tc>
      </w:tr>
      <w:tr>
        <w:trPr>
          <w:trHeight w:val="250"/>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et loss attributable to Wynn Resorts, Limited</w:t>
            </w: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(131,369)$</w:t>
            </w:r>
          </w:p>
        </w:tc>
        <w:tc>
          <w:tcPr>
            <w:tcW w:w="10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(637,564)$</w:t>
            </w:r>
          </w:p>
        </w:tc>
        <w:tc>
          <w:tcPr>
            <w:tcW w:w="10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(412,347)$</w:t>
            </w:r>
          </w:p>
        </w:tc>
        <w:tc>
          <w:tcPr>
            <w:tcW w:w="10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(1,039,601)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-768350</wp:posOffset>
            </wp:positionV>
            <wp:extent cx="6985635" cy="150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85635" cy="15049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-475615</wp:posOffset>
            </wp:positionV>
            <wp:extent cx="6985635" cy="150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85635" cy="15049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-182880</wp:posOffset>
            </wp:positionV>
            <wp:extent cx="6985635" cy="167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85635" cy="167005"/>
                    </a:xfrm>
                    <a:prstGeom prst="rect">
                      <a:avLst/>
                    </a:prstGeom>
                    <a:noFill/>
                  </pic:spPr>
                </pic:pic>
              </a:graphicData>
            </a:graphic>
          </wp:anchor>
        </w:drawing>
      </w:r>
    </w:p>
    <w:p>
      <w:pPr>
        <w:spacing w:after="0" w:line="54" w:lineRule="exact"/>
        <w:rPr>
          <w:sz w:val="20"/>
          <w:szCs w:val="20"/>
          <w:color w:val="auto"/>
        </w:rPr>
      </w:pPr>
    </w:p>
    <w:p>
      <w:pPr>
        <w:ind w:left="300" w:hanging="195"/>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lease revenue accounted for under lease accounting guidance. For more information on leases, see Note 14, "Leases".</w:t>
      </w:r>
    </w:p>
    <w:p>
      <w:pPr>
        <w:spacing w:after="0" w:line="8" w:lineRule="exact"/>
        <w:rPr>
          <w:rFonts w:ascii="Arial" w:cs="Arial" w:eastAsia="Arial" w:hAnsi="Arial"/>
          <w:sz w:val="14"/>
          <w:szCs w:val="14"/>
          <w:color w:val="auto"/>
        </w:rPr>
      </w:pPr>
    </w:p>
    <w:p>
      <w:pPr>
        <w:jc w:val="both"/>
        <w:ind w:left="340" w:hanging="235"/>
        <w:spacing w:after="0" w:line="253" w:lineRule="auto"/>
        <w:tabs>
          <w:tab w:leader="none" w:pos="31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4" w:lineRule="exact"/>
        <w:rPr>
          <w:rFonts w:ascii="Arial" w:cs="Arial" w:eastAsia="Arial" w:hAnsi="Arial"/>
          <w:sz w:val="13"/>
          <w:szCs w:val="13"/>
          <w:color w:val="auto"/>
        </w:rPr>
      </w:pPr>
    </w:p>
    <w:p>
      <w:pPr>
        <w:ind w:left="340" w:hanging="235"/>
        <w:spacing w:after="0" w:line="235" w:lineRule="auto"/>
        <w:tabs>
          <w:tab w:leader="none" w:pos="315"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months ended June 30, 2020, excluded $56.4 million of expense accrued during the first quarter of 2020 related to the Company's commitment to pay salary, tips, and benefits continuation for all of its U.S. employees for the period from April 1 through May 15, 2020.</w:t>
      </w:r>
    </w:p>
    <w:p>
      <w:pPr>
        <w:ind w:left="340" w:hanging="235"/>
        <w:spacing w:after="0" w:line="235" w:lineRule="auto"/>
        <w:tabs>
          <w:tab w:leader="none" w:pos="315"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months ended June 30, 2020, excluded $19.3 million of expense accrued during the first quarter of 2020 related to the Company's commitment to pay salary, tips, and benefits continuation for all of its U.S. employees for the period from April 1 through May 15, 2020.</w:t>
      </w:r>
    </w:p>
    <w:p>
      <w:pPr>
        <w:ind w:left="300" w:hanging="195"/>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and six months ended June 30, 2020, included $27.7 million net gain recorded in relation to a derivative litigation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64135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23" w:name="page24"/>
    <w:bookmarkEnd w:id="23"/>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left="580" w:right="2380"/>
        <w:spacing w:after="0" w:line="244"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2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w:t>
            </w:r>
          </w:p>
        </w:tc>
        <w:tc>
          <w:tcPr>
            <w:tcW w:w="140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10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05"/>
        </w:trPr>
        <w:tc>
          <w:tcPr>
            <w:tcW w:w="514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ssets</w:t>
            </w:r>
          </w:p>
        </w:tc>
        <w:tc>
          <w:tcPr>
            <w:tcW w:w="3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acau Operations:</w:t>
            </w:r>
          </w:p>
        </w:tc>
        <w:tc>
          <w:tcPr>
            <w:tcW w:w="3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4"/>
        </w:trPr>
        <w:tc>
          <w:tcPr>
            <w:tcW w:w="100" w:type="dxa"/>
            <w:vAlign w:val="bottom"/>
          </w:tcPr>
          <w:p>
            <w:pPr>
              <w:spacing w:after="0"/>
              <w:rPr>
                <w:sz w:val="19"/>
                <w:szCs w:val="19"/>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Wynn Palace</w:t>
            </w:r>
          </w:p>
        </w:tc>
        <w:tc>
          <w:tcPr>
            <w:tcW w:w="3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4"/>
              </w:rPr>
              <w:t>3,255,389$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3,393,790</w:t>
            </w:r>
          </w:p>
        </w:tc>
      </w:tr>
      <w:tr>
        <w:trPr>
          <w:trHeight w:val="223"/>
        </w:trPr>
        <w:tc>
          <w:tcPr>
            <w:tcW w:w="100" w:type="dxa"/>
            <w:vAlign w:val="bottom"/>
          </w:tcPr>
          <w:p>
            <w:pPr>
              <w:spacing w:after="0"/>
              <w:rPr>
                <w:sz w:val="19"/>
                <w:szCs w:val="19"/>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Wynn Macau</w:t>
            </w:r>
          </w:p>
        </w:tc>
        <w:tc>
          <w:tcPr>
            <w:tcW w:w="3040" w:type="dxa"/>
            <w:vAlign w:val="bottom"/>
          </w:tcPr>
          <w:p>
            <w:pPr>
              <w:spacing w:after="0"/>
              <w:rPr>
                <w:sz w:val="19"/>
                <w:szCs w:val="19"/>
                <w:color w:val="auto"/>
              </w:rPr>
            </w:pPr>
          </w:p>
        </w:tc>
        <w:tc>
          <w:tcPr>
            <w:tcW w:w="1420" w:type="dxa"/>
            <w:vAlign w:val="bottom"/>
          </w:tcPr>
          <w:p>
            <w:pPr>
              <w:ind w:left="640"/>
              <w:spacing w:after="0"/>
              <w:rPr>
                <w:sz w:val="20"/>
                <w:szCs w:val="20"/>
                <w:color w:val="auto"/>
              </w:rPr>
            </w:pPr>
            <w:r>
              <w:rPr>
                <w:rFonts w:ascii="Arial" w:cs="Arial" w:eastAsia="Arial" w:hAnsi="Arial"/>
                <w:sz w:val="18"/>
                <w:szCs w:val="18"/>
                <w:color w:val="auto"/>
                <w:w w:val="94"/>
              </w:rPr>
              <w:t>1,013,148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1,202,709</w:t>
            </w:r>
          </w:p>
        </w:tc>
      </w:tr>
      <w:tr>
        <w:trPr>
          <w:trHeight w:val="224"/>
        </w:trPr>
        <w:tc>
          <w:tcPr>
            <w:tcW w:w="100" w:type="dxa"/>
            <w:vAlign w:val="bottom"/>
          </w:tcPr>
          <w:p>
            <w:pPr>
              <w:spacing w:after="0"/>
              <w:rPr>
                <w:sz w:val="19"/>
                <w:szCs w:val="19"/>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Macau</w:t>
            </w:r>
          </w:p>
        </w:tc>
        <w:tc>
          <w:tcPr>
            <w:tcW w:w="304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4"/>
              </w:rPr>
              <w:t>1,475,563</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2,026,098</w:t>
            </w:r>
          </w:p>
        </w:tc>
      </w:tr>
      <w:tr>
        <w:trPr>
          <w:trHeight w:val="217"/>
        </w:trPr>
        <w:tc>
          <w:tcPr>
            <w:tcW w:w="100" w:type="dxa"/>
            <w:vAlign w:val="bottom"/>
          </w:tcPr>
          <w:p>
            <w:pPr>
              <w:spacing w:after="0"/>
              <w:rPr>
                <w:sz w:val="18"/>
                <w:szCs w:val="18"/>
                <w:color w:val="auto"/>
              </w:rPr>
            </w:pPr>
          </w:p>
        </w:tc>
        <w:tc>
          <w:tcPr>
            <w:tcW w:w="5040" w:type="dxa"/>
            <w:vAlign w:val="bottom"/>
          </w:tcPr>
          <w:p>
            <w:pPr>
              <w:ind w:left="400"/>
              <w:spacing w:after="0"/>
              <w:rPr>
                <w:sz w:val="20"/>
                <w:szCs w:val="20"/>
                <w:color w:val="auto"/>
              </w:rPr>
            </w:pPr>
            <w:r>
              <w:rPr>
                <w:rFonts w:ascii="Arial" w:cs="Arial" w:eastAsia="Arial" w:hAnsi="Arial"/>
                <w:sz w:val="18"/>
                <w:szCs w:val="18"/>
                <w:b w:val="1"/>
                <w:bCs w:val="1"/>
                <w:color w:val="auto"/>
              </w:rPr>
              <w:t>Total Macau Operations</w:t>
            </w:r>
          </w:p>
        </w:tc>
        <w:tc>
          <w:tcPr>
            <w:tcW w:w="3040" w:type="dxa"/>
            <w:vAlign w:val="bottom"/>
          </w:tcPr>
          <w:p>
            <w:pPr>
              <w:spacing w:after="0"/>
              <w:rPr>
                <w:sz w:val="18"/>
                <w:szCs w:val="18"/>
                <w:color w:val="auto"/>
              </w:rPr>
            </w:pPr>
          </w:p>
        </w:tc>
        <w:tc>
          <w:tcPr>
            <w:tcW w:w="1420" w:type="dxa"/>
            <w:vAlign w:val="bottom"/>
          </w:tcPr>
          <w:p>
            <w:pPr>
              <w:ind w:left="640"/>
              <w:spacing w:after="0"/>
              <w:rPr>
                <w:sz w:val="20"/>
                <w:szCs w:val="20"/>
                <w:color w:val="auto"/>
              </w:rPr>
            </w:pPr>
            <w:r>
              <w:rPr>
                <w:rFonts w:ascii="Arial" w:cs="Arial" w:eastAsia="Arial" w:hAnsi="Arial"/>
                <w:sz w:val="18"/>
                <w:szCs w:val="18"/>
                <w:b w:val="1"/>
                <w:bCs w:val="1"/>
                <w:color w:val="auto"/>
                <w:w w:val="94"/>
              </w:rPr>
              <w:t>5,744,100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6,622,597</w:t>
            </w:r>
          </w:p>
        </w:tc>
      </w:tr>
      <w:tr>
        <w:trPr>
          <w:trHeight w:val="224"/>
        </w:trPr>
        <w:tc>
          <w:tcPr>
            <w:tcW w:w="100" w:type="dxa"/>
            <w:vAlign w:val="bottom"/>
          </w:tcPr>
          <w:p>
            <w:pPr>
              <w:spacing w:after="0"/>
              <w:rPr>
                <w:sz w:val="20"/>
                <w:szCs w:val="20"/>
                <w:color w:val="auto"/>
              </w:rPr>
            </w:pPr>
            <w:r>
              <w:rPr>
                <w:rFonts w:ascii="Arial" w:cs="Arial" w:eastAsia="Arial" w:hAnsi="Arial"/>
                <w:sz w:val="10"/>
                <w:szCs w:val="10"/>
                <w:color w:val="auto"/>
                <w:w w:val="75"/>
              </w:rPr>
              <w:t>as</w:t>
            </w: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Vegas Operations</w:t>
            </w:r>
          </w:p>
        </w:tc>
        <w:tc>
          <w:tcPr>
            <w:tcW w:w="3040" w:type="dxa"/>
            <w:vAlign w:val="bottom"/>
            <w:shd w:val="clear" w:color="auto" w:fill="CCEEFF"/>
          </w:tcPr>
          <w:p>
            <w:pPr>
              <w:spacing w:after="0"/>
              <w:rPr>
                <w:sz w:val="19"/>
                <w:szCs w:val="19"/>
                <w:color w:val="auto"/>
              </w:rPr>
            </w:pPr>
          </w:p>
        </w:tc>
        <w:tc>
          <w:tcPr>
            <w:tcW w:w="14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3,017,361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2,992,870</w:t>
            </w: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ncore Boston Harbor</w:t>
            </w:r>
          </w:p>
        </w:tc>
        <w:tc>
          <w:tcPr>
            <w:tcW w:w="3040" w:type="dxa"/>
            <w:vAlign w:val="bottom"/>
          </w:tcPr>
          <w:p>
            <w:pPr>
              <w:spacing w:after="0"/>
              <w:rPr>
                <w:sz w:val="19"/>
                <w:szCs w:val="19"/>
                <w:color w:val="auto"/>
              </w:rPr>
            </w:pPr>
          </w:p>
        </w:tc>
        <w:tc>
          <w:tcPr>
            <w:tcW w:w="1420" w:type="dxa"/>
            <w:vAlign w:val="bottom"/>
          </w:tcPr>
          <w:p>
            <w:pPr>
              <w:ind w:left="640"/>
              <w:spacing w:after="0"/>
              <w:rPr>
                <w:sz w:val="20"/>
                <w:szCs w:val="20"/>
                <w:color w:val="auto"/>
              </w:rPr>
            </w:pPr>
            <w:r>
              <w:rPr>
                <w:rFonts w:ascii="Arial" w:cs="Arial" w:eastAsia="Arial" w:hAnsi="Arial"/>
                <w:sz w:val="18"/>
                <w:szCs w:val="18"/>
                <w:color w:val="auto"/>
                <w:w w:val="94"/>
              </w:rPr>
              <w:t>2,257,729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2,300,016</w:t>
            </w:r>
          </w:p>
        </w:tc>
      </w:tr>
      <w:tr>
        <w:trPr>
          <w:trHeight w:val="224"/>
        </w:trPr>
        <w:tc>
          <w:tcPr>
            <w:tcW w:w="10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orporate and other</w:t>
            </w:r>
          </w:p>
        </w:tc>
        <w:tc>
          <w:tcPr>
            <w:tcW w:w="304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4"/>
              </w:rPr>
              <w:t>2,003,475</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1,954,064</w:t>
            </w:r>
          </w:p>
        </w:tc>
      </w:tr>
      <w:tr>
        <w:trPr>
          <w:trHeight w:val="217"/>
        </w:trPr>
        <w:tc>
          <w:tcPr>
            <w:tcW w:w="10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b w:val="1"/>
                <w:bCs w:val="1"/>
                <w:color w:val="auto"/>
              </w:rPr>
              <w:t>Total</w:t>
            </w:r>
          </w:p>
        </w:tc>
        <w:tc>
          <w:tcPr>
            <w:tcW w:w="30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w w:val="83"/>
              </w:rPr>
              <w:t>13,022,665$</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13,869,547</w:t>
            </w:r>
          </w:p>
        </w:tc>
      </w:tr>
      <w:tr>
        <w:trPr>
          <w:trHeight w:val="20"/>
        </w:trPr>
        <w:tc>
          <w:tcPr>
            <w:tcW w:w="1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-1470025</wp:posOffset>
            </wp:positionV>
            <wp:extent cx="6985635" cy="142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85635" cy="14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64135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220" w:top="121" w:right="57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6"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Form 10-Q and the consolidated financial statements appearing in our annual report on Form 10-K for the year ended December 31, 2020.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6"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Encore, an expansion at Wynn Las Vegas, and the Retail Joint Venture as our Las Vegas Operations. On June 23, 2019, we opened Encore Boston Harbor, an integrated resort in Everett, Massachusetts. In October 2020, Wynn Interactive Ltd. ("Wynn Interactive") was formed through the merger of our U.S. online sports betting and gaming business, social casino business, and our strategic partner, BetBull Limited ("BetBull"). Wynn Resorts holds an approximately 74% interest in, and consolidates, Wynn Interactive. The results of Wynn Interactive are presented within Corporate and other.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40" w:lineRule="exact"/>
        <w:rPr>
          <w:sz w:val="20"/>
          <w:szCs w:val="20"/>
          <w:color w:val="auto"/>
        </w:rPr>
      </w:pPr>
    </w:p>
    <w:p>
      <w:pPr>
        <w:jc w:val="both"/>
        <w:ind w:firstLine="395"/>
        <w:spacing w:after="0" w:line="267" w:lineRule="auto"/>
        <w:rPr>
          <w:sz w:val="20"/>
          <w:szCs w:val="20"/>
          <w:color w:val="auto"/>
        </w:rPr>
      </w:pPr>
      <w:r>
        <w:rPr>
          <w:rFonts w:ascii="Arial" w:cs="Arial" w:eastAsia="Arial" w:hAnsi="Arial"/>
          <w:sz w:val="16"/>
          <w:szCs w:val="16"/>
          <w:color w:val="auto"/>
        </w:rPr>
        <w:t>Since the outbreak of COVID-19 in early 2020, steps have been taken by various countries, including those in which the Company operates, to advise citizens to avoid non-essential travel, to restrict inbound international travel, to implement closures of non-essential operations, and to implement quarantines and lockdowns to contain the spread of the virus. As part of the immediate response to the initial outbreak of COVID-19, each of the Company's properties was subject to partial or full closure for varying lengths of time during 2020. Several vaccines have been granted authorization in numerous countries and are being rolled out to citizens based on availability and priority of need. There can be no assurance as to when a sufficient number of individuals will be vaccinated, permitting travel restrictions to be fully lifted.</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Macau Operations</w:t>
      </w:r>
    </w:p>
    <w:p>
      <w:pPr>
        <w:spacing w:after="0" w:line="240"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Visitation to Macau has fallen significantly since the outbreak of COVID-19, driven by the strong deterrent effect of the COVID-19 pandemic on travel and social activities, quarantine measures in Macau and elsewhere, travel and entry restrictions and conditions in Macau, the PRC, Hong Kong and Taiwan involving COVID-19 testing, among other things, and the suspension or reduced accessibility of transportation to and from Macau. Beginning in June 2020 certain restrictions and conditions have eased to allow for visitation to Macau as certain regions recover from the COVID-19 pandemic. Quarantine-free travel, subject to COVID-19 safeguards such as testing and the usual visa requirements, has been reintroduced between Macau and most areas and cities within the PRC, and in September 2020, PRC authorities fully resumed the IVS exit visa program, which permits individual PRC citizens from nearly 50 PRC cities to travel to Macau for tourism purposes. Total visitation from PRC to Macau increased meaningfully in the six months ended June 30, 2021 compared to the same period in 2020. Total visitation decreased 75.1% compared to the same period in 2019. On August 3, 2021, in response to a risk of a community outbreak, the government of Macau has announced enhanced measures including tighter border control and strict mandatory COVID-19 testing requirements.</w:t>
      </w:r>
    </w:p>
    <w:p>
      <w:pPr>
        <w:spacing w:after="0" w:line="20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Given the evolving conditions created by and in response to the COVID-19 pandemic, measures that have been lifted may be reintroduced if there are adverse developments in the COVID-19 situation in Macau and other regions with access to Macau.</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Las Vegas Operations and Encore Boston Harbor</w:t>
      </w:r>
    </w:p>
    <w:p>
      <w:pPr>
        <w:spacing w:after="0" w:line="227"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Company’s Las Vegas Operations and Encore Boston Harbor had each implemented certain COVID-19 specific protective measures, such as limiting the number of seats per table game, slot machine spacing, temperature checks, mask protection, and suspension of certain entertainment and nightlife offerings. On April 8, 2021, Encore at Wynn Las Vegas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resumed full operations. On May 3, 2021, the Company's Las Vegas Operations were permitted by the Nevada Gaming Control Board to reopen all gaming areas to 100% of capacity, with no continuing table game or slot machine spacing restrictions. On July 27, 2021, the Governor of Nevada issued an emergency directive, in accordance with new recommendations from the Centers for Disease Control, re-imposing mask protection requirements in all public indoor areas effective July 30, 2021. At Encore Boston Harbor, on January 25, 2021, limitations on operating hours that had been in place since November 2020 were lifted, and the property restored certain operations and reopened its hotel tower on a Thursday through Sunday schedule. On April 27, 2021, the Governor of Massachusetts announced a phased plan for further reopening and on May 28, 2021 signed an executive order rescinding the COVID-related restrictions and limitations on businesses as of May 29, 2021. The property continues to operate its hotel tower Thursday through Sunday.</w:t>
      </w:r>
    </w:p>
    <w:p>
      <w:pPr>
        <w:spacing w:after="0" w:line="197"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The COVID-19 pandemic has had and will continue to have an adverse effect on the Company's results of operations. Notwithstanding the easing of certain COVID-19 protective measures by authorities throughout the world, certain travel restrictions, quarantine measures, testing requirements, and capacity limitations remain in effect at our Macau Operations, and the Company is currently unable to determine when protective measures and the suspension of certain offerings in effect at our Macau Operations will be lifted.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Gaming Concession</w:t>
      </w:r>
    </w:p>
    <w:p>
      <w:pPr>
        <w:spacing w:after="0" w:line="240"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term of the Company's concession agreement with the Macau government ends on June 26, 2022. If the term of this concession agreement is not extended or renewed or is not replaced by a new gaming concession, all of the Company's gaming operations and related equipment in Macau will be automatically transferred to the Macau government without compensation on that date and the Company will cease to generate gaming revenues from its Macau Operations. In addition, under the indentures governing the Company's $4.7 billion aggregate principal amount of WML Senior Notes, upon the occurrence of any event after which none of WML or any of its subsidiaries own or manage casino or gaming areas or operate casino games of fortune and chance in Macau in substantially the same manner as they are owning or managing casino or gaming areas or operating casino games as of the issue date of the respective senior notes, for a period of 10 consecutive days or more, and such event has a material adverse effect on the financial condition, business, properties or results of operations of WML and its subsidiaries, taken as a whole, holders of the WML Senior Notes can require the Company to repurchase all or any part of the WML Senior Notes at par, plus any accrued and unpaid interest (the "Special Put Option").</w:t>
      </w:r>
    </w:p>
    <w:p>
      <w:pPr>
        <w:spacing w:after="0" w:line="200"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Macau government has publicly commented that it is studying the process by which concessions and subconcessions may be renewed, extended or issued. The Company is monitoring developments with respect to the Macau government's concession renewal or extension process, and at this time believes that its concession will be renewed or extended beyond June 26, 2022. The failure to extend or renew the Company's concession or obtain a new concession and the resulting ability of the WML Senior Note holders to exercise the Special Put Option would have a material adverse effect on the Company's business, financial condition, results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46" w:lineRule="exact"/>
        <w:rPr>
          <w:sz w:val="20"/>
          <w:szCs w:val="20"/>
          <w:color w:val="auto"/>
        </w:rPr>
      </w:pPr>
    </w:p>
    <w:p>
      <w:pPr>
        <w:jc w:val="both"/>
        <w:ind w:firstLine="395"/>
        <w:spacing w:after="0" w:line="236"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12" w:lineRule="exact"/>
        <w:rPr>
          <w:sz w:val="20"/>
          <w:szCs w:val="20"/>
          <w:color w:val="auto"/>
        </w:rPr>
      </w:pPr>
    </w:p>
    <w:p>
      <w:pPr>
        <w:ind w:left="1260" w:hanging="623"/>
        <w:spacing w:after="0" w:line="250" w:lineRule="auto"/>
        <w:tabs>
          <w:tab w:leader="none" w:pos="1256"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260" w:hanging="623"/>
        <w:spacing w:after="0"/>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26" w:lineRule="exact"/>
        <w:rPr>
          <w:rFonts w:ascii="Arial" w:cs="Arial" w:eastAsia="Arial" w:hAnsi="Arial"/>
          <w:sz w:val="16"/>
          <w:szCs w:val="16"/>
          <w:color w:val="auto"/>
        </w:rPr>
      </w:pPr>
    </w:p>
    <w:p>
      <w:pPr>
        <w:ind w:left="1260" w:hanging="623"/>
        <w:spacing w:after="0"/>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Table drop for Encore Boston Harbor is the amount of cash and gross markers issued that are deposited in a gaming table's drop box.</w:t>
      </w:r>
    </w:p>
    <w:p>
      <w:pPr>
        <w:spacing w:after="0" w:line="26" w:lineRule="exact"/>
        <w:rPr>
          <w:rFonts w:ascii="Arial" w:cs="Arial" w:eastAsia="Arial" w:hAnsi="Arial"/>
          <w:sz w:val="16"/>
          <w:szCs w:val="16"/>
          <w:color w:val="auto"/>
        </w:rPr>
      </w:pPr>
    </w:p>
    <w:p>
      <w:pPr>
        <w:ind w:left="1260" w:hanging="623"/>
        <w:spacing w:after="0" w:line="244" w:lineRule="auto"/>
        <w:tabs>
          <w:tab w:leader="none" w:pos="1256" w:val="left"/>
        </w:tabs>
        <w:numPr>
          <w:ilvl w:val="0"/>
          <w:numId w:val="8"/>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260" w:hanging="623"/>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1260" w:hanging="623"/>
        <w:spacing w:after="0" w:line="248" w:lineRule="auto"/>
        <w:tabs>
          <w:tab w:leader="none" w:pos="12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1" w:lineRule="exact"/>
        <w:rPr>
          <w:rFonts w:ascii="Arial" w:cs="Arial" w:eastAsia="Arial" w:hAnsi="Arial"/>
          <w:sz w:val="18"/>
          <w:szCs w:val="18"/>
          <w:color w:val="auto"/>
        </w:rPr>
      </w:pPr>
    </w:p>
    <w:p>
      <w:pPr>
        <w:jc w:val="both"/>
        <w:ind w:left="1260" w:hanging="623"/>
        <w:spacing w:after="0" w:line="274" w:lineRule="auto"/>
        <w:tabs>
          <w:tab w:leader="none" w:pos="1256" w:val="left"/>
        </w:tabs>
        <w:numPr>
          <w:ilvl w:val="0"/>
          <w:numId w:val="9"/>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1" w:lineRule="exact"/>
        <w:rPr>
          <w:rFonts w:ascii="Arial" w:cs="Arial" w:eastAsia="Arial" w:hAnsi="Arial"/>
          <w:sz w:val="16"/>
          <w:szCs w:val="16"/>
          <w:color w:val="auto"/>
        </w:rPr>
      </w:pPr>
    </w:p>
    <w:p>
      <w:pPr>
        <w:jc w:val="both"/>
        <w:ind w:left="1260" w:hanging="623"/>
        <w:spacing w:after="0" w:line="274" w:lineRule="auto"/>
        <w:tabs>
          <w:tab w:leader="none" w:pos="1256" w:val="left"/>
        </w:tabs>
        <w:numPr>
          <w:ilvl w:val="0"/>
          <w:numId w:val="9"/>
        </w:numPr>
        <w:rPr>
          <w:rFonts w:ascii="Arial" w:cs="Arial" w:eastAsia="Arial" w:hAnsi="Arial"/>
          <w:sz w:val="16"/>
          <w:szCs w:val="16"/>
          <w:color w:val="auto"/>
        </w:rPr>
      </w:pPr>
      <w:r>
        <w:rPr>
          <w:rFonts w:ascii="Arial" w:cs="Arial" w:eastAsia="Arial" w:hAnsi="Arial"/>
          <w:sz w:val="16"/>
          <w:szCs w:val="16"/>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1" w:lineRule="exact"/>
        <w:rPr>
          <w:rFonts w:ascii="Arial" w:cs="Arial" w:eastAsia="Arial" w:hAnsi="Arial"/>
          <w:sz w:val="16"/>
          <w:szCs w:val="16"/>
          <w:color w:val="auto"/>
        </w:rPr>
      </w:pPr>
    </w:p>
    <w:p>
      <w:pPr>
        <w:ind w:left="1260" w:hanging="623"/>
        <w:spacing w:after="0" w:line="244" w:lineRule="auto"/>
        <w:tabs>
          <w:tab w:leader="none" w:pos="1256"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260" w:hanging="623"/>
        <w:spacing w:after="0" w:line="244" w:lineRule="auto"/>
        <w:tabs>
          <w:tab w:leader="none" w:pos="125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ind w:left="1260" w:hanging="623"/>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40"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w:t>
      </w:r>
    </w:p>
    <w:p>
      <w:pPr>
        <w:spacing w:after="0" w:line="217"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8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17" w:lineRule="exact"/>
        <w:rPr>
          <w:sz w:val="20"/>
          <w:szCs w:val="20"/>
          <w:color w:val="auto"/>
        </w:rPr>
      </w:pPr>
    </w:p>
    <w:p>
      <w:pPr>
        <w:jc w:val="both"/>
        <w:ind w:firstLine="395"/>
        <w:spacing w:after="0" w:line="327" w:lineRule="auto"/>
        <w:rPr>
          <w:sz w:val="20"/>
          <w:szCs w:val="20"/>
          <w:color w:val="auto"/>
        </w:rPr>
      </w:pPr>
      <w:r>
        <w:rPr>
          <w:rFonts w:ascii="Arial" w:cs="Arial" w:eastAsia="Arial" w:hAnsi="Arial"/>
          <w:sz w:val="15"/>
          <w:szCs w:val="15"/>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second quarter 2021 results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financial results for the periods presented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7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Increase/</w:t>
            </w:r>
          </w:p>
        </w:tc>
        <w:tc>
          <w:tcPr>
            <w:tcW w:w="960" w:type="dxa"/>
            <w:vAlign w:val="bottom"/>
            <w:gridSpan w:val="2"/>
          </w:tcPr>
          <w:p>
            <w:pPr>
              <w:ind w:left="220"/>
              <w:spacing w:after="0" w:line="119" w:lineRule="exact"/>
              <w:rPr>
                <w:sz w:val="20"/>
                <w:szCs w:val="20"/>
                <w:color w:val="auto"/>
              </w:rPr>
            </w:pPr>
            <w:r>
              <w:rPr>
                <w:rFonts w:ascii="Arial" w:cs="Arial" w:eastAsia="Arial" w:hAnsi="Arial"/>
                <w:sz w:val="13"/>
                <w:szCs w:val="13"/>
                <w:b w:val="1"/>
                <w:bCs w:val="1"/>
                <w:color w:val="auto"/>
              </w:rPr>
              <w:t>Percent</w:t>
            </w: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Increase/</w:t>
            </w:r>
          </w:p>
        </w:tc>
        <w:tc>
          <w:tcPr>
            <w:tcW w:w="860" w:type="dxa"/>
            <w:vAlign w:val="bottom"/>
          </w:tcPr>
          <w:p>
            <w:pPr>
              <w:jc w:val="right"/>
              <w:ind w:right="119"/>
              <w:spacing w:after="0" w:line="11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(Decrease)</w:t>
            </w:r>
          </w:p>
        </w:tc>
        <w:tc>
          <w:tcPr>
            <w:tcW w:w="860" w:type="dxa"/>
            <w:vAlign w:val="bottom"/>
          </w:tcPr>
          <w:p>
            <w:pPr>
              <w:jc w:val="right"/>
              <w:ind w:right="1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7"/>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990,113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904,415</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1,726,795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1,039,414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687,381</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172"/>
        </w:trPr>
        <w:tc>
          <w:tcPr>
            <w:tcW w:w="1780" w:type="dxa"/>
            <w:vAlign w:val="bottom"/>
          </w:tcPr>
          <w:p>
            <w:pPr>
              <w:ind w:left="20"/>
              <w:spacing w:after="0" w:line="172" w:lineRule="exact"/>
              <w:rPr>
                <w:sz w:val="20"/>
                <w:szCs w:val="20"/>
                <w:color w:val="auto"/>
              </w:rPr>
            </w:pPr>
            <w:r>
              <w:rPr>
                <w:rFonts w:ascii="Arial" w:cs="Arial" w:eastAsia="Arial" w:hAnsi="Arial"/>
                <w:sz w:val="18"/>
                <w:szCs w:val="18"/>
                <w:color w:val="auto"/>
                <w:w w:val="97"/>
              </w:rPr>
              <w:t>Net loss attributable to</w:t>
            </w: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(131,369)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(637,564)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506,195</w:t>
            </w: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79.4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(412,347)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9"/>
              </w:rPr>
              <w:t>(1,039,601)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627,254</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3"/>
        </w:trPr>
        <w:tc>
          <w:tcPr>
            <w:tcW w:w="1780" w:type="dxa"/>
            <w:vAlign w:val="bottom"/>
          </w:tcPr>
          <w:p>
            <w:pPr>
              <w:ind w:left="20"/>
              <w:spacing w:after="0"/>
              <w:rPr>
                <w:sz w:val="20"/>
                <w:szCs w:val="20"/>
                <w:color w:val="auto"/>
              </w:rPr>
            </w:pPr>
            <w:r>
              <w:rPr>
                <w:rFonts w:ascii="Arial" w:cs="Arial" w:eastAsia="Arial" w:hAnsi="Arial"/>
                <w:sz w:val="18"/>
                <w:szCs w:val="18"/>
                <w:color w:val="auto"/>
                <w:w w:val="96"/>
              </w:rPr>
              <w:t>Wynn Resorts, Limited</w:t>
            </w: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7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Diluted net loss per</w:t>
            </w: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3"/>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780" w:type="dxa"/>
            <w:vAlign w:val="bottom"/>
          </w:tcPr>
          <w:p>
            <w:pPr>
              <w:ind w:left="20"/>
              <w:spacing w:after="0" w:line="172" w:lineRule="exact"/>
              <w:rPr>
                <w:sz w:val="20"/>
                <w:szCs w:val="20"/>
                <w:color w:val="auto"/>
              </w:rPr>
            </w:pPr>
            <w:r>
              <w:rPr>
                <w:rFonts w:ascii="Arial" w:cs="Arial" w:eastAsia="Arial" w:hAnsi="Arial"/>
                <w:sz w:val="18"/>
                <w:szCs w:val="18"/>
                <w:color w:val="auto"/>
              </w:rPr>
              <w:t>Adjusted Property</w:t>
            </w: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206,880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(322,897)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529,777</w:t>
            </w:r>
          </w:p>
        </w:tc>
        <w:tc>
          <w:tcPr>
            <w:tcW w:w="80" w:type="dxa"/>
            <w:vAlign w:val="bottom"/>
          </w:tcPr>
          <w:p>
            <w:pPr>
              <w:spacing w:after="0"/>
              <w:rPr>
                <w:sz w:val="14"/>
                <w:szCs w:val="14"/>
                <w:color w:val="auto"/>
              </w:rPr>
            </w:pPr>
          </w:p>
        </w:tc>
        <w:tc>
          <w:tcPr>
            <w:tcW w:w="960" w:type="dxa"/>
            <w:vAlign w:val="bottom"/>
            <w:gridSpan w:val="2"/>
            <w:vMerge w:val="restart"/>
          </w:tcPr>
          <w:p>
            <w:pPr>
              <w:ind w:left="58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265,780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(328,226)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594,006</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1780" w:type="dxa"/>
            <w:vAlign w:val="bottom"/>
          </w:tcPr>
          <w:p>
            <w:pPr>
              <w:ind w:left="2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14"/>
                <w:szCs w:val="14"/>
                <w:color w:val="auto"/>
              </w:rPr>
              <w:t>(1)</w:t>
            </w: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(1) See Item 1—"Financial Statements," Note 17, "Segment Information," for a reconciliation of Adjusted Property EBITDA to net loss attributable to Wynn Resorts, Limited.</w:t>
      </w:r>
    </w:p>
    <w:p>
      <w:pPr>
        <w:spacing w:after="0" w:line="22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increase in operating revenues for the three months ended June 30, 2021 was primarily driven by increases of $261.7 million, $172.1 million, $290.2 million, and $165.0 million from Wynn Palace, Wynn Macau, our Las Vegas Operations, and Encore Boston Harbor, respectively, as a result of ongoing recovery from the effects of COVID-19.</w:t>
      </w:r>
    </w:p>
    <w:p>
      <w:pPr>
        <w:spacing w:after="0" w:line="21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decrease in net loss attributable to Wynn Resorts, Limited for the three months ended June 30, 2021 was primarily related to increased operating revenues at our integrated resort properties, partially offset by increased operating expenses. In addition, net loss attributable to Wynn Resorts, Limited for the second quarter of 2020 excluded the impact of $75.7 million of expense related to our commitment to pay salary, tips, and benefits continuation for all of our U.S. employees for the period from April 1 through May 15, 2020, which we accrued during the first quarter of 2020.</w:t>
      </w:r>
    </w:p>
    <w:p>
      <w:pPr>
        <w:spacing w:after="0" w:line="187"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increase in Adjusted Property EBITDA for the three months ended June 30, 2021 was primarily driven by increased operating revenues at our integrated resort properties. Adjusted Property EBITDA increased $164.5 million, $96.7 million, $208.8 million, and $100.7 million at Wynn Palace, Wynn Macau, our Las Vegas Operations, and Encore Boston Harbor, respectively, and decreased $40.9 million at Corporate and other. In addition, Adjusted Property EBITDA for the second quarter of 2020 excluded the impact of $75.7 million of expense related to our commitment to pay salary, tips, and benefits continuation for all of our U.S. employees for the period from April 1 through May 15, 2020, which we accrued during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2021 compared to the three months ended June 30, 2020.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our operating revenues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57"/>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200" w:type="dxa"/>
            <w:vAlign w:val="bottom"/>
          </w:tcPr>
          <w:p>
            <w:pPr>
              <w:jc w:val="right"/>
              <w:ind w:right="302"/>
              <w:spacing w:after="0" w:line="11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4"/>
        </w:trPr>
        <w:tc>
          <w:tcPr>
            <w:tcW w:w="56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4"/>
              </w:rPr>
              <w:t>(Decrease)</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160"/>
              <w:spacing w:after="0"/>
              <w:rPr>
                <w:sz w:val="20"/>
                <w:szCs w:val="20"/>
                <w:color w:val="auto"/>
              </w:rPr>
            </w:pPr>
            <w:r>
              <w:rPr>
                <w:rFonts w:ascii="Arial" w:cs="Arial" w:eastAsia="Arial" w:hAnsi="Arial"/>
                <w:sz w:val="18"/>
                <w:szCs w:val="18"/>
                <w:color w:val="auto"/>
              </w:rPr>
              <w:t>Macau Operations: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270,371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261,653</w:t>
            </w:r>
          </w:p>
        </w:tc>
        <w:tc>
          <w:tcPr>
            <w:tcW w:w="13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3,001.3</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Wynn Macau</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184,028</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11,888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172,140</w:t>
            </w:r>
          </w:p>
        </w:tc>
        <w:tc>
          <w:tcPr>
            <w:tcW w:w="1300" w:type="dxa"/>
            <w:vAlign w:val="bottom"/>
            <w:tcBorders>
              <w:bottom w:val="single" w:sz="8" w:color="CCEEFF"/>
            </w:tcBorders>
            <w:gridSpan w:val="2"/>
          </w:tcPr>
          <w:p>
            <w:pPr>
              <w:jc w:val="right"/>
              <w:ind w:right="2"/>
              <w:spacing w:after="0"/>
              <w:rPr>
                <w:sz w:val="20"/>
                <w:szCs w:val="20"/>
                <w:color w:val="auto"/>
              </w:rPr>
            </w:pPr>
            <w:r>
              <w:rPr>
                <w:rFonts w:ascii="Arial" w:cs="Arial" w:eastAsia="Arial" w:hAnsi="Arial"/>
                <w:sz w:val="18"/>
                <w:szCs w:val="18"/>
                <w:color w:val="auto"/>
              </w:rPr>
              <w:t>1,448.0</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Macau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454,399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20,606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433,793</w:t>
            </w:r>
          </w:p>
        </w:tc>
        <w:tc>
          <w:tcPr>
            <w:tcW w:w="13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2,105.2</w:t>
            </w:r>
          </w:p>
        </w:tc>
        <w:tc>
          <w:tcPr>
            <w:tcW w:w="0" w:type="dxa"/>
            <w:vAlign w:val="bottom"/>
          </w:tcPr>
          <w:p>
            <w:pPr>
              <w:spacing w:after="0"/>
              <w:rPr>
                <w:sz w:val="1"/>
                <w:szCs w:val="1"/>
                <w:color w:val="auto"/>
              </w:rPr>
            </w:pPr>
          </w:p>
        </w:tc>
      </w:tr>
      <w:tr>
        <w:trPr>
          <w:trHeight w:val="223"/>
        </w:trPr>
        <w:tc>
          <w:tcPr>
            <w:tcW w:w="5640" w:type="dxa"/>
            <w:vAlign w:val="bottom"/>
          </w:tcPr>
          <w:p>
            <w:pPr>
              <w:ind w:left="160"/>
              <w:spacing w:after="0"/>
              <w:rPr>
                <w:sz w:val="20"/>
                <w:szCs w:val="20"/>
                <w:color w:val="auto"/>
              </w:rPr>
            </w:pPr>
            <w:r>
              <w:rPr>
                <w:rFonts w:ascii="Arial" w:cs="Arial" w:eastAsia="Arial" w:hAnsi="Arial"/>
                <w:sz w:val="18"/>
                <w:szCs w:val="18"/>
                <w:color w:val="auto"/>
              </w:rPr>
              <w:t>Las Vegas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355,066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64,886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290,180</w:t>
            </w:r>
          </w:p>
        </w:tc>
        <w:tc>
          <w:tcPr>
            <w:tcW w:w="1300" w:type="dxa"/>
            <w:vAlign w:val="bottom"/>
            <w:gridSpan w:val="2"/>
          </w:tcPr>
          <w:p>
            <w:pPr>
              <w:jc w:val="right"/>
              <w:ind w:right="2"/>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Encore Boston Harbor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165,241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165,035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640" w:type="dxa"/>
            <w:vAlign w:val="bottom"/>
          </w:tcPr>
          <w:p>
            <w:pPr>
              <w:ind w:left="16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15,407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15,407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2"/>
        </w:trPr>
        <w:tc>
          <w:tcPr>
            <w:tcW w:w="56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990,113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85,698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904,415</w:t>
            </w:r>
          </w:p>
        </w:tc>
        <w:tc>
          <w:tcPr>
            <w:tcW w:w="1300" w:type="dxa"/>
            <w:vAlign w:val="bottom"/>
            <w:tcBorders>
              <w:top w:val="single" w:sz="8" w:color="CCEEFF"/>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1,055.4</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our casino and non-casino operating revenues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57"/>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200" w:type="dxa"/>
            <w:vAlign w:val="bottom"/>
          </w:tcPr>
          <w:p>
            <w:pPr>
              <w:jc w:val="right"/>
              <w:ind w:right="312"/>
              <w:spacing w:after="0" w:line="11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4"/>
        </w:trPr>
        <w:tc>
          <w:tcPr>
            <w:tcW w:w="56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4"/>
              </w:rPr>
              <w:t>(Decrease)</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640" w:type="dxa"/>
            <w:vAlign w:val="bottom"/>
          </w:tcPr>
          <w:p>
            <w:pPr>
              <w:ind w:left="340"/>
              <w:spacing w:after="0"/>
              <w:rPr>
                <w:sz w:val="20"/>
                <w:szCs w:val="20"/>
                <w:color w:val="auto"/>
              </w:rPr>
            </w:pPr>
            <w:r>
              <w:rPr>
                <w:rFonts w:ascii="Arial" w:cs="Arial" w:eastAsia="Arial" w:hAnsi="Arial"/>
                <w:sz w:val="18"/>
                <w:szCs w:val="18"/>
                <w:b w:val="1"/>
                <w:bCs w:val="1"/>
                <w:color w:val="auto"/>
              </w:rPr>
              <w:t>Casino revenues</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602,746</w:t>
            </w:r>
          </w:p>
        </w:tc>
        <w:tc>
          <w:tcPr>
            <w:tcW w:w="100" w:type="dxa"/>
            <w:vAlign w:val="bottom"/>
          </w:tcPr>
          <w:p>
            <w:pPr>
              <w:spacing w:after="0"/>
              <w:rPr>
                <w:sz w:val="19"/>
                <w:szCs w:val="19"/>
                <w:color w:val="auto"/>
              </w:rPr>
            </w:pPr>
          </w:p>
        </w:tc>
        <w:tc>
          <w:tcPr>
            <w:tcW w:w="860" w:type="dxa"/>
            <w:vAlign w:val="bottom"/>
          </w:tcPr>
          <w:p>
            <w:pPr>
              <w:jc w:val="right"/>
              <w:ind w:right="678"/>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9,413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593,333</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color w:val="auto"/>
              </w:rPr>
              <w:t>6,303.3</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Non-casino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460"/>
              <w:spacing w:after="0"/>
              <w:rPr>
                <w:sz w:val="20"/>
                <w:szCs w:val="20"/>
                <w:color w:val="auto"/>
              </w:rPr>
            </w:pPr>
            <w:r>
              <w:rPr>
                <w:rFonts w:ascii="Arial" w:cs="Arial" w:eastAsia="Arial" w:hAnsi="Arial"/>
                <w:sz w:val="18"/>
                <w:szCs w:val="18"/>
                <w:color w:val="auto"/>
              </w:rPr>
              <w:t>Rooms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137,765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17,415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120,350</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Food and beverage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149,142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125,135</w:t>
            </w:r>
          </w:p>
        </w:tc>
        <w:tc>
          <w:tcPr>
            <w:tcW w:w="1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100,460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34,863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65,597</w:t>
            </w:r>
          </w:p>
        </w:tc>
        <w:tc>
          <w:tcPr>
            <w:tcW w:w="1300" w:type="dxa"/>
            <w:vAlign w:val="bottom"/>
            <w:tcBorders>
              <w:bottom w:val="single" w:sz="8" w:color="CCEEFF"/>
            </w:tcBorders>
            <w:gridSpan w:val="2"/>
          </w:tcPr>
          <w:p>
            <w:pPr>
              <w:jc w:val="right"/>
              <w:ind w:right="12"/>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non-casino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387,367</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76,285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311,082</w:t>
            </w:r>
          </w:p>
        </w:tc>
        <w:tc>
          <w:tcPr>
            <w:tcW w:w="1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17"/>
        </w:trPr>
        <w:tc>
          <w:tcPr>
            <w:tcW w:w="564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990,113</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85,698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904,415</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color w:val="auto"/>
              </w:rPr>
              <w:t>1,055.4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Casino revenues for the three months ended June 30, 2021 were 60.9% of operating revenues, compared to 11.0% for the same period of 2020. Non-casino revenues for the three months ended June 30, 2021 were 39.1% of operating revenues, compared to 89.0% for the same period of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40"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Casino revenues increased primarily due to increased table drop, table games win and slot machine win at our Las Vegas Operations and increased VIP turnover and table games win and mass market table drop, table games win and slot machine win at our Macau Operations. The table games win and slot machine win at Encore Boston Harbor was $64.9 million and $89.6 million for the three months ended June 30, 2021, respectively. Our Las Vegas Operations were closed to the public from March 17, 2020 until June 4, 2020. Encore Boston Harbor closed to the public on March 15, 2020, and remained closed through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table below sets forth our casino revenues and associated key operating measures (dollars in thousands, except for win per unit per day):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0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Increase/</w:t>
            </w:r>
          </w:p>
        </w:tc>
        <w:tc>
          <w:tcPr>
            <w:tcW w:w="1400" w:type="dxa"/>
            <w:vAlign w:val="bottom"/>
          </w:tcPr>
          <w:p>
            <w:pPr>
              <w:jc w:val="right"/>
              <w:ind w:right="374"/>
              <w:spacing w:after="0" w:line="11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(Decrease)</w:t>
            </w:r>
          </w:p>
        </w:tc>
        <w:tc>
          <w:tcPr>
            <w:tcW w:w="1400" w:type="dxa"/>
            <w:vAlign w:val="bottom"/>
          </w:tcPr>
          <w:p>
            <w:pPr>
              <w:jc w:val="right"/>
              <w:ind w:right="3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50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00"/>
              <w:spacing w:after="0"/>
              <w:rPr>
                <w:sz w:val="20"/>
                <w:szCs w:val="20"/>
                <w:color w:val="auto"/>
              </w:rPr>
            </w:pPr>
            <w:r>
              <w:rPr>
                <w:rFonts w:ascii="Arial" w:cs="Arial" w:eastAsia="Arial" w:hAnsi="Arial"/>
                <w:sz w:val="18"/>
                <w:szCs w:val="18"/>
                <w:color w:val="auto"/>
              </w:rPr>
              <w:t>Wynn Palace: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casino revenues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212,067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(11,428)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223,495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VIP:</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VIP turnover</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1,811,381</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1,719,825</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91,556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VIP table games win</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71,570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(29,806)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VIP win as a % of turnover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8,346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707,494</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22,029</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685,465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3,111.6</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163,547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2,181.6</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421,269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39,415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381,854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18,772</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16,377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23"/>
        </w:trPr>
        <w:tc>
          <w:tcPr>
            <w:tcW w:w="5040" w:type="dxa"/>
            <w:vAlign w:val="bottom"/>
          </w:tcPr>
          <w:p>
            <w:pPr>
              <w:ind w:left="100"/>
              <w:spacing w:after="0"/>
              <w:rPr>
                <w:sz w:val="20"/>
                <w:szCs w:val="20"/>
                <w:color w:val="auto"/>
              </w:rPr>
            </w:pPr>
            <w:r>
              <w:rPr>
                <w:rFonts w:ascii="Arial" w:cs="Arial" w:eastAsia="Arial" w:hAnsi="Arial"/>
                <w:sz w:val="18"/>
                <w:szCs w:val="18"/>
                <w:color w:val="auto"/>
              </w:rPr>
              <w:t>Wynn Macau:</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casino revenues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142,419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145,943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VIP:</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VIP turnover</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1,489,912</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607,144</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882,768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VIP table games win</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39,388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(12,161)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VIP win as a % of turnover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670,400</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40,817</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629,583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1,542.5</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128,921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125,530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3,701.9</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5,903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300,523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62,011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9,223</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6,597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0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Increase/</w:t>
            </w:r>
          </w:p>
        </w:tc>
        <w:tc>
          <w:tcPr>
            <w:tcW w:w="1400" w:type="dxa"/>
            <w:vAlign w:val="bottom"/>
          </w:tcPr>
          <w:p>
            <w:pPr>
              <w:jc w:val="right"/>
              <w:ind w:right="376"/>
              <w:spacing w:after="0" w:line="11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50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 xml:space="preserve">Las Vegas Operations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Total casino revenues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112,775</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24,365</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88,410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427,014</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90,873</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336,141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99,021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17,918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4,997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2,998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1,115,149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246,393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868,756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78,890</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17,523</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61,367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3,927</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3,927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(2)</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Total casino revenues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135,485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306,070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64,874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3,654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1,094,178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89,560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Note: In response to the initial outbreak of COVID-19 in early 2020, each of our properties was subject to partial or full closure for varying lengths of time during 2020, and each has since reopened with certain COVID-19 specific protective measures in place.</w:t>
      </w:r>
    </w:p>
    <w:p>
      <w:pPr>
        <w:jc w:val="both"/>
        <w:ind w:left="240" w:hanging="235"/>
        <w:spacing w:after="0" w:line="235" w:lineRule="auto"/>
        <w:tabs>
          <w:tab w:leader="none" w:pos="206"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Las Vegas Operations closed on March 17, 2020 and reopened on June 4, 2020. On October 19, 2020, Encore at Wynn Las Vegas adjusted its operating schedule to five days/four nights each week due to reduced customer demand levels. This adjusted operating schedule remained in effect through the first quarter of 2021, and on April 8, 2021, Encore at Wynn Las Vegas resumed full operations.</w:t>
      </w:r>
    </w:p>
    <w:p>
      <w:pPr>
        <w:ind w:left="240" w:hanging="235"/>
        <w:spacing w:after="0" w:line="244" w:lineRule="auto"/>
        <w:tabs>
          <w:tab w:leader="none" w:pos="218" w:val="left"/>
        </w:tabs>
        <w:numPr>
          <w:ilvl w:val="0"/>
          <w:numId w:val="10"/>
        </w:numPr>
        <w:rPr>
          <w:rFonts w:ascii="Arial" w:cs="Arial" w:eastAsia="Arial" w:hAnsi="Arial"/>
          <w:sz w:val="14"/>
          <w:szCs w:val="14"/>
          <w:color w:val="auto"/>
        </w:rPr>
      </w:pPr>
      <w:r>
        <w:rPr>
          <w:rFonts w:ascii="Arial" w:cs="Arial" w:eastAsia="Arial" w:hAnsi="Arial"/>
          <w:sz w:val="14"/>
          <w:szCs w:val="14"/>
          <w:color w:val="auto"/>
        </w:rPr>
        <w:t>Encore Boston Harbor casino revenues and associated key operating measures for the second quarter of 2020 have been omitted from the table. As a result of the COVID-19 pandemic, our operations at Encore Boston Harbor were closed throughout the second quarter in 2020.</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0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Increase/</w:t>
            </w:r>
          </w:p>
        </w:tc>
        <w:tc>
          <w:tcPr>
            <w:tcW w:w="14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0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Macau Operations:</w:t>
            </w:r>
          </w:p>
        </w:tc>
        <w:tc>
          <w:tcPr>
            <w:tcW w:w="3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60"/>
              <w:spacing w:after="0"/>
              <w:rPr>
                <w:sz w:val="20"/>
                <w:szCs w:val="20"/>
                <w:color w:val="auto"/>
              </w:rPr>
            </w:pPr>
            <w:r>
              <w:rPr>
                <w:rFonts w:ascii="Arial" w:cs="Arial" w:eastAsia="Arial" w:hAnsi="Arial"/>
                <w:sz w:val="18"/>
                <w:szCs w:val="18"/>
                <w:color w:val="auto"/>
              </w:rPr>
              <w:t>Wynn Palace</w:t>
            </w: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20,883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2,431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746.7</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13,427</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2,631</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Occupancy</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2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 xml:space="preserve">Las Vegas Operations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93,785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12,353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(2)(3)</w:t>
            </w: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Occupancy</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00" w:hanging="195"/>
        <w:spacing w:after="0"/>
        <w:tabs>
          <w:tab w:leader="none" w:pos="2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Wynn Las Vegas closed on March 17, 2020 and reopened on June 4, 2020.</w:t>
      </w:r>
    </w:p>
    <w:p>
      <w:pPr>
        <w:spacing w:after="0" w:line="8" w:lineRule="exact"/>
        <w:rPr>
          <w:rFonts w:ascii="Arial" w:cs="Arial" w:eastAsia="Arial" w:hAnsi="Arial"/>
          <w:sz w:val="14"/>
          <w:szCs w:val="14"/>
          <w:color w:val="auto"/>
        </w:rPr>
      </w:pPr>
    </w:p>
    <w:p>
      <w:pPr>
        <w:ind w:left="240" w:hanging="235"/>
        <w:spacing w:after="0" w:line="235" w:lineRule="auto"/>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Encore Boston Harbor room revenues and associated key operating measures for the second quarter of 2020 have been omitted from the table. As a result of the COVID-19 pandemic, our operations at Encore Boston Harbor were closed throughout the second quarter in 2020.</w:t>
      </w:r>
    </w:p>
    <w:p>
      <w:pPr>
        <w:ind w:left="240" w:hanging="235"/>
        <w:spacing w:after="0" w:line="244" w:lineRule="auto"/>
        <w:tabs>
          <w:tab w:leader="none" w:pos="204" w:val="left"/>
        </w:tabs>
        <w:numPr>
          <w:ilvl w:val="0"/>
          <w:numId w:val="11"/>
        </w:numPr>
        <w:rPr>
          <w:rFonts w:ascii="Arial" w:cs="Arial" w:eastAsia="Arial" w:hAnsi="Arial"/>
          <w:sz w:val="14"/>
          <w:szCs w:val="14"/>
          <w:color w:val="auto"/>
        </w:rPr>
      </w:pPr>
      <w:r>
        <w:rPr>
          <w:rFonts w:ascii="Arial" w:cs="Arial" w:eastAsia="Arial" w:hAnsi="Arial"/>
          <w:sz w:val="14"/>
          <w:szCs w:val="14"/>
          <w:color w:val="auto"/>
        </w:rPr>
        <w:t>Encore Boston Harbor room statistics have been computed based on 53 days of operation in three months ended June 30, 2021, representing the number of nights hotel rooms were offered for sale to the public.</w:t>
      </w:r>
    </w:p>
    <w:p>
      <w:pPr>
        <w:spacing w:after="0" w:line="21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Room revenues increased $120.4 million, primarily due to higher occupancy at our Las Vegas Operations and our Macau Operations. Encore at Wynn Las Vegas operated on a limited basis with midweek closures throughout the first quarter of 2021 before fully reopening April 8, 2021. Room revenues from Encore Boston Harbor were $9.7 million. The hotel tower at Encore Boston Harbor was closed pursuant to a state directive from November 6, 2020 through January 25, 2021, when it restored certain operations and reopened its hotel tower on a Thursday through Sunday weekly schedule.</w:t>
      </w:r>
    </w:p>
    <w:p>
      <w:pPr>
        <w:spacing w:after="0" w:line="18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Food and beverage revenues increased $125.1 million, primarily driven by increased covers at our Las Vegas Operations and our Macau Operations. Food and beverage revenues from Encore Boston Harbor were $13.9 million.</w:t>
      </w:r>
    </w:p>
    <w:p>
      <w:pPr>
        <w:spacing w:after="0" w:line="20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Entertainment, retail and other revenues increased $65.6 million, primarily due to an increase in visitation at our Las Vegas Operations and our Macau Operations. Entertainment, retail and other revenues from Encore Boston Harbor were $6.2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6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56"/>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20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84"/>
        </w:trPr>
        <w:tc>
          <w:tcPr>
            <w:tcW w:w="56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4"/>
              </w:rPr>
              <w:t>(Decrease)</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340"/>
              <w:spacing w:after="0"/>
              <w:rPr>
                <w:sz w:val="20"/>
                <w:szCs w:val="20"/>
                <w:color w:val="auto"/>
              </w:rPr>
            </w:pPr>
            <w:r>
              <w:rPr>
                <w:rFonts w:ascii="Arial" w:cs="Arial" w:eastAsia="Arial" w:hAnsi="Arial"/>
                <w:sz w:val="18"/>
                <w:szCs w:val="18"/>
                <w:color w:val="auto"/>
              </w:rPr>
              <w:t>Casino</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381,615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131,138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250,477</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20,185</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3"/>
        </w:trPr>
        <w:tc>
          <w:tcPr>
            <w:tcW w:w="564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55,217</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64,049</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23"/>
        </w:trPr>
        <w:tc>
          <w:tcPr>
            <w:tcW w:w="56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152,081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45,464</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3"/>
        </w:trPr>
        <w:tc>
          <w:tcPr>
            <w:tcW w:w="564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Property charges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1,019,634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608,714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410,920</w:t>
            </w:r>
          </w:p>
        </w:tc>
        <w:tc>
          <w:tcPr>
            <w:tcW w:w="1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Total operating expenses increased $410.9 million compared to the second quarter of 2020, primarily due to increased casino, room, food and beverage, entertainment, retail and other, and general and administrative expenses associated with increased levels of business as our properties recover from the effects of the COVID-19 pandemic, partially offset by decreased provision for credit losses. Operating expenses for the second quarter of 2020 excluded $75.7 million of expense related to our commitment to pay salary, tips, and benefits continuation for all of our U.S. employees for the period from April 1 through May 15, 2020, which we accrued during the first quarter of 2020.</w:t>
      </w:r>
    </w:p>
    <w:p>
      <w:pPr>
        <w:spacing w:after="0" w:line="11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Casino expenses increased $107.5 million, $74.8 million, $22.1 million, and $46.1 million at Wynn Palace, Wynn Macau, our Las Vegas Operations, and Encore Boston Harbor, respectively. These increases were primarily due to increased gaming tax expense commensurate with the increase in casino revenues at each property. Casino expenses for the second quarter of 2020 excluded expense of $7.9 million from Encore Boston Harbor and $12.8 million from our Las Vegas Operations related to our commitment to pay salary, tips, and benefits continuation for all of our U.S. employees for the period from April 1 through May 15, 2020, which we accrued during the first quarter of 2020.</w:t>
      </w:r>
    </w:p>
    <w:p>
      <w:pPr>
        <w:spacing w:after="0" w:line="12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Room expenses increased $14.5 million and $2.7 million at our Las Vegas Operations and Encore Boston Harbor, respectively. The increases were primarily a result of higher operating costs related to the increase in occupancy at our Las Vegas Operations and Encore Boston Harbor. Room expenses for the second quarter of 2020 excluded expense of $1.5 million from Encore Boston Harbor and $8.3 million from our Las Vegas Operations related to our commitment to pay salary, tips, and benefits continuation for all of our U.S. employees for the period from April 1 through May 15, 2020, which we accrued during the first quarter of 2020.</w:t>
      </w:r>
    </w:p>
    <w:p>
      <w:pPr>
        <w:spacing w:after="0" w:line="12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Food and beverage expenses increased $46.0 million and $4.4 million at our Las Vegas Operations and Encore Boston Harbor, respectively. The increases were primarily a result of higher operating costs related to the increase in food and beverage revenues at each property as well as higher nightlife entertainment costs at our Las Vegas Operations. Food and beverage expenses for the second quarter of 2020 excluded expense of $20.8 million from our Las Vegas Operations and $4.8 million from Encore Boston Harbor related to our commitment to pay salary, tips, and benefits continuation for all of our U.S. employees for the period from April 1 through May 15, 2020, which we accrued during the first quarter of 2020.</w:t>
      </w:r>
    </w:p>
    <w:p>
      <w:pPr>
        <w:spacing w:after="0" w:line="8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Entertainment, retail and other expenses increased primarily due to marketing expenses incurred by Wynn Interactive. Entertainment, retail and other expenses for the second quarter of 2020 excluded expense of $4.1 million from our Las Vegas Operations and $0.7 million from Encore Boston Harbor related to our commitment to pay salary, tips, and benefits continuation for all of our U.S. employees for the period from April 1 through May 15, 2020, which we accrued during the first quarter of 2020.</w:t>
      </w:r>
    </w:p>
    <w:p>
      <w:pPr>
        <w:spacing w:after="0" w:line="1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General and administrative expenses increased primarily due to increases of $10.8 million and $5.1 million at Encore Boston Harbor and our Las Vegas Operations, respectively. These increases were primarily attributable to increased payroll, operating costs, and general and administrative expenses. In addition, corporate and other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increased $27.3 million, primarily due to a credit of $27.7 million for the net proceeds of a derivative action settlement recognized during the three months ended June 30, 2020. General and administrative expenses for the second quarter of 2020 excluded expense of $10.2 million from our Las Vegas Operations and $4.4 million from Encore Boston Harbor related to our commitment to pay salary, tips, and benefits continuation for all of our U.S. employees for the period from April 1 through May 15, 2020, which we accrued during the first quarter of 2020.</w:t>
      </w:r>
    </w:p>
    <w:p>
      <w:pPr>
        <w:spacing w:after="0" w:line="1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Provision for credit losses decreased $14.8 million and $8.8 million at Wynn Palace and our Las Vegas Operations, respectively. The decreases were primarily due to the impact of historical collection patterns and expectations of current and future collection trends, as well as the specific review of customer accounts, on our estimated credit loss for the respective periods.</w:t>
      </w:r>
    </w:p>
    <w:p>
      <w:pPr>
        <w:spacing w:after="0" w:line="11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property charges and other expenses for the quarter ended June 30, 2021 consisted primarily of asset disposals, abandonments and retirements of $1.4 million, $1.2 million, and $1.0 million at our Las Vegas Operations, Wynn Macau, and Wynn Palace, respectively. Our property charges and other expenses for the quarter ended June 30, 2020 consisted primarily of asset disposals, abandonments and retirements of $3.6 million and $1.0 million at Encore Boston Harbor and Wynn Palace,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2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vMerge w:val="restart"/>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vMerge w:val="restart"/>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Increase/</w:t>
            </w:r>
          </w:p>
        </w:tc>
        <w:tc>
          <w:tcPr>
            <w:tcW w:w="1160" w:type="dxa"/>
            <w:vAlign w:val="bottom"/>
          </w:tcPr>
          <w:p>
            <w:pPr>
              <w:ind w:left="340"/>
              <w:spacing w:after="0" w:line="11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(Decrease)</w:t>
            </w:r>
          </w:p>
        </w:tc>
        <w:tc>
          <w:tcPr>
            <w:tcW w:w="1160" w:type="dxa"/>
            <w:vAlign w:val="bottom"/>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52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Interest expense</w:t>
            </w: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240" w:type="dxa"/>
            <w:vAlign w:val="bottom"/>
          </w:tcPr>
          <w:p>
            <w:pPr>
              <w:ind w:left="20"/>
              <w:spacing w:after="0" w:line="172" w:lineRule="exact"/>
              <w:rPr>
                <w:sz w:val="20"/>
                <w:szCs w:val="20"/>
                <w:color w:val="auto"/>
              </w:rPr>
            </w:pPr>
            <w:r>
              <w:rPr>
                <w:rFonts w:ascii="Arial" w:cs="Arial" w:eastAsia="Arial" w:hAnsi="Arial"/>
                <w:sz w:val="18"/>
                <w:szCs w:val="18"/>
                <w:color w:val="auto"/>
                <w:w w:val="92"/>
              </w:rPr>
              <w:t>Interest cost, including amortization of debt issuance costs and original</w:t>
            </w: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19"/>
              <w:spacing w:after="0"/>
              <w:rPr>
                <w:sz w:val="20"/>
                <w:szCs w:val="20"/>
                <w:color w:val="auto"/>
              </w:rPr>
            </w:pPr>
            <w:r>
              <w:rPr>
                <w:rFonts w:ascii="Arial" w:cs="Arial" w:eastAsia="Arial" w:hAnsi="Arial"/>
                <w:sz w:val="18"/>
                <w:szCs w:val="18"/>
                <w:color w:val="auto"/>
              </w:rPr>
              <w:t>150,424</w:t>
            </w:r>
          </w:p>
        </w:tc>
        <w:tc>
          <w:tcPr>
            <w:tcW w:w="120" w:type="dxa"/>
            <w:vAlign w:val="bottom"/>
          </w:tcPr>
          <w:p>
            <w:pPr>
              <w:spacing w:after="0"/>
              <w:rPr>
                <w:sz w:val="14"/>
                <w:szCs w:val="14"/>
                <w:color w:val="auto"/>
              </w:rPr>
            </w:pPr>
          </w:p>
        </w:tc>
        <w:tc>
          <w:tcPr>
            <w:tcW w:w="360" w:type="dxa"/>
            <w:vAlign w:val="bottom"/>
            <w:vMerge w:val="restart"/>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7"/>
              <w:spacing w:after="0"/>
              <w:rPr>
                <w:sz w:val="20"/>
                <w:szCs w:val="20"/>
                <w:color w:val="auto"/>
              </w:rPr>
            </w:pPr>
            <w:r>
              <w:rPr>
                <w:rFonts w:ascii="Arial" w:cs="Arial" w:eastAsia="Arial" w:hAnsi="Arial"/>
                <w:sz w:val="18"/>
                <w:szCs w:val="18"/>
                <w:color w:val="auto"/>
              </w:rPr>
              <w:t>133,218</w:t>
            </w:r>
          </w:p>
        </w:tc>
        <w:tc>
          <w:tcPr>
            <w:tcW w:w="100" w:type="dxa"/>
            <w:vAlign w:val="bottom"/>
          </w:tcPr>
          <w:p>
            <w:pPr>
              <w:spacing w:after="0"/>
              <w:rPr>
                <w:sz w:val="14"/>
                <w:szCs w:val="14"/>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17,206</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issue discount and premium</w:t>
            </w:r>
          </w:p>
        </w:tc>
        <w:tc>
          <w:tcPr>
            <w:tcW w:w="3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9"/>
              <w:spacing w:after="0"/>
              <w:rPr>
                <w:sz w:val="20"/>
                <w:szCs w:val="20"/>
                <w:color w:val="auto"/>
              </w:rPr>
            </w:pPr>
            <w:r>
              <w:rPr>
                <w:rFonts w:ascii="Arial" w:cs="Arial" w:eastAsia="Arial" w:hAnsi="Arial"/>
                <w:sz w:val="18"/>
                <w:szCs w:val="18"/>
                <w:color w:val="auto"/>
              </w:rPr>
              <w:t>12,105,755</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7"/>
              <w:spacing w:after="0"/>
              <w:rPr>
                <w:sz w:val="20"/>
                <w:szCs w:val="20"/>
                <w:color w:val="auto"/>
              </w:rPr>
            </w:pPr>
            <w:r>
              <w:rPr>
                <w:rFonts w:ascii="Arial" w:cs="Arial" w:eastAsia="Arial" w:hAnsi="Arial"/>
                <w:sz w:val="18"/>
                <w:szCs w:val="18"/>
                <w:color w:val="auto"/>
              </w:rPr>
              <w:t>12,143,644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Interest costs increased primarily due to an increase in the weighted average interest rate.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4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incurred a foreign currency remeasurement gain of $5.6 million and $2.2 million for the three months ended June 30, 2021 and 2020,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1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recorded a gain of $1.0 million and a loss of $3.3 million for the three months ended June 30, 2021 and 2020, respectively, from change in derivatives fair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40"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recorded an income tax expense of $0.7 million and $80.9 million for the three months ended June 30, 2021 and 2020, respectively. The 2021 income tax expense primarily related to an increase in valuation allowance for U.S. deferred tax assets and the Macau dividend tax agreement that provides for an annual payment of MOP 12.8 million (approximately $1.6 million) as complementary tax otherwise due by stockholders of Wynn Macau SA. The 2020 income tax expense primarily related to the increase in the valuation allowances for U.S foreign tax credits and U.S. loss carryforwards.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Net loss attributable to noncontrolling interests was $42.0 million and $97.3 million for the three months ended June 30, 2021 and 2020,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primarily related to the noncontrolling interests' share of net loss from WML.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2021 compared to the six months ended June 30, 2020.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our operating revenues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6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57"/>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20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84"/>
        </w:trPr>
        <w:tc>
          <w:tcPr>
            <w:tcW w:w="56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4"/>
              </w:rPr>
              <w:t>(Decrease)</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140"/>
              <w:spacing w:after="0"/>
              <w:rPr>
                <w:sz w:val="20"/>
                <w:szCs w:val="20"/>
                <w:color w:val="auto"/>
              </w:rPr>
            </w:pPr>
            <w:r>
              <w:rPr>
                <w:rFonts w:ascii="Arial" w:cs="Arial" w:eastAsia="Arial" w:hAnsi="Arial"/>
                <w:sz w:val="18"/>
                <w:szCs w:val="18"/>
                <w:color w:val="auto"/>
              </w:rPr>
              <w:t>Macau Operations: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239,466</w:t>
            </w:r>
          </w:p>
        </w:tc>
        <w:tc>
          <w:tcPr>
            <w:tcW w:w="13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Wynn Macau</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122,302</w:t>
            </w:r>
          </w:p>
        </w:tc>
        <w:tc>
          <w:tcPr>
            <w:tcW w:w="130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Macau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871,376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509,608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361,768</w:t>
            </w:r>
          </w:p>
        </w:tc>
        <w:tc>
          <w:tcPr>
            <w:tcW w:w="13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3"/>
        </w:trPr>
        <w:tc>
          <w:tcPr>
            <w:tcW w:w="5640" w:type="dxa"/>
            <w:vAlign w:val="bottom"/>
          </w:tcPr>
          <w:p>
            <w:pPr>
              <w:ind w:left="140"/>
              <w:spacing w:after="0"/>
              <w:rPr>
                <w:sz w:val="20"/>
                <w:szCs w:val="20"/>
                <w:color w:val="auto"/>
              </w:rPr>
            </w:pPr>
            <w:r>
              <w:rPr>
                <w:rFonts w:ascii="Arial" w:cs="Arial" w:eastAsia="Arial" w:hAnsi="Arial"/>
                <w:sz w:val="18"/>
                <w:szCs w:val="18"/>
                <w:color w:val="auto"/>
              </w:rPr>
              <w:t>Las Vegas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533,782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388,710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145,072</w:t>
            </w:r>
          </w:p>
        </w:tc>
        <w:tc>
          <w:tcPr>
            <w:tcW w:w="1300" w:type="dxa"/>
            <w:vAlign w:val="bottom"/>
            <w:gridSpan w:val="2"/>
          </w:tcPr>
          <w:p>
            <w:pPr>
              <w:jc w:val="right"/>
              <w:ind w:right="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Encore Boston Harbor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154,235</w:t>
            </w:r>
          </w:p>
        </w:tc>
        <w:tc>
          <w:tcPr>
            <w:tcW w:w="13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23"/>
        </w:trPr>
        <w:tc>
          <w:tcPr>
            <w:tcW w:w="564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26,306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2"/>
        </w:trPr>
        <w:tc>
          <w:tcPr>
            <w:tcW w:w="56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1,726,795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1,039,414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687,381</w:t>
            </w:r>
          </w:p>
        </w:tc>
        <w:tc>
          <w:tcPr>
            <w:tcW w:w="1300" w:type="dxa"/>
            <w:vAlign w:val="bottom"/>
            <w:tcBorders>
              <w:top w:val="single" w:sz="8" w:color="CCEEFF"/>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casino and non-casino operating revenues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6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57"/>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20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84"/>
        </w:trPr>
        <w:tc>
          <w:tcPr>
            <w:tcW w:w="56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4"/>
              </w:rPr>
              <w:t>(Decrease)</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640" w:type="dxa"/>
            <w:vAlign w:val="bottom"/>
          </w:tcPr>
          <w:p>
            <w:pPr>
              <w:ind w:left="340"/>
              <w:spacing w:after="0"/>
              <w:rPr>
                <w:sz w:val="20"/>
                <w:szCs w:val="20"/>
                <w:color w:val="auto"/>
              </w:rPr>
            </w:pPr>
            <w:r>
              <w:rPr>
                <w:rFonts w:ascii="Arial" w:cs="Arial" w:eastAsia="Arial" w:hAnsi="Arial"/>
                <w:sz w:val="18"/>
                <w:szCs w:val="18"/>
                <w:b w:val="1"/>
                <w:bCs w:val="1"/>
                <w:color w:val="auto"/>
              </w:rPr>
              <w:t>Casino revenues</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1,118,964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580,202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538,762</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Non-casino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460"/>
              <w:spacing w:after="0"/>
              <w:rPr>
                <w:sz w:val="20"/>
                <w:szCs w:val="20"/>
                <w:color w:val="auto"/>
              </w:rPr>
            </w:pPr>
            <w:r>
              <w:rPr>
                <w:rFonts w:ascii="Arial" w:cs="Arial" w:eastAsia="Arial" w:hAnsi="Arial"/>
                <w:sz w:val="18"/>
                <w:szCs w:val="18"/>
                <w:color w:val="auto"/>
              </w:rPr>
              <w:t>Rooms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213,955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170,096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43,859</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Food and beverage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44,230</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60,530</w:t>
            </w:r>
          </w:p>
        </w:tc>
        <w:tc>
          <w:tcPr>
            <w:tcW w:w="130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Total non-casino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607,831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459,212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148,619</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7"/>
        </w:trPr>
        <w:tc>
          <w:tcPr>
            <w:tcW w:w="564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1,726,795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1,039,414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687,381</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Casino revenues for the six months ended June 30, 2021 were 64.8% of operating revenues, compared to 55.8% for the same period of 2020. Non-casino revenues for the six months ended June 30, 2021 were 35.2% of operating revenues, compared to 44.2% for the same period of 2020.</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40" w:lineRule="exact"/>
        <w:rPr>
          <w:sz w:val="20"/>
          <w:szCs w:val="20"/>
          <w:color w:val="auto"/>
        </w:rPr>
      </w:pPr>
    </w:p>
    <w:p>
      <w:pPr>
        <w:jc w:val="both"/>
        <w:ind w:right="100" w:firstLine="395"/>
        <w:spacing w:after="0" w:line="291" w:lineRule="auto"/>
        <w:rPr>
          <w:sz w:val="20"/>
          <w:szCs w:val="20"/>
          <w:color w:val="auto"/>
        </w:rPr>
      </w:pPr>
      <w:r>
        <w:rPr>
          <w:rFonts w:ascii="Arial" w:cs="Arial" w:eastAsia="Arial" w:hAnsi="Arial"/>
          <w:sz w:val="16"/>
          <w:szCs w:val="16"/>
          <w:color w:val="auto"/>
        </w:rPr>
        <w:t>Casino revenues increased primarily due to increased table drop, table games win and slot machine win at our Las Vegas Operations and Encore Boston Harbor, respectively, and increased mass market table drop and table games win at our Macau Operations. Our Las Vegas Operations were closed to the public from March 17, 2020 until June 4, 2020. Encore Boston Harbor closed to the public on March 15, 2020, and remained closed through the second quarter. The table below sets forth our casino revenues and associated key operating measures (dollars in thousands, except for win per unit per day):</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Six Months Ended June 30,</w:t>
            </w: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Perce</w:t>
            </w: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3400" w:type="dxa"/>
            <w:vAlign w:val="bottom"/>
            <w:tcBorders>
              <w:top w:val="single" w:sz="8" w:color="CCEEFF"/>
            </w:tcBorders>
            <w:shd w:val="clear" w:color="auto" w:fill="CCEEFF"/>
          </w:tcPr>
          <w:p>
            <w:pPr>
              <w:ind w:left="420"/>
              <w:spacing w:after="0" w:line="204" w:lineRule="exact"/>
              <w:rPr>
                <w:sz w:val="20"/>
                <w:szCs w:val="20"/>
                <w:color w:val="auto"/>
              </w:rPr>
            </w:pPr>
            <w:r>
              <w:rPr>
                <w:rFonts w:ascii="Arial" w:cs="Arial" w:eastAsia="Arial" w:hAnsi="Arial"/>
                <w:sz w:val="18"/>
                <w:szCs w:val="18"/>
                <w:b w:val="1"/>
                <w:bCs w:val="1"/>
                <w:color w:val="auto"/>
              </w:rPr>
              <w:t xml:space="preserve">Macau Operations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540"/>
              <w:spacing w:after="0"/>
              <w:rPr>
                <w:sz w:val="20"/>
                <w:szCs w:val="20"/>
                <w:color w:val="auto"/>
              </w:rPr>
            </w:pPr>
            <w:r>
              <w:rPr>
                <w:rFonts w:ascii="Arial" w:cs="Arial" w:eastAsia="Arial" w:hAnsi="Arial"/>
                <w:sz w:val="18"/>
                <w:szCs w:val="18"/>
                <w:color w:val="auto"/>
              </w:rPr>
              <w:t>Wynn Palace:</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casino revenues</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397,976</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196,148</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201,828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400" w:type="dxa"/>
            <w:vAlign w:val="bottom"/>
          </w:tcPr>
          <w:p>
            <w:pPr>
              <w:ind w:left="720"/>
              <w:spacing w:after="0"/>
              <w:rPr>
                <w:sz w:val="20"/>
                <w:szCs w:val="20"/>
                <w:color w:val="auto"/>
              </w:rPr>
            </w:pPr>
            <w:r>
              <w:rPr>
                <w:rFonts w:ascii="Arial" w:cs="Arial" w:eastAsia="Arial" w:hAnsi="Arial"/>
                <w:sz w:val="18"/>
                <w:szCs w:val="18"/>
                <w:color w:val="auto"/>
              </w:rPr>
              <w:t>VIP:</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6"/>
              </w:rPr>
              <w:t>Average number of table games</w:t>
            </w: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920"/>
              <w:spacing w:after="0"/>
              <w:rPr>
                <w:sz w:val="20"/>
                <w:szCs w:val="20"/>
                <w:color w:val="auto"/>
              </w:rPr>
            </w:pPr>
            <w:r>
              <w:rPr>
                <w:rFonts w:ascii="Arial" w:cs="Arial" w:eastAsia="Arial" w:hAnsi="Arial"/>
                <w:sz w:val="18"/>
                <w:szCs w:val="18"/>
                <w:color w:val="auto"/>
              </w:rPr>
              <w:t>VIP turnover</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4,011,563</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w w:val="84"/>
              </w:rPr>
              <w:t>6,512,279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(2,500,716)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VIP table games win</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168,026</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109,763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400" w:type="dxa"/>
            <w:vAlign w:val="bottom"/>
          </w:tcPr>
          <w:p>
            <w:pPr>
              <w:ind w:left="920"/>
              <w:spacing w:after="0"/>
              <w:rPr>
                <w:sz w:val="20"/>
                <w:szCs w:val="20"/>
                <w:color w:val="auto"/>
              </w:rPr>
            </w:pPr>
            <w:r>
              <w:rPr>
                <w:rFonts w:ascii="Arial" w:cs="Arial" w:eastAsia="Arial" w:hAnsi="Arial"/>
                <w:sz w:val="18"/>
                <w:szCs w:val="18"/>
                <w:color w:val="auto"/>
              </w:rPr>
              <w:t>VIP win as a % of turnover</w:t>
            </w: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1.69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2"/>
              </w:rPr>
              <w:t>Table games win per unit per day</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6,865</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400" w:type="dxa"/>
            <w:vAlign w:val="bottom"/>
          </w:tcPr>
          <w:p>
            <w:pPr>
              <w:ind w:left="720"/>
              <w:spacing w:after="0"/>
              <w:rPr>
                <w:sz w:val="20"/>
                <w:szCs w:val="20"/>
                <w:color w:val="auto"/>
              </w:rPr>
            </w:pPr>
            <w:r>
              <w:rPr>
                <w:rFonts w:ascii="Arial" w:cs="Arial" w:eastAsia="Arial" w:hAnsi="Arial"/>
                <w:sz w:val="18"/>
                <w:szCs w:val="18"/>
                <w:color w:val="auto"/>
              </w:rPr>
              <w:t>Mass market:</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6"/>
              </w:rPr>
              <w:t>Average number of table games</w:t>
            </w: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201</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400" w:type="dxa"/>
            <w:vAlign w:val="bottom"/>
          </w:tcPr>
          <w:p>
            <w:pPr>
              <w:ind w:left="920"/>
              <w:spacing w:after="0"/>
              <w:rPr>
                <w:sz w:val="20"/>
                <w:szCs w:val="20"/>
                <w:color w:val="auto"/>
              </w:rPr>
            </w:pPr>
            <w:r>
              <w:rPr>
                <w:rFonts w:ascii="Arial" w:cs="Arial" w:eastAsia="Arial" w:hAnsi="Arial"/>
                <w:sz w:val="18"/>
                <w:szCs w:val="18"/>
                <w:color w:val="auto"/>
              </w:rPr>
              <w:t>Table drop</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1,315,012</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497,252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817,760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Table games win</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295,196</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137,882</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157,314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400" w:type="dxa"/>
            <w:vAlign w:val="bottom"/>
          </w:tcPr>
          <w:p>
            <w:pPr>
              <w:ind w:left="920"/>
              <w:spacing w:after="0"/>
              <w:rPr>
                <w:sz w:val="20"/>
                <w:szCs w:val="20"/>
                <w:color w:val="auto"/>
              </w:rPr>
            </w:pPr>
            <w:r>
              <w:rPr>
                <w:rFonts w:ascii="Arial" w:cs="Arial" w:eastAsia="Arial" w:hAnsi="Arial"/>
                <w:sz w:val="18"/>
                <w:szCs w:val="18"/>
                <w:color w:val="auto"/>
              </w:rPr>
              <w:t>Table games win %</w:t>
            </w: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27.7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2"/>
              </w:rPr>
              <w:t>Table games win per unit per day</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4,075</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400" w:type="dxa"/>
            <w:vAlign w:val="bottom"/>
          </w:tcPr>
          <w:p>
            <w:pPr>
              <w:ind w:left="920"/>
              <w:spacing w:after="0"/>
              <w:rPr>
                <w:sz w:val="20"/>
                <w:szCs w:val="20"/>
                <w:color w:val="auto"/>
              </w:rPr>
            </w:pPr>
            <w:r>
              <w:rPr>
                <w:rFonts w:ascii="Arial" w:cs="Arial" w:eastAsia="Arial" w:hAnsi="Arial"/>
                <w:sz w:val="18"/>
                <w:szCs w:val="18"/>
                <w:color w:val="auto"/>
                <w:w w:val="91"/>
              </w:rPr>
              <w:t>Average number of slot machines</w:t>
            </w: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596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Slot machine handle</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780,041</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464,129</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400" w:type="dxa"/>
            <w:vAlign w:val="bottom"/>
          </w:tcPr>
          <w:p>
            <w:pPr>
              <w:ind w:left="920"/>
              <w:spacing w:after="0"/>
              <w:rPr>
                <w:sz w:val="20"/>
                <w:szCs w:val="20"/>
                <w:color w:val="auto"/>
              </w:rPr>
            </w:pPr>
            <w:r>
              <w:rPr>
                <w:rFonts w:ascii="Arial" w:cs="Arial" w:eastAsia="Arial" w:hAnsi="Arial"/>
                <w:sz w:val="18"/>
                <w:szCs w:val="18"/>
                <w:color w:val="auto"/>
              </w:rPr>
              <w:t>Slot machine win</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33,015</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20,800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12,215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2"/>
              </w:rPr>
              <w:t>Slot machine win per unit per day</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208</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400" w:type="dxa"/>
            <w:vAlign w:val="bottom"/>
          </w:tcPr>
          <w:p>
            <w:pPr>
              <w:ind w:left="540"/>
              <w:spacing w:after="0"/>
              <w:rPr>
                <w:sz w:val="20"/>
                <w:szCs w:val="20"/>
                <w:color w:val="auto"/>
              </w:rPr>
            </w:pPr>
            <w:r>
              <w:rPr>
                <w:rFonts w:ascii="Arial" w:cs="Arial" w:eastAsia="Arial" w:hAnsi="Arial"/>
                <w:sz w:val="18"/>
                <w:szCs w:val="18"/>
                <w:color w:val="auto"/>
              </w:rPr>
              <w:t>Wynn Macau:</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casino revenues</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281,346</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186,604</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400" w:type="dxa"/>
            <w:vAlign w:val="bottom"/>
          </w:tcPr>
          <w:p>
            <w:pPr>
              <w:ind w:left="720"/>
              <w:spacing w:after="0"/>
              <w:rPr>
                <w:sz w:val="20"/>
                <w:szCs w:val="20"/>
                <w:color w:val="auto"/>
              </w:rPr>
            </w:pPr>
            <w:r>
              <w:rPr>
                <w:rFonts w:ascii="Arial" w:cs="Arial" w:eastAsia="Arial" w:hAnsi="Arial"/>
                <w:sz w:val="18"/>
                <w:szCs w:val="18"/>
                <w:color w:val="auto"/>
              </w:rPr>
              <w:t>VIP:</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6"/>
              </w:rPr>
              <w:t>Average number of table games</w:t>
            </w: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920"/>
              <w:spacing w:after="0"/>
              <w:rPr>
                <w:sz w:val="20"/>
                <w:szCs w:val="20"/>
                <w:color w:val="auto"/>
              </w:rPr>
            </w:pPr>
            <w:r>
              <w:rPr>
                <w:rFonts w:ascii="Arial" w:cs="Arial" w:eastAsia="Arial" w:hAnsi="Arial"/>
                <w:sz w:val="18"/>
                <w:szCs w:val="18"/>
                <w:color w:val="auto"/>
              </w:rPr>
              <w:t>VIP turnover</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3,294,294</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w w:val="84"/>
              </w:rPr>
              <w:t>3,571,290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(276,996)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VIP table games win</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98,022</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110,464</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400" w:type="dxa"/>
            <w:vAlign w:val="bottom"/>
          </w:tcPr>
          <w:p>
            <w:pPr>
              <w:ind w:left="920"/>
              <w:spacing w:after="0"/>
              <w:rPr>
                <w:sz w:val="20"/>
                <w:szCs w:val="20"/>
                <w:color w:val="auto"/>
              </w:rPr>
            </w:pPr>
            <w:r>
              <w:rPr>
                <w:rFonts w:ascii="Arial" w:cs="Arial" w:eastAsia="Arial" w:hAnsi="Arial"/>
                <w:sz w:val="18"/>
                <w:szCs w:val="18"/>
                <w:color w:val="auto"/>
              </w:rPr>
              <w:t>VIP win as a % of turnover</w:t>
            </w: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3.09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2"/>
              </w:rPr>
              <w:t>Table games win per unit per day</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7,623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400" w:type="dxa"/>
            <w:vAlign w:val="bottom"/>
          </w:tcPr>
          <w:p>
            <w:pPr>
              <w:ind w:left="720"/>
              <w:spacing w:after="0"/>
              <w:rPr>
                <w:sz w:val="20"/>
                <w:szCs w:val="20"/>
                <w:color w:val="auto"/>
              </w:rPr>
            </w:pPr>
            <w:r>
              <w:rPr>
                <w:rFonts w:ascii="Arial" w:cs="Arial" w:eastAsia="Arial" w:hAnsi="Arial"/>
                <w:sz w:val="18"/>
                <w:szCs w:val="18"/>
                <w:color w:val="auto"/>
              </w:rPr>
              <w:t>Mass market:</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6"/>
              </w:rPr>
              <w:t>Average number of table games</w:t>
            </w: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208</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400" w:type="dxa"/>
            <w:vAlign w:val="bottom"/>
          </w:tcPr>
          <w:p>
            <w:pPr>
              <w:ind w:left="920"/>
              <w:spacing w:after="0"/>
              <w:rPr>
                <w:sz w:val="20"/>
                <w:szCs w:val="20"/>
                <w:color w:val="auto"/>
              </w:rPr>
            </w:pPr>
            <w:r>
              <w:rPr>
                <w:rFonts w:ascii="Arial" w:cs="Arial" w:eastAsia="Arial" w:hAnsi="Arial"/>
                <w:sz w:val="18"/>
                <w:szCs w:val="18"/>
                <w:color w:val="auto"/>
              </w:rPr>
              <w:t>Table drop</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1,261,290</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619,052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642,238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Table games win</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234,104</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121,333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400" w:type="dxa"/>
            <w:vAlign w:val="bottom"/>
          </w:tcPr>
          <w:p>
            <w:pPr>
              <w:ind w:left="920"/>
              <w:spacing w:after="0"/>
              <w:rPr>
                <w:sz w:val="20"/>
                <w:szCs w:val="20"/>
                <w:color w:val="auto"/>
              </w:rPr>
            </w:pPr>
            <w:r>
              <w:rPr>
                <w:rFonts w:ascii="Arial" w:cs="Arial" w:eastAsia="Arial" w:hAnsi="Arial"/>
                <w:sz w:val="18"/>
                <w:szCs w:val="18"/>
                <w:color w:val="auto"/>
              </w:rPr>
              <w:t>Table games win %</w:t>
            </w: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19.6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2"/>
              </w:rPr>
              <w:t>Table games win per unit per day</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3,472</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400" w:type="dxa"/>
            <w:vAlign w:val="bottom"/>
          </w:tcPr>
          <w:p>
            <w:pPr>
              <w:ind w:left="920"/>
              <w:spacing w:after="0"/>
              <w:rPr>
                <w:sz w:val="20"/>
                <w:szCs w:val="20"/>
                <w:color w:val="auto"/>
              </w:rPr>
            </w:pPr>
            <w:r>
              <w:rPr>
                <w:rFonts w:ascii="Arial" w:cs="Arial" w:eastAsia="Arial" w:hAnsi="Arial"/>
                <w:sz w:val="18"/>
                <w:szCs w:val="18"/>
                <w:color w:val="auto"/>
                <w:w w:val="91"/>
              </w:rPr>
              <w:t>Average number of slot machines</w:t>
            </w: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529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Slot machine handle</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601,794</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428,549</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173,245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400" w:type="dxa"/>
            <w:vAlign w:val="bottom"/>
          </w:tcPr>
          <w:p>
            <w:pPr>
              <w:ind w:left="920"/>
              <w:spacing w:after="0"/>
              <w:rPr>
                <w:sz w:val="20"/>
                <w:szCs w:val="20"/>
                <w:color w:val="auto"/>
              </w:rPr>
            </w:pPr>
            <w:r>
              <w:rPr>
                <w:rFonts w:ascii="Arial" w:cs="Arial" w:eastAsia="Arial" w:hAnsi="Arial"/>
                <w:sz w:val="18"/>
                <w:szCs w:val="18"/>
                <w:color w:val="auto"/>
              </w:rPr>
              <w:t>Slot machine win</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19,431</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15,921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2"/>
              </w:rPr>
              <w:t>Slot machine win per unit per day</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179</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920"/>
              <w:spacing w:after="0"/>
              <w:rPr>
                <w:sz w:val="20"/>
                <w:szCs w:val="20"/>
                <w:color w:val="auto"/>
              </w:rPr>
            </w:pPr>
            <w:r>
              <w:rPr>
                <w:rFonts w:ascii="Arial" w:cs="Arial" w:eastAsia="Arial" w:hAnsi="Arial"/>
                <w:sz w:val="18"/>
                <w:szCs w:val="18"/>
                <w:color w:val="auto"/>
              </w:rPr>
              <w:t>Poker rake</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2,083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500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2"/>
        </w:trPr>
        <w:tc>
          <w:tcPr>
            <w:tcW w:w="1000" w:type="dxa"/>
            <w:vAlign w:val="bottom"/>
            <w:tcBorders>
              <w:top w:val="single" w:sz="8" w:color="0000FF"/>
            </w:tcBorders>
          </w:tcPr>
          <w:p>
            <w:pPr>
              <w:spacing w:after="0"/>
              <w:rPr>
                <w:sz w:val="24"/>
                <w:szCs w:val="24"/>
                <w:color w:val="auto"/>
              </w:rPr>
            </w:pPr>
          </w:p>
        </w:tc>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Increase/(Decrease)</w:t>
            </w:r>
          </w:p>
        </w:tc>
        <w:tc>
          <w:tcPr>
            <w:tcW w:w="1400" w:type="dxa"/>
            <w:vAlign w:val="bottom"/>
          </w:tcPr>
          <w:p>
            <w:pPr>
              <w:jc w:val="right"/>
              <w:ind w:right="394"/>
              <w:spacing w:after="0" w:line="11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0" w:type="dxa"/>
            <w:vAlign w:val="bottom"/>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5000" w:type="dxa"/>
            <w:vAlign w:val="bottom"/>
            <w:tcBorders>
              <w:top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 xml:space="preserve">Las Vegas Operations </w:t>
            </w:r>
            <w:r>
              <w:rPr>
                <w:rFonts w:ascii="Arial" w:cs="Arial" w:eastAsia="Arial" w:hAnsi="Arial"/>
                <w:sz w:val="14"/>
                <w:szCs w:val="14"/>
                <w:b w:val="1"/>
                <w:bCs w:val="1"/>
                <w:color w:val="auto"/>
              </w:rPr>
              <w:t>(2)</w:t>
            </w: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340"/>
              <w:spacing w:after="0"/>
              <w:rPr>
                <w:sz w:val="20"/>
                <w:szCs w:val="20"/>
                <w:color w:val="auto"/>
              </w:rPr>
            </w:pPr>
            <w:r>
              <w:rPr>
                <w:rFonts w:ascii="Arial" w:cs="Arial" w:eastAsia="Arial" w:hAnsi="Arial"/>
                <w:sz w:val="18"/>
                <w:szCs w:val="18"/>
                <w:color w:val="auto"/>
              </w:rPr>
              <w:t>Total casino revenues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192,678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95,660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97,018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4"/>
        </w:trPr>
        <w:tc>
          <w:tcPr>
            <w:tcW w:w="5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Table drop</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751,545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505,806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245,739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4"/>
        </w:trPr>
        <w:tc>
          <w:tcPr>
            <w:tcW w:w="5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175,674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100,584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3"/>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Table games win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1,762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4"/>
        </w:trPr>
        <w:tc>
          <w:tcPr>
            <w:tcW w:w="5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1,906,409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911,226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995,183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23"/>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Slot machine win</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129,379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64,197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65,182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4"/>
        </w:trPr>
        <w:tc>
          <w:tcPr>
            <w:tcW w:w="5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Poker rake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2,175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24"/>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(3)</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340"/>
              <w:spacing w:after="0"/>
              <w:rPr>
                <w:sz w:val="20"/>
                <w:szCs w:val="20"/>
                <w:color w:val="auto"/>
              </w:rPr>
            </w:pPr>
            <w:r>
              <w:rPr>
                <w:rFonts w:ascii="Arial" w:cs="Arial" w:eastAsia="Arial" w:hAnsi="Arial"/>
                <w:sz w:val="18"/>
                <w:szCs w:val="18"/>
                <w:color w:val="auto"/>
              </w:rPr>
              <w:t>Total casino revenues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246,964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101,790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145,174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24"/>
        </w:trPr>
        <w:tc>
          <w:tcPr>
            <w:tcW w:w="5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Table drop</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540,632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275,631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265,001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4"/>
        </w:trPr>
        <w:tc>
          <w:tcPr>
            <w:tcW w:w="5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114,251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57,286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23"/>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Table games win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2,837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4"/>
        </w:trPr>
        <w:tc>
          <w:tcPr>
            <w:tcW w:w="5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2,007,973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767,739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1,240,234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23"/>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Slot machine win</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164,380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59,448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104,932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4"/>
        </w:trPr>
        <w:tc>
          <w:tcPr>
            <w:tcW w:w="5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3"/>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Poker rake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5,105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 response to the initial outbreak of COVID-19 in early 2020, each of our properties was subject to partial or full closure for varying lengths of time during 2020, and each has since reopened with certain COVID-19 specific protective measures in place.</w:t>
      </w:r>
    </w:p>
    <w:p>
      <w:pPr>
        <w:ind w:left="200" w:hanging="195"/>
        <w:spacing w:after="0" w:line="236" w:lineRule="auto"/>
        <w:tabs>
          <w:tab w:leader="none" w:pos="2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casino operations in Macau were closed for a 15-day period in February 2020 and resumed operations on a reduced basis on February 20, 2020.</w:t>
      </w:r>
    </w:p>
    <w:p>
      <w:pPr>
        <w:jc w:val="both"/>
        <w:ind w:left="240" w:hanging="235"/>
        <w:spacing w:after="0" w:line="235" w:lineRule="auto"/>
        <w:tabs>
          <w:tab w:leader="none" w:pos="206"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Las Vegas Operations closed on March 17, 2020 and reopened on June 4, 2020. On October 19, 2020, Encore at Wynn Las Vegas adjusted its operating schedule to five days/four nights each week due to reduced customer demand levels. This adjusted operating schedule remained in effect through the first quarter of 2021, and on April 8, 2021, Encore at Wynn Las Vegas resumed full operations.</w:t>
      </w:r>
    </w:p>
    <w:p>
      <w:pPr>
        <w:jc w:val="both"/>
        <w:ind w:left="240" w:hanging="235"/>
        <w:spacing w:after="0" w:line="267" w:lineRule="auto"/>
        <w:tabs>
          <w:tab w:leader="none" w:pos="207" w:val="left"/>
        </w:tabs>
        <w:numPr>
          <w:ilvl w:val="0"/>
          <w:numId w:val="12"/>
        </w:numPr>
        <w:rPr>
          <w:rFonts w:ascii="Arial" w:cs="Arial" w:eastAsia="Arial" w:hAnsi="Arial"/>
          <w:sz w:val="13"/>
          <w:szCs w:val="13"/>
          <w:color w:val="auto"/>
        </w:rPr>
      </w:pPr>
      <w:r>
        <w:rPr>
          <w:rFonts w:ascii="Arial" w:cs="Arial" w:eastAsia="Arial" w:hAnsi="Arial"/>
          <w:sz w:val="13"/>
          <w:szCs w:val="13"/>
          <w:color w:val="auto"/>
        </w:rPr>
        <w:t>Encore Boston Harbor closed on March 15, 2020 and reopened on July 10, 2020. In addition, on November 6, 2020, Encore Boston Harbor temporarily suspended hotel operations and overnight casino operations pursuant to a state directive limiting the operating hours of certain businesses, including restaurants and casinos. On January 25, 2021, the limitations on operating hours were lifted, and Encore Boston Harbor restored 24-hour casino operations and reopened its hotel tower on a Thursday through Sunday weekly schedule.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4"/>
        </w:trPr>
        <w:tc>
          <w:tcPr>
            <w:tcW w:w="54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Increase/(Decrease)</w:t>
            </w:r>
          </w:p>
        </w:tc>
        <w:tc>
          <w:tcPr>
            <w:tcW w:w="1180" w:type="dxa"/>
            <w:vAlign w:val="bottom"/>
          </w:tcPr>
          <w:p>
            <w:pPr>
              <w:jc w:val="right"/>
              <w:ind w:right="34"/>
              <w:spacing w:after="0"/>
              <w:rPr>
                <w:sz w:val="20"/>
                <w:szCs w:val="20"/>
                <w:color w:val="auto"/>
              </w:rPr>
            </w:pPr>
            <w:r>
              <w:rPr>
                <w:rFonts w:ascii="Arial" w:cs="Arial" w:eastAsia="Arial" w:hAnsi="Arial"/>
                <w:sz w:val="14"/>
                <w:szCs w:val="14"/>
                <w:b w:val="1"/>
                <w:bCs w:val="1"/>
                <w:color w:val="auto"/>
                <w:w w:val="97"/>
              </w:rPr>
              <w:t>Percent Change</w:t>
            </w:r>
          </w:p>
        </w:tc>
      </w:tr>
      <w:tr>
        <w:trPr>
          <w:trHeight w:val="204"/>
        </w:trPr>
        <w:tc>
          <w:tcPr>
            <w:tcW w:w="54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Wynn Palace: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37,895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22,141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23"/>
        </w:trPr>
        <w:tc>
          <w:tcPr>
            <w:tcW w:w="5440" w:type="dxa"/>
            <w:vAlign w:val="bottom"/>
          </w:tcPr>
          <w:p>
            <w:pPr>
              <w:ind w:left="340"/>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ADR</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23"/>
        </w:trPr>
        <w:tc>
          <w:tcPr>
            <w:tcW w:w="5440" w:type="dxa"/>
            <w:vAlign w:val="bottom"/>
          </w:tcPr>
          <w:p>
            <w:pPr>
              <w:ind w:left="34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24"/>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Wynn Macau:</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5440" w:type="dxa"/>
            <w:vAlign w:val="bottom"/>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28,129</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18,542</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9,587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24"/>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5440" w:type="dxa"/>
            <w:vAlign w:val="bottom"/>
          </w:tcPr>
          <w:p>
            <w:pPr>
              <w:ind w:left="34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24"/>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 xml:space="preserve">Las Vegas Operations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133,546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118,458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5440" w:type="dxa"/>
            <w:vAlign w:val="bottom"/>
          </w:tcPr>
          <w:p>
            <w:pPr>
              <w:ind w:left="340"/>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ADR</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5440" w:type="dxa"/>
            <w:vAlign w:val="bottom"/>
          </w:tcPr>
          <w:p>
            <w:pPr>
              <w:ind w:left="34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(2) (3)</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5440" w:type="dxa"/>
            <w:vAlign w:val="bottom"/>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14,385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10,955</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24"/>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5440" w:type="dxa"/>
            <w:vAlign w:val="bottom"/>
          </w:tcPr>
          <w:p>
            <w:pPr>
              <w:ind w:left="34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4"/>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bl>
    <w:p>
      <w:pPr>
        <w:spacing w:after="0" w:line="74" w:lineRule="exact"/>
        <w:rPr>
          <w:sz w:val="20"/>
          <w:szCs w:val="20"/>
          <w:color w:val="auto"/>
        </w:rPr>
      </w:pPr>
    </w:p>
    <w:p>
      <w:pPr>
        <w:ind w:left="200" w:hanging="195"/>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Wynn Las Vegas closed on March 17, 2020 and reopened on June 4, 2020.</w:t>
      </w:r>
    </w:p>
    <w:p>
      <w:pPr>
        <w:spacing w:after="0" w:line="8" w:lineRule="exact"/>
        <w:rPr>
          <w:rFonts w:ascii="Arial" w:cs="Arial" w:eastAsia="Arial" w:hAnsi="Arial"/>
          <w:sz w:val="14"/>
          <w:szCs w:val="14"/>
          <w:color w:val="auto"/>
        </w:rPr>
      </w:pPr>
    </w:p>
    <w:p>
      <w:pPr>
        <w:ind w:left="200" w:hanging="195"/>
        <w:spacing w:after="0" w:line="235" w:lineRule="auto"/>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Encore Boston Harbor closed on March 15, 2020 and reopened on July 10, 2020.</w:t>
      </w:r>
    </w:p>
    <w:p>
      <w:pPr>
        <w:ind w:left="240" w:hanging="235"/>
        <w:spacing w:after="0" w:line="244" w:lineRule="auto"/>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Encore Boston Harbor room statistics have been computed based on 89 days of operation in six months ended June 30, 2021 and 74 days of operation in six months ended June 30, 2020, representing the number of nights hotel rooms were offered for sale to the public.</w:t>
      </w:r>
    </w:p>
    <w:p>
      <w:pPr>
        <w:spacing w:after="0" w:line="219"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Room revenues increased $43.9 million, primarily due to higher occupancy at our Macau Operations and the closure of our Las Vegas Operations from March 17, 2020 until June 4, 2020, resulting from the adverse effects of the COVID-19 pandemic.</w:t>
      </w:r>
    </w:p>
    <w:p>
      <w:pPr>
        <w:spacing w:after="0" w:line="20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Food and beverage revenues increased $44.2 million, primarily due to increased covers at our restaurants and an increase in nightlife offerings at our Las Vegas Operations as a result of ongoing recovery from the effects of COVID-19.</w:t>
      </w:r>
    </w:p>
    <w:p>
      <w:pPr>
        <w:spacing w:after="0" w:line="20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Entertainment, retail and other revenues increased $60.5 million, primarily due to an increase in visitation to our Macau Operations as a result of ongoing recovery from the effects of COVID-19.</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33"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jc w:val="right"/>
              <w:ind w:right="254"/>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Perce</w:t>
            </w:r>
          </w:p>
        </w:tc>
        <w:tc>
          <w:tcPr>
            <w:tcW w:w="0" w:type="dxa"/>
            <w:vAlign w:val="bottom"/>
          </w:tcPr>
          <w:p>
            <w:pPr>
              <w:spacing w:after="0"/>
              <w:rPr>
                <w:sz w:val="1"/>
                <w:szCs w:val="1"/>
                <w:color w:val="auto"/>
              </w:rPr>
            </w:pPr>
          </w:p>
        </w:tc>
      </w:tr>
      <w:tr>
        <w:trPr>
          <w:trHeight w:val="184"/>
        </w:trPr>
        <w:tc>
          <w:tcPr>
            <w:tcW w:w="44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4400" w:type="dxa"/>
            <w:vAlign w:val="bottom"/>
            <w:shd w:val="clear" w:color="auto" w:fill="CCEEFF"/>
          </w:tcPr>
          <w:p>
            <w:pPr>
              <w:ind w:left="460"/>
              <w:spacing w:after="0" w:line="204" w:lineRule="exact"/>
              <w:rPr>
                <w:sz w:val="20"/>
                <w:szCs w:val="20"/>
                <w:color w:val="auto"/>
              </w:rPr>
            </w:pPr>
            <w:r>
              <w:rPr>
                <w:rFonts w:ascii="Arial" w:cs="Arial" w:eastAsia="Arial" w:hAnsi="Arial"/>
                <w:sz w:val="18"/>
                <w:szCs w:val="18"/>
                <w:b w:val="1"/>
                <w:bCs w:val="1"/>
                <w:color w:val="auto"/>
              </w:rPr>
              <w:t>Operating expenses:</w:t>
            </w: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760"/>
              <w:spacing w:after="0"/>
              <w:rPr>
                <w:sz w:val="20"/>
                <w:szCs w:val="20"/>
                <w:color w:val="auto"/>
              </w:rPr>
            </w:pPr>
            <w:r>
              <w:rPr>
                <w:rFonts w:ascii="Arial" w:cs="Arial" w:eastAsia="Arial" w:hAnsi="Arial"/>
                <w:sz w:val="18"/>
                <w:szCs w:val="18"/>
                <w:color w:val="auto"/>
              </w:rPr>
              <w:t>Casino</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733,581</w:t>
            </w:r>
          </w:p>
        </w:tc>
        <w:tc>
          <w:tcPr>
            <w:tcW w:w="100" w:type="dxa"/>
            <w:vAlign w:val="bottom"/>
          </w:tcPr>
          <w:p>
            <w:pPr>
              <w:spacing w:after="0"/>
              <w:rPr>
                <w:sz w:val="19"/>
                <w:szCs w:val="19"/>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573,828</w:t>
            </w:r>
          </w:p>
        </w:tc>
        <w:tc>
          <w:tcPr>
            <w:tcW w:w="100" w:type="dxa"/>
            <w:vAlign w:val="bottom"/>
          </w:tcPr>
          <w:p>
            <w:pPr>
              <w:spacing w:after="0"/>
              <w:rPr>
                <w:sz w:val="19"/>
                <w:szCs w:val="19"/>
                <w:color w:val="auto"/>
              </w:rPr>
            </w:pPr>
          </w:p>
        </w:tc>
        <w:tc>
          <w:tcPr>
            <w:tcW w:w="6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159,753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Rooms</w:t>
            </w: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4400" w:type="dxa"/>
            <w:vAlign w:val="bottom"/>
          </w:tcPr>
          <w:p>
            <w:pPr>
              <w:ind w:left="760"/>
              <w:spacing w:after="0"/>
              <w:rPr>
                <w:sz w:val="20"/>
                <w:szCs w:val="20"/>
                <w:color w:val="auto"/>
              </w:rPr>
            </w:pPr>
            <w:r>
              <w:rPr>
                <w:rFonts w:ascii="Arial" w:cs="Arial" w:eastAsia="Arial" w:hAnsi="Arial"/>
                <w:sz w:val="18"/>
                <w:szCs w:val="18"/>
                <w:color w:val="auto"/>
              </w:rPr>
              <w:t>Food and beverage</w:t>
            </w:r>
          </w:p>
        </w:tc>
        <w:tc>
          <w:tcPr>
            <w:tcW w:w="7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191,054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237,799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(46,745)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Entertainment, retail and other</w:t>
            </w: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154,381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4400" w:type="dxa"/>
            <w:vAlign w:val="bottom"/>
          </w:tcPr>
          <w:p>
            <w:pPr>
              <w:ind w:left="76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377,319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386,409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Provision for credit losses</w:t>
            </w: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4400" w:type="dxa"/>
            <w:vAlign w:val="bottom"/>
          </w:tcPr>
          <w:p>
            <w:pPr>
              <w:ind w:left="760"/>
              <w:spacing w:after="0"/>
              <w:rPr>
                <w:sz w:val="20"/>
                <w:szCs w:val="20"/>
                <w:color w:val="auto"/>
              </w:rPr>
            </w:pPr>
            <w:r>
              <w:rPr>
                <w:rFonts w:ascii="Arial" w:cs="Arial" w:eastAsia="Arial" w:hAnsi="Arial"/>
                <w:sz w:val="18"/>
                <w:szCs w:val="18"/>
                <w:color w:val="auto"/>
              </w:rPr>
              <w:t>Pre-opening</w:t>
            </w:r>
          </w:p>
        </w:tc>
        <w:tc>
          <w:tcPr>
            <w:tcW w:w="7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368,428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Property charges and other</w:t>
            </w:r>
          </w:p>
        </w:tc>
        <w:tc>
          <w:tcPr>
            <w:tcW w:w="7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33,796</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(22,528)</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2"/>
        </w:trPr>
        <w:tc>
          <w:tcPr>
            <w:tcW w:w="4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1,932,048</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1,809,841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122,207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right="100" w:firstLine="395"/>
        <w:spacing w:after="0" w:line="362" w:lineRule="auto"/>
        <w:rPr>
          <w:sz w:val="20"/>
          <w:szCs w:val="20"/>
          <w:color w:val="auto"/>
        </w:rPr>
      </w:pPr>
      <w:r>
        <w:rPr>
          <w:rFonts w:ascii="Arial" w:cs="Arial" w:eastAsia="Arial" w:hAnsi="Arial"/>
          <w:sz w:val="15"/>
          <w:szCs w:val="15"/>
          <w:color w:val="auto"/>
        </w:rPr>
        <w:t>Total operating expenses increased $122.2 million compared to the six months ended June 30, 2020, primarily due to increased casino and entertainment, retail and other expenses, partially offset by decreased room, food and beverage, provision for credit losses, and property charges and other expenses.</w:t>
      </w:r>
    </w:p>
    <w:p>
      <w:pPr>
        <w:spacing w:after="0" w:line="138" w:lineRule="exact"/>
        <w:rPr>
          <w:sz w:val="20"/>
          <w:szCs w:val="20"/>
          <w:color w:val="auto"/>
        </w:rPr>
      </w:pPr>
    </w:p>
    <w:p>
      <w:pPr>
        <w:jc w:val="both"/>
        <w:ind w:right="100" w:firstLine="395"/>
        <w:spacing w:after="0" w:line="299" w:lineRule="auto"/>
        <w:rPr>
          <w:sz w:val="20"/>
          <w:szCs w:val="20"/>
          <w:color w:val="auto"/>
        </w:rPr>
      </w:pPr>
      <w:r>
        <w:rPr>
          <w:rFonts w:ascii="Arial" w:cs="Arial" w:eastAsia="Arial" w:hAnsi="Arial"/>
          <w:sz w:val="16"/>
          <w:szCs w:val="16"/>
          <w:color w:val="auto"/>
        </w:rPr>
        <w:t>Casino expenses increased $87.5 million, $44.9 million, and $30.0 million at Wynn Palace, Wynn Macau, and Encore Boston Harbor, respectively, and decreased $2.6 million at our Las Vegas Operations. These increases were primarily due to increased gaming tax expense commensurate with the increase in casino revenues at each property, partially offset by lower payroll and operating costs at our Las Vegas Operations.</w:t>
      </w:r>
    </w:p>
    <w:p>
      <w:pPr>
        <w:spacing w:after="0" w:line="181" w:lineRule="exact"/>
        <w:rPr>
          <w:sz w:val="20"/>
          <w:szCs w:val="20"/>
          <w:color w:val="auto"/>
        </w:rPr>
      </w:pPr>
    </w:p>
    <w:p>
      <w:pPr>
        <w:jc w:val="both"/>
        <w:ind w:right="100" w:firstLine="395"/>
        <w:spacing w:after="0" w:line="261" w:lineRule="auto"/>
        <w:rPr>
          <w:sz w:val="20"/>
          <w:szCs w:val="20"/>
          <w:color w:val="auto"/>
        </w:rPr>
      </w:pPr>
      <w:r>
        <w:rPr>
          <w:rFonts w:ascii="Arial" w:cs="Arial" w:eastAsia="Arial" w:hAnsi="Arial"/>
          <w:sz w:val="18"/>
          <w:szCs w:val="18"/>
          <w:color w:val="auto"/>
        </w:rPr>
        <w:t>Room expenses decreased $15.1 million and $4.0 million at our Las Vegas Operations and Encore Boston Harbor, respectively. The decreases were primarily a result of lower payroll and operating costs.</w:t>
      </w:r>
    </w:p>
    <w:p>
      <w:pPr>
        <w:spacing w:after="0" w:line="208" w:lineRule="exact"/>
        <w:rPr>
          <w:sz w:val="20"/>
          <w:szCs w:val="20"/>
          <w:color w:val="auto"/>
        </w:rPr>
      </w:pPr>
    </w:p>
    <w:p>
      <w:pPr>
        <w:jc w:val="both"/>
        <w:ind w:right="100" w:firstLine="395"/>
        <w:spacing w:after="0" w:line="261" w:lineRule="auto"/>
        <w:rPr>
          <w:sz w:val="20"/>
          <w:szCs w:val="20"/>
          <w:color w:val="auto"/>
        </w:rPr>
      </w:pPr>
      <w:r>
        <w:rPr>
          <w:rFonts w:ascii="Arial" w:cs="Arial" w:eastAsia="Arial" w:hAnsi="Arial"/>
          <w:sz w:val="18"/>
          <w:szCs w:val="18"/>
          <w:color w:val="auto"/>
        </w:rPr>
        <w:t>Food and beverage expenses decreased $29.1 million and $14.4 million at our Las Vegas Operations and Encore Boston Harbor, respectively. The decreases were primarily a result of lower payroll and operating costs.</w:t>
      </w:r>
    </w:p>
    <w:p>
      <w:pPr>
        <w:spacing w:after="0" w:line="208" w:lineRule="exact"/>
        <w:rPr>
          <w:sz w:val="20"/>
          <w:szCs w:val="20"/>
          <w:color w:val="auto"/>
        </w:rPr>
      </w:pPr>
    </w:p>
    <w:p>
      <w:pPr>
        <w:jc w:val="both"/>
        <w:ind w:right="120" w:firstLine="395"/>
        <w:spacing w:after="0" w:line="324" w:lineRule="auto"/>
        <w:rPr>
          <w:sz w:val="20"/>
          <w:szCs w:val="20"/>
          <w:color w:val="auto"/>
        </w:rPr>
      </w:pPr>
      <w:r>
        <w:rPr>
          <w:rFonts w:ascii="Arial" w:cs="Arial" w:eastAsia="Arial" w:hAnsi="Arial"/>
          <w:sz w:val="16"/>
          <w:szCs w:val="16"/>
          <w:color w:val="auto"/>
        </w:rPr>
        <w:t>Entertainment, retail and other expenses increased primarily due to marketing expenses incurred by Wynn Interactive. The increase was partially offset by a decrease in entertainment, retail and other expenses of $22.5 million at our Las Vegas Operations primarily as a result of lower operating costs.</w:t>
      </w:r>
    </w:p>
    <w:p>
      <w:pPr>
        <w:spacing w:after="0" w:line="161" w:lineRule="exact"/>
        <w:rPr>
          <w:sz w:val="20"/>
          <w:szCs w:val="20"/>
          <w:color w:val="auto"/>
        </w:rPr>
      </w:pPr>
    </w:p>
    <w:p>
      <w:pPr>
        <w:jc w:val="both"/>
        <w:ind w:right="100" w:firstLine="395"/>
        <w:spacing w:after="0" w:line="248" w:lineRule="auto"/>
        <w:rPr>
          <w:sz w:val="20"/>
          <w:szCs w:val="20"/>
          <w:color w:val="auto"/>
        </w:rPr>
      </w:pPr>
      <w:r>
        <w:rPr>
          <w:rFonts w:ascii="Arial" w:cs="Arial" w:eastAsia="Arial" w:hAnsi="Arial"/>
          <w:sz w:val="18"/>
          <w:szCs w:val="18"/>
          <w:color w:val="auto"/>
        </w:rPr>
        <w:t>General and administrative expenses decreased primarily due to decreases of $8.3 million, $4.4 million, and $22.2 million at Wynn Palace, Wynn Macau, and our Las Vegas Operations, respectively. These decreases were primarily attributable to decreased payroll, operating costs, and general and administrative expenses as a result of the COVID-19 pandemic. These decreases were partially offset by an increase in corporate and other general and administrative expenses of $24.1 million, primarily due to a credit of $27.7 million for the net proceeds of a derivative action settlement recognized during the three months ended June 30, 2020.</w:t>
      </w:r>
    </w:p>
    <w:p>
      <w:pPr>
        <w:spacing w:after="0" w:line="220" w:lineRule="exact"/>
        <w:rPr>
          <w:sz w:val="20"/>
          <w:szCs w:val="20"/>
          <w:color w:val="auto"/>
        </w:rPr>
      </w:pPr>
    </w:p>
    <w:p>
      <w:pPr>
        <w:jc w:val="both"/>
        <w:ind w:right="100" w:firstLine="395"/>
        <w:spacing w:after="0" w:line="252" w:lineRule="auto"/>
        <w:rPr>
          <w:sz w:val="20"/>
          <w:szCs w:val="20"/>
          <w:color w:val="auto"/>
        </w:rPr>
      </w:pPr>
      <w:r>
        <w:rPr>
          <w:rFonts w:ascii="Arial" w:cs="Arial" w:eastAsia="Arial" w:hAnsi="Arial"/>
          <w:sz w:val="18"/>
          <w:szCs w:val="18"/>
          <w:color w:val="auto"/>
        </w:rPr>
        <w:t>The provision for credit losses decreased $20.4 million, $15.2 million, and $3.5 million at our Las Vegas Operations, Wynn Palace, and Wynn Macau, respectively. The decreases were primarily due to the impact of historical collection patterns and expectations of current and future collection trends, as well as the specific review of customer accounts, on our estimated credit loss for the respective periods.</w:t>
      </w:r>
    </w:p>
    <w:p>
      <w:pPr>
        <w:spacing w:after="0" w:line="216" w:lineRule="exact"/>
        <w:rPr>
          <w:sz w:val="20"/>
          <w:szCs w:val="20"/>
          <w:color w:val="auto"/>
        </w:rPr>
      </w:pPr>
    </w:p>
    <w:p>
      <w:pPr>
        <w:jc w:val="both"/>
        <w:ind w:right="100" w:firstLine="395"/>
        <w:spacing w:after="0" w:line="299" w:lineRule="auto"/>
        <w:rPr>
          <w:sz w:val="20"/>
          <w:szCs w:val="20"/>
          <w:color w:val="auto"/>
        </w:rPr>
      </w:pPr>
      <w:r>
        <w:rPr>
          <w:rFonts w:ascii="Arial" w:cs="Arial" w:eastAsia="Arial" w:hAnsi="Arial"/>
          <w:sz w:val="16"/>
          <w:szCs w:val="16"/>
          <w:color w:val="auto"/>
        </w:rPr>
        <w:t>For the six months ended June 30, 2021, pre-opening expenses totaled $4.1 million, which primarily related to restaurant remodels at our Las Vegas Operations. For the six months ended June 30, 2020, pre-opening expenses totaled $4.7 million, which primarily related to restaurant remodels at our Las Vegas Operations and the meeting and convention expansion at Wynn Las Vegas, which opened in February 2020.</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95"/>
        <w:spacing w:after="0" w:line="362" w:lineRule="auto"/>
        <w:rPr>
          <w:sz w:val="20"/>
          <w:szCs w:val="20"/>
          <w:color w:val="auto"/>
        </w:rPr>
      </w:pPr>
      <w:r>
        <w:rPr>
          <w:rFonts w:ascii="Arial" w:cs="Arial" w:eastAsia="Arial" w:hAnsi="Arial"/>
          <w:sz w:val="15"/>
          <w:szCs w:val="15"/>
          <w:color w:val="auto"/>
        </w:rPr>
        <w:t>Depreciation and amortization increased primarily due to increased depreciation and amortization expense incurred at Corporate and other and an increase in depreciation expense of $4.5 million at Encore Boston Harbor associated with equipment placed in service during the six months ended June 30, 2021.</w:t>
      </w:r>
    </w:p>
    <w:p>
      <w:pPr>
        <w:spacing w:after="0" w:line="138" w:lineRule="exact"/>
        <w:rPr>
          <w:sz w:val="20"/>
          <w:szCs w:val="20"/>
          <w:color w:val="auto"/>
        </w:rPr>
      </w:pPr>
    </w:p>
    <w:p>
      <w:pPr>
        <w:jc w:val="both"/>
        <w:ind w:firstLine="395"/>
        <w:spacing w:after="0" w:line="327" w:lineRule="auto"/>
        <w:rPr>
          <w:sz w:val="20"/>
          <w:szCs w:val="20"/>
          <w:color w:val="auto"/>
        </w:rPr>
      </w:pPr>
      <w:r>
        <w:rPr>
          <w:rFonts w:ascii="Arial" w:cs="Arial" w:eastAsia="Arial" w:hAnsi="Arial"/>
          <w:sz w:val="15"/>
          <w:szCs w:val="15"/>
          <w:color w:val="auto"/>
        </w:rPr>
        <w:t>Our property charges and other expenses for the six months ended June 30, 2021 consisted primarily of asset abandonments of $3.5 million and $3.2 million at our Las Vegas Operations and Wynn Palace, respectively. Our property charges and other expenses for the six months ended June 30, 2020 consisted primarily of asset disposals, abandonments and retirements of $23.3 million and $3.9 million at Wynn Palace and Encore Boston Harbor,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4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Increase/</w:t>
            </w:r>
          </w:p>
        </w:tc>
        <w:tc>
          <w:tcPr>
            <w:tcW w:w="100" w:type="dxa"/>
            <w:vAlign w:val="bottom"/>
          </w:tcPr>
          <w:p>
            <w:pPr>
              <w:spacing w:after="0"/>
              <w:rPr>
                <w:sz w:val="10"/>
                <w:szCs w:val="10"/>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w w:val="97"/>
              </w:rPr>
              <w:t>Percent Change</w:t>
            </w:r>
          </w:p>
        </w:tc>
        <w:tc>
          <w:tcPr>
            <w:tcW w:w="0" w:type="dxa"/>
            <w:vAlign w:val="bottom"/>
          </w:tcPr>
          <w:p>
            <w:pPr>
              <w:spacing w:after="0"/>
              <w:rPr>
                <w:sz w:val="1"/>
                <w:szCs w:val="1"/>
                <w:color w:val="auto"/>
              </w:rPr>
            </w:pPr>
          </w:p>
        </w:tc>
      </w:tr>
      <w:tr>
        <w:trPr>
          <w:trHeight w:val="184"/>
        </w:trPr>
        <w:tc>
          <w:tcPr>
            <w:tcW w:w="5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6"/>
              </w:rPr>
              <w:t>(Decrease)</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4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Interest expense</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460" w:type="dxa"/>
            <w:vAlign w:val="bottom"/>
          </w:tcPr>
          <w:p>
            <w:pPr>
              <w:ind w:left="340"/>
              <w:spacing w:after="0" w:line="172" w:lineRule="exact"/>
              <w:rPr>
                <w:sz w:val="20"/>
                <w:szCs w:val="20"/>
                <w:color w:val="auto"/>
              </w:rPr>
            </w:pPr>
            <w:r>
              <w:rPr>
                <w:rFonts w:ascii="Arial" w:cs="Arial" w:eastAsia="Arial" w:hAnsi="Arial"/>
                <w:sz w:val="18"/>
                <w:szCs w:val="18"/>
                <w:color w:val="auto"/>
                <w:w w:val="90"/>
              </w:rPr>
              <w:t>Interest cost, including amortization of debt issuance costs and original</w:t>
            </w:r>
          </w:p>
        </w:tc>
        <w:tc>
          <w:tcPr>
            <w:tcW w:w="320" w:type="dxa"/>
            <w:vAlign w:val="bottom"/>
            <w:vMerge w:val="restart"/>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7"/>
              <w:spacing w:after="0"/>
              <w:rPr>
                <w:sz w:val="20"/>
                <w:szCs w:val="20"/>
                <w:color w:val="auto"/>
              </w:rPr>
            </w:pPr>
            <w:r>
              <w:rPr>
                <w:rFonts w:ascii="Arial" w:cs="Arial" w:eastAsia="Arial" w:hAnsi="Arial"/>
                <w:sz w:val="18"/>
                <w:szCs w:val="18"/>
                <w:color w:val="auto"/>
              </w:rPr>
              <w:t>303,276</w:t>
            </w:r>
          </w:p>
        </w:tc>
        <w:tc>
          <w:tcPr>
            <w:tcW w:w="120" w:type="dxa"/>
            <w:vAlign w:val="bottom"/>
          </w:tcPr>
          <w:p>
            <w:pPr>
              <w:spacing w:after="0"/>
              <w:rPr>
                <w:sz w:val="14"/>
                <w:szCs w:val="14"/>
                <w:color w:val="auto"/>
              </w:rPr>
            </w:pPr>
          </w:p>
        </w:tc>
        <w:tc>
          <w:tcPr>
            <w:tcW w:w="320" w:type="dxa"/>
            <w:vAlign w:val="bottom"/>
            <w:vMerge w:val="restart"/>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35"/>
              <w:spacing w:after="0"/>
              <w:rPr>
                <w:sz w:val="20"/>
                <w:szCs w:val="20"/>
                <w:color w:val="auto"/>
              </w:rPr>
            </w:pPr>
            <w:r>
              <w:rPr>
                <w:rFonts w:ascii="Arial" w:cs="Arial" w:eastAsia="Arial" w:hAnsi="Arial"/>
                <w:sz w:val="18"/>
                <w:szCs w:val="18"/>
                <w:color w:val="auto"/>
              </w:rPr>
              <w:t>263,297</w:t>
            </w:r>
          </w:p>
        </w:tc>
        <w:tc>
          <w:tcPr>
            <w:tcW w:w="1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ind w:left="420"/>
              <w:spacing w:after="0"/>
              <w:rPr>
                <w:sz w:val="20"/>
                <w:szCs w:val="20"/>
                <w:color w:val="auto"/>
              </w:rPr>
            </w:pPr>
            <w:r>
              <w:rPr>
                <w:rFonts w:ascii="Arial" w:cs="Arial" w:eastAsia="Arial" w:hAnsi="Arial"/>
                <w:sz w:val="18"/>
                <w:szCs w:val="18"/>
                <w:color w:val="auto"/>
                <w:w w:val="98"/>
              </w:rPr>
              <w:t>39,979</w:t>
            </w:r>
          </w:p>
        </w:tc>
        <w:tc>
          <w:tcPr>
            <w:tcW w:w="128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5460" w:type="dxa"/>
            <w:vAlign w:val="bottom"/>
          </w:tcPr>
          <w:p>
            <w:pPr>
              <w:ind w:left="340"/>
              <w:spacing w:after="0"/>
              <w:rPr>
                <w:sz w:val="20"/>
                <w:szCs w:val="20"/>
                <w:color w:val="auto"/>
              </w:rPr>
            </w:pPr>
            <w:r>
              <w:rPr>
                <w:rFonts w:ascii="Arial" w:cs="Arial" w:eastAsia="Arial" w:hAnsi="Arial"/>
                <w:sz w:val="18"/>
                <w:szCs w:val="18"/>
                <w:color w:val="auto"/>
              </w:rPr>
              <w:t>issue discount and premium</w:t>
            </w:r>
          </w:p>
        </w:tc>
        <w:tc>
          <w:tcPr>
            <w:tcW w:w="3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(1,252)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7"/>
        </w:trPr>
        <w:tc>
          <w:tcPr>
            <w:tcW w:w="54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303,276</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262,045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98"/>
              </w:rPr>
              <w:t>41,231</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12,365,615</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11,496,999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Interest costs increased primarily due to an increase in the weighted average debt balance and the weighted average interest rate. Capitalized interest decreased due to the completion of the meeting and convention expansion in February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4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incurred a foreign currency remeasurement loss of $5.5 million and a gain of $12.6 million for the six months ended June 30, 2021 and 2020,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15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recorded a gain of $5.4 million and a loss of $19.0 million for the six months ended June 30, 2021 and 2020, respectively, from change in derivatives fair value.</w:t>
      </w:r>
    </w:p>
    <w:p>
      <w:pPr>
        <w:spacing w:after="0" w:line="20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recorded a $1.3 million loss on extinguishment of debt for the six months ended June 30, 2021 related to the partial prepayment of the Wynn Macau Term Loan. We recorded a $1.5 million loss on extinguishment of debt for the six months ended June 30, 2020 primarily related to the partial prepayment of the Wynn Macau Term Loan.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40"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recorded an income tax expense of $1.2 million and $156.7 million for the six months ended June 30, 2021 and 2020, respectively. The 2021 income tax expense primarily related to an increase in valuation allowance for U.S. deferred tax assets and the Macau dividend tax agreement that provides for an annual payment of MOP 12.8 million (approximately $1.6 million) as complementary tax otherwise due by stockholders of Wynn Macau SA. The 2020 income tax expense primarily related to the increase in the valuation allowances for U.S foreign tax credits and U.S. loss carryforwards.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Net loss attributable to noncontrolling interests was $97.2 million and $145.5 million for the six months ended June 30, 2021 and 2020,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primarily related to the noncontrolling interests' share of net loss from WML.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46" w:lineRule="exact"/>
        <w:rPr>
          <w:sz w:val="20"/>
          <w:szCs w:val="20"/>
          <w:color w:val="auto"/>
        </w:rPr>
      </w:pPr>
    </w:p>
    <w:p>
      <w:pPr>
        <w:jc w:val="both"/>
        <w:ind w:firstLine="395"/>
        <w:spacing w:after="0" w:line="297" w:lineRule="auto"/>
        <w:rPr>
          <w:sz w:val="20"/>
          <w:szCs w:val="20"/>
          <w:color w:val="auto"/>
        </w:rPr>
      </w:pPr>
      <w:r>
        <w:rPr>
          <w:rFonts w:ascii="Arial" w:cs="Arial" w:eastAsia="Arial" w:hAnsi="Arial"/>
          <w:sz w:val="15"/>
          <w:szCs w:val="15"/>
          <w:color w:val="auto"/>
        </w:rPr>
        <w:t>We use Adjusted Property EBITDA to manage the operating results of our segments. 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312"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following table summarizes Adjusted Property EBITDA (in thousands) for Wynn Palace, Wynn Macau, Las Vegas Operations, and Encore Boston Harbor as reviewed by management and summarized in Item 1—"Notes to Condensed Consolidated Financial Statements," Note 17, "Segment Information." That footnote also presents a reconciliation of Adjusted Property EBITDA to net loss attributable to Wynn Resorts, Limited.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tcPr>
          <w:p>
            <w:pPr>
              <w:ind w:left="120"/>
              <w:spacing w:after="0"/>
              <w:rPr>
                <w:sz w:val="20"/>
                <w:szCs w:val="20"/>
                <w:color w:val="auto"/>
              </w:rPr>
            </w:pPr>
            <w:r>
              <w:rPr>
                <w:rFonts w:ascii="Arial" w:cs="Arial" w:eastAsia="Arial" w:hAnsi="Arial"/>
                <w:sz w:val="12"/>
                <w:szCs w:val="12"/>
                <w:b w:val="1"/>
                <w:bCs w:val="1"/>
                <w:color w:val="auto"/>
              </w:rPr>
              <w:t>Three Months Ended June 30,</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5"/>
          </w:tcPr>
          <w:p>
            <w:pPr>
              <w:ind w:left="160"/>
              <w:spacing w:after="0"/>
              <w:rPr>
                <w:sz w:val="20"/>
                <w:szCs w:val="20"/>
                <w:color w:val="auto"/>
              </w:rPr>
            </w:pPr>
            <w:r>
              <w:rPr>
                <w:rFonts w:ascii="Arial" w:cs="Arial" w:eastAsia="Arial" w:hAnsi="Arial"/>
                <w:sz w:val="12"/>
                <w:szCs w:val="12"/>
                <w:b w:val="1"/>
                <w:bCs w:val="1"/>
                <w:color w:val="auto"/>
              </w:rPr>
              <w:t>Six Months Ended June 30,</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Percent</w:t>
            </w: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Increase/</w:t>
            </w:r>
          </w:p>
        </w:tc>
        <w:tc>
          <w:tcPr>
            <w:tcW w:w="860" w:type="dxa"/>
            <w:vAlign w:val="bottom"/>
          </w:tcPr>
          <w:p>
            <w:pPr>
              <w:ind w:left="200"/>
              <w:spacing w:after="0" w:line="11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4"/>
        </w:trPr>
        <w:tc>
          <w:tcPr>
            <w:tcW w:w="2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4"/>
              </w:rPr>
              <w:t>(Decrease)</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2"/>
              </w:rPr>
              <w:t>(Decrease)</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7"/>
        </w:trPr>
        <w:tc>
          <w:tcPr>
            <w:tcW w:w="23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Wynn Palace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164,463</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NM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181,656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2300" w:type="dxa"/>
            <w:vAlign w:val="bottom"/>
          </w:tcPr>
          <w:p>
            <w:pPr>
              <w:ind w:left="20"/>
              <w:spacing w:after="0"/>
              <w:rPr>
                <w:sz w:val="20"/>
                <w:szCs w:val="20"/>
                <w:color w:val="auto"/>
              </w:rPr>
            </w:pPr>
            <w:r>
              <w:rPr>
                <w:rFonts w:ascii="Arial" w:cs="Arial" w:eastAsia="Arial" w:hAnsi="Arial"/>
                <w:sz w:val="18"/>
                <w:szCs w:val="18"/>
                <w:color w:val="auto"/>
              </w:rPr>
              <w:t>Wynn Macau</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(82,646)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96,732</w:t>
            </w:r>
          </w:p>
        </w:tc>
        <w:tc>
          <w:tcPr>
            <w:tcW w:w="120" w:type="dxa"/>
            <w:vAlign w:val="bottom"/>
          </w:tcPr>
          <w:p>
            <w:pPr>
              <w:spacing w:after="0"/>
              <w:rPr>
                <w:sz w:val="19"/>
                <w:szCs w:val="19"/>
                <w:color w:val="auto"/>
              </w:rPr>
            </w:pPr>
          </w:p>
        </w:tc>
        <w:tc>
          <w:tcPr>
            <w:tcW w:w="1200" w:type="dxa"/>
            <w:vAlign w:val="bottom"/>
            <w:gridSpan w:val="3"/>
          </w:tcPr>
          <w:p>
            <w:pPr>
              <w:ind w:left="540"/>
              <w:spacing w:after="0"/>
              <w:rPr>
                <w:sz w:val="20"/>
                <w:szCs w:val="20"/>
                <w:color w:val="auto"/>
              </w:rPr>
            </w:pPr>
            <w:r>
              <w:rPr>
                <w:rFonts w:ascii="Arial" w:cs="Arial" w:eastAsia="Arial" w:hAnsi="Arial"/>
                <w:sz w:val="18"/>
                <w:szCs w:val="18"/>
                <w:color w:val="auto"/>
              </w:rPr>
              <w:t>NM</w:t>
            </w:r>
          </w:p>
        </w:tc>
        <w:tc>
          <w:tcPr>
            <w:tcW w:w="840" w:type="dxa"/>
            <w:vAlign w:val="bottom"/>
          </w:tcPr>
          <w:p>
            <w:pPr>
              <w:jc w:val="right"/>
              <w:spacing w:after="0"/>
              <w:rPr>
                <w:sz w:val="20"/>
                <w:szCs w:val="20"/>
                <w:color w:val="auto"/>
              </w:rPr>
            </w:pPr>
            <w:r>
              <w:rPr>
                <w:rFonts w:ascii="Arial" w:cs="Arial" w:eastAsia="Arial" w:hAnsi="Arial"/>
                <w:sz w:val="18"/>
                <w:szCs w:val="18"/>
                <w:color w:val="auto"/>
              </w:rPr>
              <w:t>30,642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94,080</w:t>
            </w:r>
          </w:p>
        </w:tc>
        <w:tc>
          <w:tcPr>
            <w:tcW w:w="80" w:type="dxa"/>
            <w:vAlign w:val="bottom"/>
          </w:tcPr>
          <w:p>
            <w:pPr>
              <w:spacing w:after="0"/>
              <w:rPr>
                <w:sz w:val="19"/>
                <w:szCs w:val="19"/>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4"/>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208,786</w:t>
            </w: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258,944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230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46,916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100,695</w:t>
            </w:r>
          </w:p>
        </w:tc>
        <w:tc>
          <w:tcPr>
            <w:tcW w:w="120" w:type="dxa"/>
            <w:vAlign w:val="bottom"/>
          </w:tcPr>
          <w:p>
            <w:pPr>
              <w:spacing w:after="0"/>
              <w:rPr>
                <w:sz w:val="19"/>
                <w:szCs w:val="19"/>
                <w:color w:val="auto"/>
              </w:rPr>
            </w:pPr>
          </w:p>
        </w:tc>
        <w:tc>
          <w:tcPr>
            <w:tcW w:w="1200" w:type="dxa"/>
            <w:vAlign w:val="bottom"/>
            <w:gridSpan w:val="3"/>
          </w:tcPr>
          <w:p>
            <w:pPr>
              <w:ind w:left="540"/>
              <w:spacing w:after="0"/>
              <w:rPr>
                <w:sz w:val="20"/>
                <w:szCs w:val="20"/>
                <w:color w:val="auto"/>
              </w:rPr>
            </w:pPr>
            <w:r>
              <w:rPr>
                <w:rFonts w:ascii="Arial" w:cs="Arial" w:eastAsia="Arial" w:hAnsi="Arial"/>
                <w:sz w:val="18"/>
                <w:szCs w:val="18"/>
                <w:color w:val="auto"/>
              </w:rPr>
              <w:t>NM</w:t>
            </w:r>
          </w:p>
        </w:tc>
        <w:tc>
          <w:tcPr>
            <w:tcW w:w="840" w:type="dxa"/>
            <w:vAlign w:val="bottom"/>
          </w:tcPr>
          <w:p>
            <w:pPr>
              <w:jc w:val="right"/>
              <w:spacing w:after="0"/>
              <w:rPr>
                <w:sz w:val="20"/>
                <w:szCs w:val="20"/>
                <w:color w:val="auto"/>
              </w:rPr>
            </w:pPr>
            <w:r>
              <w:rPr>
                <w:rFonts w:ascii="Arial" w:cs="Arial" w:eastAsia="Arial" w:hAnsi="Arial"/>
                <w:sz w:val="18"/>
                <w:szCs w:val="18"/>
                <w:color w:val="auto"/>
              </w:rPr>
              <w:t>77,279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143,694</w:t>
            </w:r>
          </w:p>
        </w:tc>
        <w:tc>
          <w:tcPr>
            <w:tcW w:w="80" w:type="dxa"/>
            <w:vAlign w:val="bottom"/>
          </w:tcPr>
          <w:p>
            <w:pPr>
              <w:spacing w:after="0"/>
              <w:rPr>
                <w:sz w:val="19"/>
                <w:szCs w:val="19"/>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4"/>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(40,899)</w:t>
            </w: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(84,368)</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Adjusted Property EBITDA at Wynn Palace increased $164.5 million and $181.7 million for the three and six months ended June 30, 2021, respectively, primarily due to an increase in operating revenues, partially offset by an increase in operating expenses.</w:t>
      </w:r>
    </w:p>
    <w:p>
      <w:pPr>
        <w:spacing w:after="0" w:line="11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Adjusted Property EBITDA at Wynn Macau increased $96.7 million and $94.1 million for the three and six months ended June 30, 2021, respectively, primarily due to an increase in operating revenues, partially offset by an increase in operating expenses.</w:t>
      </w:r>
    </w:p>
    <w:p>
      <w:pPr>
        <w:spacing w:after="0" w:line="116"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Adjusted Property EBITDA at our Las Vegas Operations increased $208.8 million for the three months ended June 30, 2021, primarily due to an increase in operating revenues, partially offset by an increase in operating expenses. Adjusted Property EBITDA at our Las Vegas Operations increased $258.9 million for the six months ended June 30, 2021, primarily due to an increase in operating revenues and a decrease in operating expenses. Our Las Vegas Operations closed to the public on March 17, 2020, and reopened on June 4, 2020 on a reduced basis. Adjusted Property EBITDA for our Las Vegas Operations for the second quarter of 2020 excluded the impact of $56.4 million of expense related to our commitment to pay salary, tips, and benefits continuation for all of our U.S. employees for the period from April 1 through May 15, 2020, which we accrued during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Adjusted Property EBITDA at Encore Boston Harbor increased $100.7 million and $143.7 million for the three and six months ended June 30, 2021, respectively, primarily due to an increase in operating revenues, partially offset by an increase in operating expenses. Encore Boston Harbor closed to the public on March 15, 2020, and remained closed through the second quarter of 2020. Adjusted Property EBITDA for Encore Boston Harbor for the second quarter of 2020 excluded the impact of $19.3 million of expense related to our commitment to pay salary, tips, and benefits continuation for all of our U.S. employees for the period from April 1 through May 15, 2020, which we accrued during the first quarter of 2020.</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cash flows were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tcBorders>
              <w:bottom w:val="single" w:sz="8" w:color="auto"/>
            </w:tcBorders>
          </w:tcPr>
          <w:p>
            <w:pPr>
              <w:spacing w:after="0"/>
              <w:rPr>
                <w:sz w:val="16"/>
                <w:szCs w:val="16"/>
                <w:color w:val="auto"/>
              </w:rPr>
            </w:pPr>
          </w:p>
        </w:tc>
      </w:tr>
      <w:tr>
        <w:trPr>
          <w:trHeight w:val="21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Cash Flows - Summary</w:t>
            </w: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w w:val="96"/>
              </w:rPr>
              <w:t>2020</w:t>
            </w:r>
          </w:p>
        </w:tc>
      </w:tr>
      <w:tr>
        <w:trPr>
          <w:trHeight w:val="217"/>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(226,807)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12"/>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(607,987)</w:t>
            </w:r>
          </w:p>
        </w:tc>
      </w:tr>
      <w:tr>
        <w:trPr>
          <w:trHeight w:val="263"/>
        </w:trPr>
        <w:tc>
          <w:tcPr>
            <w:tcW w:w="7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7200" w:type="dxa"/>
            <w:vAlign w:val="bottom"/>
          </w:tcPr>
          <w:p>
            <w:pPr>
              <w:ind w:left="340"/>
              <w:spacing w:after="0"/>
              <w:rPr>
                <w:sz w:val="20"/>
                <w:szCs w:val="20"/>
                <w:color w:val="auto"/>
              </w:rPr>
            </w:pPr>
            <w:r>
              <w:rPr>
                <w:rFonts w:ascii="Arial" w:cs="Arial" w:eastAsia="Arial" w:hAnsi="Arial"/>
                <w:sz w:val="18"/>
                <w:szCs w:val="18"/>
                <w:color w:val="auto"/>
              </w:rPr>
              <w:t>Capital expenditures, net of construction payables and retention</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(110,045)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(191,682)</w:t>
            </w:r>
          </w:p>
        </w:tc>
      </w:tr>
      <w:tr>
        <w:trPr>
          <w:trHeight w:val="224"/>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intangible and other assets</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Proceeds from sale of assets and other</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w:t>
            </w:r>
          </w:p>
        </w:tc>
      </w:tr>
      <w:tr>
        <w:trPr>
          <w:trHeight w:val="217"/>
        </w:trPr>
        <w:tc>
          <w:tcPr>
            <w:tcW w:w="72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4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(122,284)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(187,949)</w:t>
            </w:r>
          </w:p>
        </w:tc>
      </w:tr>
      <w:tr>
        <w:trPr>
          <w:trHeight w:val="263"/>
        </w:trPr>
        <w:tc>
          <w:tcPr>
            <w:tcW w:w="7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7200" w:type="dxa"/>
            <w:vAlign w:val="bottom"/>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50,058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2,894,134</w:t>
            </w:r>
          </w:p>
        </w:tc>
      </w:tr>
      <w:tr>
        <w:trPr>
          <w:trHeight w:val="224"/>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long-term debt</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(1,205,099)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(527,535)</w:t>
            </w:r>
          </w:p>
        </w:tc>
      </w:tr>
      <w:tr>
        <w:trPr>
          <w:trHeight w:val="223"/>
        </w:trPr>
        <w:tc>
          <w:tcPr>
            <w:tcW w:w="7200" w:type="dxa"/>
            <w:vAlign w:val="bottom"/>
          </w:tcPr>
          <w:p>
            <w:pPr>
              <w:ind w:left="340"/>
              <w:spacing w:after="0"/>
              <w:rPr>
                <w:sz w:val="20"/>
                <w:szCs w:val="20"/>
                <w:color w:val="auto"/>
              </w:rPr>
            </w:pPr>
            <w:r>
              <w:rPr>
                <w:rFonts w:ascii="Arial" w:cs="Arial" w:eastAsia="Arial" w:hAnsi="Arial"/>
                <w:sz w:val="18"/>
                <w:szCs w:val="18"/>
                <w:color w:val="auto"/>
              </w:rPr>
              <w:t>Proceeds from issuance of Wynn Resorts, Limited common stock</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841,896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w:t>
            </w:r>
          </w:p>
        </w:tc>
      </w:tr>
      <w:tr>
        <w:trPr>
          <w:trHeight w:val="223"/>
        </w:trPr>
        <w:tc>
          <w:tcPr>
            <w:tcW w:w="7200" w:type="dxa"/>
            <w:vAlign w:val="bottom"/>
          </w:tcPr>
          <w:p>
            <w:pPr>
              <w:ind w:left="340"/>
              <w:spacing w:after="0"/>
              <w:rPr>
                <w:sz w:val="20"/>
                <w:szCs w:val="20"/>
                <w:color w:val="auto"/>
              </w:rPr>
            </w:pPr>
            <w:r>
              <w:rPr>
                <w:rFonts w:ascii="Arial" w:cs="Arial" w:eastAsia="Arial" w:hAnsi="Arial"/>
                <w:sz w:val="18"/>
                <w:szCs w:val="18"/>
                <w:color w:val="auto"/>
              </w:rPr>
              <w:t>Finance lease payments</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(7,784)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4"/>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4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720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(108,074)</w:t>
            </w:r>
          </w:p>
        </w:tc>
      </w:tr>
      <w:tr>
        <w:trPr>
          <w:trHeight w:val="224"/>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to noncontrolling interest</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23"/>
        </w:trPr>
        <w:tc>
          <w:tcPr>
            <w:tcW w:w="7200" w:type="dxa"/>
            <w:vAlign w:val="bottom"/>
          </w:tcPr>
          <w:p>
            <w:pPr>
              <w:ind w:left="340"/>
              <w:spacing w:after="0"/>
              <w:rPr>
                <w:sz w:val="20"/>
                <w:szCs w:val="20"/>
                <w:color w:val="auto"/>
              </w:rPr>
            </w:pPr>
            <w:r>
              <w:rPr>
                <w:rFonts w:ascii="Arial" w:cs="Arial" w:eastAsia="Arial" w:hAnsi="Arial"/>
                <w:sz w:val="18"/>
                <w:szCs w:val="18"/>
                <w:color w:val="auto"/>
              </w:rPr>
              <w:t>Proceeds from issuance of subsidiary common stock</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financing costs</w:t>
            </w:r>
          </w:p>
        </w:tc>
        <w:tc>
          <w:tcPr>
            <w:tcW w:w="4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(13,196)</w:t>
            </w:r>
          </w:p>
        </w:tc>
      </w:tr>
      <w:tr>
        <w:trPr>
          <w:trHeight w:val="217"/>
        </w:trPr>
        <w:tc>
          <w:tcPr>
            <w:tcW w:w="7200" w:type="dxa"/>
            <w:vAlign w:val="bottom"/>
          </w:tcPr>
          <w:p>
            <w:pPr>
              <w:ind w:left="10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(329,849)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2,235,890</w:t>
            </w:r>
          </w:p>
        </w:tc>
      </w:tr>
      <w:tr>
        <w:trPr>
          <w:trHeight w:val="263"/>
        </w:trPr>
        <w:tc>
          <w:tcPr>
            <w:tcW w:w="72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4"/>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Effect of exchange rate on cash, cash equivalents and restricted cash</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4,341</w:t>
            </w:r>
          </w:p>
        </w:tc>
      </w:tr>
      <w:tr>
        <w:trPr>
          <w:trHeight w:val="24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(Decrease) increase in cash, cash equivalents and restricted cash</w:t>
            </w: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(677,299)</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1,444,295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0"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19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During the six months ended June 30, 2021, the decrease in net cash used in operating activities was primarily due to increased operating revenues, partially offset by an increase in operating expenses and changes in working capital accounts. During the six months ended June 30, 2020, the decrease in net cash provided by operations was primarily due to the adverse effects of the COVID-19 pandemic on the results of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investing activities primarily consist of project capital expenditures, such as the construction of the meeting and convention expansion at Wynn Las Vegas, which opened in February 2020, as well as maintenance capital expenditures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associated with maintaining and continually refining our world-class integrated resort properties. In light of the unprecedented COVID-19 pandemic and our focus on safeguarding the Company's operations and the well-being of our employees, we temporarily postponed major project capital expenditures for 2020.</w:t>
      </w:r>
    </w:p>
    <w:p>
      <w:pPr>
        <w:spacing w:after="0" w:line="16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During the six months ended June 30, 2021, we incurred capital expenditures of $54.6 million at our Las Vegas Operations primarily related to the Wynn Las Vegas room remodel, and $17.9 million at Encore Boston Harbor, $13.6 million at Wynn Palace, and $9.8 million at Wynn Macau primarily related to maintenance capital expenditures.</w:t>
      </w:r>
    </w:p>
    <w:p>
      <w:pPr>
        <w:spacing w:after="0" w:line="21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During the six months ended June 30, 2020, we incurred capital expenditures of $48.1 million at Encore Boston Harbor primarily for the payment of construction retention and other payables related to its construction, $57.5 million at our Las Vegas Operations for restaurant remodels and maintenance capital expenditures, $23.1 million for the construction of the additional meeting and convention space at Wynn Las Vegas, and $27.5 million and $32.5 million at Wynn Palace and Wynn Macau, respectively, primarily related to maintenance capital expenditures.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0"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During the six months ended June 30, 2021, we received proceeds of $841.9 million from our February 2021 equity offering and used $716.0 million of the proceeds from the equity offering to repay the outstanding borrowings under the WRF Revolver. In addition, we borrowed $50.1 million under the Wynn Macau Revolver, paid $464.7 million of outstanding principal owed under the Wynn Macau Term Loan, and made quarterly amortization payments under the WRF Term Loan totaling $25.0 million.</w:t>
      </w:r>
    </w:p>
    <w:p>
      <w:pPr>
        <w:spacing w:after="0" w:line="217"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During the six months ended June 30, 2020, we issued $750.0 million aggregate principal amount of WML 5 1/2% Senior Notes due 2026, issued $600.0 million aggregate principal amount of WRF 7 3/4% Senior Notes due 2025, borrowed $376.0 million, net of amounts repaid, under the Wynn Macau Revolver, borrowed $816.0 million under the WRF Revolver, prepaid $150.2 million of outstanding principal owed under the Wynn Macau Term Loan, and made quarterly amortization payments under the WRF Term Loan totaling $25.0 million. In addition, we used cash of $108.1 million for the payment of dividends.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40"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COVID-19 pandemic has impacted and will continue to impact, materially, our business, financial condition and results of operations. While we believe our strong liquidity position will enable us to fund our current obligations for the foreseeable future, COVID-19 has resulted in significant disruption, which has had and will continue to have a negative impact on our operating income and could have a negative impact on our ability to access capital in the future. We continue to monitor the rapidly evolving situation and guidance from international and domestic authorities.</w:t>
      </w:r>
    </w:p>
    <w:p>
      <w:pPr>
        <w:spacing w:after="0" w:line="187"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following table summarizes our unrestricted cash and cash equivalents and available revolver borrowing capacity under the Company as of June 30, 2021 (in thousands):</w:t>
      </w:r>
    </w:p>
    <w:tbl>
      <w:tblPr>
        <w:tblLayout w:type="fixed"/>
        <w:tblInd w:w="0" w:type="dxa"/>
        <w:tblCellMar>
          <w:top w:w="0" w:type="dxa"/>
          <w:left w:w="0" w:type="dxa"/>
          <w:bottom w:w="0" w:type="dxa"/>
          <w:right w:w="0" w:type="dxa"/>
        </w:tblCellMar>
      </w:tblPr>
      <w:tr>
        <w:trPr>
          <w:trHeight w:val="141"/>
        </w:trPr>
        <w:tc>
          <w:tcPr>
            <w:tcW w:w="7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9"/>
              </w:rPr>
              <w:t>Total Cash and Cash</w:t>
            </w:r>
          </w:p>
        </w:tc>
        <w:tc>
          <w:tcPr>
            <w:tcW w:w="180" w:type="dxa"/>
            <w:vAlign w:val="bottom"/>
          </w:tcPr>
          <w:p>
            <w:pPr>
              <w:spacing w:after="0"/>
              <w:rPr>
                <w:sz w:val="12"/>
                <w:szCs w:val="12"/>
                <w:color w:val="auto"/>
              </w:rPr>
            </w:pPr>
          </w:p>
        </w:tc>
        <w:tc>
          <w:tcPr>
            <w:tcW w:w="1580" w:type="dxa"/>
            <w:vAlign w:val="bottom"/>
          </w:tcPr>
          <w:p>
            <w:pPr>
              <w:jc w:val="right"/>
              <w:ind w:right="197"/>
              <w:spacing w:after="0" w:line="141" w:lineRule="exact"/>
              <w:rPr>
                <w:sz w:val="20"/>
                <w:szCs w:val="20"/>
                <w:color w:val="auto"/>
              </w:rPr>
            </w:pPr>
            <w:r>
              <w:rPr>
                <w:rFonts w:ascii="Arial" w:cs="Arial" w:eastAsia="Arial" w:hAnsi="Arial"/>
                <w:sz w:val="14"/>
                <w:szCs w:val="14"/>
                <w:b w:val="1"/>
                <w:bCs w:val="1"/>
                <w:color w:val="auto"/>
                <w:w w:val="96"/>
              </w:rPr>
              <w:t>Revolver Borrowing</w:t>
            </w:r>
          </w:p>
        </w:tc>
      </w:tr>
      <w:tr>
        <w:trPr>
          <w:trHeight w:val="184"/>
        </w:trPr>
        <w:tc>
          <w:tcPr>
            <w:tcW w:w="7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Equivalents</w:t>
            </w:r>
          </w:p>
        </w:tc>
        <w:tc>
          <w:tcPr>
            <w:tcW w:w="180" w:type="dxa"/>
            <w:vAlign w:val="bottom"/>
          </w:tcPr>
          <w:p>
            <w:pPr>
              <w:spacing w:after="0"/>
              <w:rPr>
                <w:sz w:val="15"/>
                <w:szCs w:val="15"/>
                <w:color w:val="auto"/>
              </w:rPr>
            </w:pPr>
          </w:p>
        </w:tc>
        <w:tc>
          <w:tcPr>
            <w:tcW w:w="1580" w:type="dxa"/>
            <w:vAlign w:val="bottom"/>
          </w:tcPr>
          <w:p>
            <w:pPr>
              <w:jc w:val="right"/>
              <w:ind w:right="537"/>
              <w:spacing w:after="0"/>
              <w:rPr>
                <w:sz w:val="20"/>
                <w:szCs w:val="20"/>
                <w:color w:val="auto"/>
              </w:rPr>
            </w:pPr>
            <w:r>
              <w:rPr>
                <w:rFonts w:ascii="Arial" w:cs="Arial" w:eastAsia="Arial" w:hAnsi="Arial"/>
                <w:sz w:val="14"/>
                <w:szCs w:val="14"/>
                <w:b w:val="1"/>
                <w:bCs w:val="1"/>
                <w:color w:val="auto"/>
              </w:rPr>
              <w:t>Capacity</w:t>
            </w:r>
          </w:p>
        </w:tc>
      </w:tr>
      <w:tr>
        <w:trPr>
          <w:trHeight w:val="217"/>
        </w:trPr>
        <w:tc>
          <w:tcPr>
            <w:tcW w:w="75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Wynn Resorts (Macau) S.A. and subsidiaries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293,211</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 xml:space="preserve">Wynn Macau, Limited and subsidiaries </w:t>
            </w:r>
            <w:r>
              <w:rPr>
                <w:rFonts w:ascii="Arial" w:cs="Arial" w:eastAsia="Arial" w:hAnsi="Arial"/>
                <w:sz w:val="14"/>
                <w:szCs w:val="14"/>
                <w:color w:val="auto"/>
              </w:rPr>
              <w:t>(1)</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1,469,212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Wynn Resorts Finance, LLC </w:t>
            </w:r>
            <w:r>
              <w:rPr>
                <w:rFonts w:ascii="Arial" w:cs="Arial" w:eastAsia="Arial" w:hAnsi="Arial"/>
                <w:sz w:val="14"/>
                <w:szCs w:val="14"/>
                <w:color w:val="auto"/>
              </w:rPr>
              <w:t>(2)</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272,277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834,195</w:t>
            </w: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Wynn Resorts, Limited and other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808,202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2,802,716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1,127,406</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200" w:hanging="195"/>
        <w:spacing w:after="0"/>
        <w:tabs>
          <w:tab w:leader="none" w:pos="2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Excluding Wynn Resorts (Macau) S.A. and subsidiaries.</w:t>
      </w:r>
    </w:p>
    <w:p>
      <w:pPr>
        <w:spacing w:after="0" w:line="8" w:lineRule="exact"/>
        <w:rPr>
          <w:rFonts w:ascii="Arial" w:cs="Arial" w:eastAsia="Arial" w:hAnsi="Arial"/>
          <w:sz w:val="14"/>
          <w:szCs w:val="14"/>
          <w:color w:val="auto"/>
        </w:rPr>
      </w:pPr>
    </w:p>
    <w:p>
      <w:pPr>
        <w:ind w:left="200" w:hanging="195"/>
        <w:spacing w:after="0"/>
        <w:tabs>
          <w:tab w:leader="none" w:pos="2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Excluding Wynn Macau, Limited and subsidiaries.</w:t>
      </w:r>
    </w:p>
    <w:p>
      <w:pPr>
        <w:spacing w:after="0" w:line="22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i w:val="1"/>
          <w:iCs w:val="1"/>
          <w:color w:val="auto"/>
        </w:rPr>
        <w:t xml:space="preserve">Wynn Resorts (Macau) S.A. and subsidiaries. </w:t>
      </w:r>
      <w:r>
        <w:rPr>
          <w:rFonts w:ascii="Arial" w:cs="Arial" w:eastAsia="Arial" w:hAnsi="Arial"/>
          <w:sz w:val="16"/>
          <w:szCs w:val="16"/>
          <w:color w:val="auto"/>
        </w:rPr>
        <w:t>Wynn Resorts (Macau) S.A. ("Wynn Macau SA") generates cash from our Macau Operations and utilizes its</w:t>
      </w:r>
      <w:r>
        <w:rPr>
          <w:rFonts w:ascii="Arial" w:cs="Arial" w:eastAsia="Arial" w:hAnsi="Arial"/>
          <w:sz w:val="16"/>
          <w:szCs w:val="16"/>
          <w:i w:val="1"/>
          <w:iCs w:val="1"/>
          <w:color w:val="auto"/>
        </w:rPr>
        <w:t xml:space="preserve"> </w:t>
      </w:r>
      <w:r>
        <w:rPr>
          <w:rFonts w:ascii="Arial" w:cs="Arial" w:eastAsia="Arial" w:hAnsi="Arial"/>
          <w:sz w:val="16"/>
          <w:szCs w:val="16"/>
          <w:color w:val="auto"/>
        </w:rPr>
        <w:t>revolver to fund short term working capital requirements as needed. We expect to use this cash to service our existing Wynn Macau Credit Facilities, make distributions to WML, and fund working capital and capital expenditure requirements at our Macau Operations.</w:t>
      </w:r>
    </w:p>
    <w:p>
      <w:pPr>
        <w:spacing w:after="0" w:line="18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Wynn Macau Credit Facilities contain customary negative and financial covenants, including, but not limited to, leverage ratio and interest coverage ratio tests (as defined in the Wynn Macau Credit Facilities) that could restrict its ability to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make distributions to WML and incur additional indebtedness. Wynn Macau SA is required to maintain a leverage ratio of not greater than 4.00 to 1 and an interest coverage ratio of not less than 2.00 to 1. Wynn Macau SA complied with these ratios for the three months ended June 30, 2021.</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January 2021, Wynn Macau SA prepaid approximately $412.5 million of the term loan outstanding under the Wynn Macau Credit Facilities using proceeds from WML senior notes issuances.</w:t>
      </w:r>
    </w:p>
    <w:p>
      <w:pPr>
        <w:spacing w:after="0" w:line="20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August 2021, a subsidiary of WML received lender commitments for a senior unsecured revolving credit facility in an aggregate principal amount of up to $1.50 billion with a final maturity four years from inception. The Company expects to enter into the facility during the third quarter of 2021, and to use a portion of the net proceeds from borrowings under the new facility to facilitate the repayment of the outstanding $1.26 billion of borrowings under the existing Wynn Macau Credit Facilities at closing.</w:t>
      </w:r>
    </w:p>
    <w:p>
      <w:pPr>
        <w:spacing w:after="0" w:line="21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Company is currently designing the second phase of Wynn Palace. We do not expect to incur significant capital expenditures related to the construction of this project in 2021.</w:t>
      </w:r>
    </w:p>
    <w:p>
      <w:pPr>
        <w:spacing w:after="0" w:line="20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i w:val="1"/>
          <w:iCs w:val="1"/>
          <w:color w:val="auto"/>
        </w:rPr>
        <w:t xml:space="preserve">Wynn Macau, Limited and subsidiaries. </w:t>
      </w:r>
      <w:r>
        <w:rPr>
          <w:rFonts w:ascii="Arial" w:cs="Arial" w:eastAsia="Arial" w:hAnsi="Arial"/>
          <w:sz w:val="18"/>
          <w:szCs w:val="18"/>
          <w:color w:val="auto"/>
        </w:rPr>
        <w:t>Wynn Macau, Limited ("WML") primarily generates cash through distributions from Wynn Macau SA.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to use WML's cash to service our existing WML Senior Notes, pay dividends to shareholders of WML (of which we own approximately 72%), and fund working capital requirements at WML.</w:t>
      </w:r>
    </w:p>
    <w:p>
      <w:pPr>
        <w:spacing w:after="0" w:line="216"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WML paid no dividends during 2020 or the six months ended June 30, 2021. The WML board of directors will be continuously monitoring the situation and market conditions in Macau and Greater China and may consider a special dividend in the future when such conditions have stabilized.</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If our portion of our cash and cash equivalents were repatriated to the U.S. on June 30, 2021, it would be subject to minimal U.S. taxes in the year of repatriation.</w:t>
      </w:r>
    </w:p>
    <w:p>
      <w:pPr>
        <w:spacing w:after="0" w:line="20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i w:val="1"/>
          <w:iCs w:val="1"/>
          <w:color w:val="auto"/>
        </w:rPr>
        <w:t xml:space="preserve">Wynn Resorts Finance, LLC and subsidiaries. </w:t>
      </w:r>
      <w:r>
        <w:rPr>
          <w:rFonts w:ascii="Arial" w:cs="Arial" w:eastAsia="Arial" w:hAnsi="Arial"/>
          <w:sz w:val="16"/>
          <w:szCs w:val="16"/>
          <w:color w:val="auto"/>
        </w:rPr>
        <w:t>Wynn Resorts Finance, LLC ("WRF" or "Wynn Resorts Finance") generates cash from distributions from</w:t>
      </w:r>
      <w:r>
        <w:rPr>
          <w:rFonts w:ascii="Arial" w:cs="Arial" w:eastAsia="Arial" w:hAnsi="Arial"/>
          <w:sz w:val="16"/>
          <w:szCs w:val="16"/>
          <w:i w:val="1"/>
          <w:iCs w:val="1"/>
          <w:color w:val="auto"/>
        </w:rPr>
        <w:t xml:space="preserve"> </w:t>
      </w:r>
      <w:r>
        <w:rPr>
          <w:rFonts w:ascii="Arial" w:cs="Arial" w:eastAsia="Arial" w:hAnsi="Arial"/>
          <w:sz w:val="16"/>
          <w:szCs w:val="16"/>
          <w:color w:val="auto"/>
        </w:rPr>
        <w:t>its subsidiaries, which include our Macau Operations, Wynn Las Vegas, and Encore Boston Harbor, and contributions from Wynn Resorts, as required. In addition, WRF may utilize its available revolving borrowing capacity as needed. We expect to use this cash to service our WRF Credit Facilities, 2025 WRF Notes, 2029 WRF Notes, and WLV Notes, and to fund working capital and capital expenditure requirements as needed.</w:t>
      </w:r>
    </w:p>
    <w:p>
      <w:pPr>
        <w:spacing w:after="0" w:line="187"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WRF is a holding company and, as a result, its ability to pay dividends to Wynn Resorts is dependent on WRF receiving distributions from its subsidiaries, which include WML, Wynn Las Vegas, LLC, and Wynn MA, LLC (the owner and operator of Encore Boston Harbor). The WRF Credit Agreement contains customary negative and financial covenants, including, but not limited to, covenants that restrict WRF's ability to pay dividends or distributions and incur additional indebtedness.</w:t>
      </w:r>
    </w:p>
    <w:p>
      <w:pPr>
        <w:spacing w:after="0" w:line="217"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Wynn Las Vegas is currently undergoing its planned room remodel, which we temporarily postponed during 2020. We expect to incur between $150 million and $170 million of remaining project costs related to this remodel, which we expect to complete during the first quarter of 2022.</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Company repaid $716.0 million of the outstanding borrowings under the WRF Revolver in February 2021, using proceeds from the February 2021 equity offering described below.</w:t>
      </w:r>
    </w:p>
    <w:p>
      <w:pPr>
        <w:spacing w:after="0" w:line="20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i w:val="1"/>
          <w:iCs w:val="1"/>
          <w:color w:val="auto"/>
        </w:rPr>
        <w:t xml:space="preserve">Wynn Resorts, Limited and other subsidiaries. </w:t>
      </w:r>
      <w:r>
        <w:rPr>
          <w:rFonts w:ascii="Arial" w:cs="Arial" w:eastAsia="Arial" w:hAnsi="Arial"/>
          <w:sz w:val="16"/>
          <w:szCs w:val="16"/>
          <w:color w:val="auto"/>
        </w:rPr>
        <w:t>Wynn Resorts, Limited is a holding company and, as a result, our ability to pay dividends is dependent on</w:t>
      </w:r>
      <w:r>
        <w:rPr>
          <w:rFonts w:ascii="Arial" w:cs="Arial" w:eastAsia="Arial" w:hAnsi="Arial"/>
          <w:sz w:val="16"/>
          <w:szCs w:val="16"/>
          <w:i w:val="1"/>
          <w:iCs w:val="1"/>
          <w:color w:val="auto"/>
        </w:rPr>
        <w:t xml:space="preserve"> </w:t>
      </w:r>
      <w:r>
        <w:rPr>
          <w:rFonts w:ascii="Arial" w:cs="Arial" w:eastAsia="Arial" w:hAnsi="Arial"/>
          <w:sz w:val="16"/>
          <w:szCs w:val="16"/>
          <w:color w:val="auto"/>
        </w:rPr>
        <w:t>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Retail Term Loan and for general corporate purposes.</w:t>
      </w:r>
    </w:p>
    <w:p>
      <w:pPr>
        <w:spacing w:after="0" w:line="187"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On February 11, 2021, the Company completed a registered public offering of 7,475,000 newly issued shares of its common stock, par value $0.01 per share, at a price of $115.00 per share for proceeds of $841.9 million, net of $17.7 million in underwriting discounts, commissions and other expenses. The Company used $716.0 million of the net proceeds from this equity offering to repay the outstanding borrowings under the WRF revolver in February 2021, and intends to use the remaining net proceeds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On May 10, 2021, Wynn Interactive entered into a business combination agreement (the "Business Combination Agreement") with Austerlitz Acquisition Corporation I, a Cayman Islands exempted company ("Austerlitz I"), and Wave Merger Sub Limited, an exempted company limited by shares incorporated in Bermuda and a direct, wholly owned subsidiary of Austerlitz I ("Merger Sub"). The Business Combination Agreement provides for, among other things, the consummation of the following transactions: (i) Austerlitz I will transfer by way of continuation from the Cayman Islands to Bermuda and change its name to "Wynn Interactive, Limited"; and (ii) Merger Sub will merge with and into Wynn Interactive (the "Merger"), with Wynn Interactive being the surviving company of the Merger and direct, wholly owned subsidiary of Austerlitz I. Upon closing of the transaction, assuming no share redemptions by the public stockholders of Austerlitz I, the Company is expected to retain approximately 58% equity interest (and approximately 72% voting interest) in Wynn Interactive. We expect the assets of the combined business to include approximately $634.0 million of net cash currently held by Austerlitz I. The proposed business combination is expected to close by the end of 2021, subject to approval by Austerlitz I's stockholders, gaming regulatory approval and other customary closing conditions.</w:t>
      </w:r>
    </w:p>
    <w:p>
      <w:pPr>
        <w:spacing w:after="0" w:line="200" w:lineRule="exact"/>
        <w:rPr>
          <w:sz w:val="20"/>
          <w:szCs w:val="20"/>
          <w:color w:val="auto"/>
        </w:rPr>
      </w:pP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Factors Affecting Liquidity</w:t>
      </w:r>
    </w:p>
    <w:p>
      <w:pPr>
        <w:spacing w:after="0" w:line="24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may refinance all or a portion of our indebtedness on or before maturity. We cannot assure you that we will be able to refinance any of the indebtedness on acceptable terms or at all.</w:t>
      </w:r>
    </w:p>
    <w:p>
      <w:pPr>
        <w:spacing w:after="0" w:line="20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Legal proceedings in which we are involved also may impact our liquidity. No assurance can be provided as to the outcome of such proceedings. In addition, litigation inherently involves significant costs. For information regarding legal proceedings, see Note 15, "Commitments and Contingencies."</w:t>
      </w:r>
    </w:p>
    <w:p>
      <w:pPr>
        <w:spacing w:after="0" w:line="16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Our Board of Directors has authorized an equity repurchase program of up to $1.0 billion. Under the equity repurchase program, we may repurchase the Company's outstanding shares from time to time through open market purchases, in privately negotiated transactions, and under plans complying with Rules 10b5-1 and 10b-18 under the Exchange Act. As of June 30, 2021, we had $800.1 million in repurchase authority remaining under the program. We did not repurchase shares under the repurchase program during the six months ended June 30, 2021.</w:t>
      </w:r>
    </w:p>
    <w:p>
      <w:pPr>
        <w:spacing w:after="0" w:line="187"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21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New business developments or other unforeseen events, including related to COVID-19,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Off-Balance Sheet Arrangements</w:t>
      </w:r>
    </w:p>
    <w:p>
      <w:pPr>
        <w:spacing w:after="0" w:line="24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an interest rate collar associated with our Retail Term Loan. We do not have any retained or contingent interest in assets transferred to an unconsolidated entity. As of June 30, 2021, we had outstanding letters of credit totaling $15.8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2020. There have been no significant changes to these policies for the six months ended June 30,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related disclosure in Note 2, "Basis of Presentation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6"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20"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2020 and other factors we describe from time to time in our periodic filings with the Securities and Exchange Commission ("SEC"), such as:</w:t>
      </w:r>
    </w:p>
    <w:p>
      <w:pPr>
        <w:spacing w:after="0" w:line="181" w:lineRule="exact"/>
        <w:rPr>
          <w:sz w:val="20"/>
          <w:szCs w:val="20"/>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15"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3" w:lineRule="exact"/>
        <w:rPr>
          <w:rFonts w:ascii="Arial" w:cs="Arial" w:eastAsia="Arial" w:hAnsi="Arial"/>
          <w:sz w:val="18"/>
          <w:szCs w:val="18"/>
          <w:color w:val="auto"/>
        </w:rPr>
      </w:pPr>
    </w:p>
    <w:p>
      <w:pPr>
        <w:ind w:left="1260" w:hanging="623"/>
        <w:spacing w:after="0" w:line="244" w:lineRule="auto"/>
        <w:tabs>
          <w:tab w:leader="none" w:pos="12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 including the renewal or extension of the concession in Macau that expires on June 26, 2022;</w:t>
      </w: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3" w:lineRule="exact"/>
        <w:rPr>
          <w:rFonts w:ascii="Arial" w:cs="Arial" w:eastAsia="Arial" w:hAnsi="Arial"/>
          <w:sz w:val="18"/>
          <w:szCs w:val="18"/>
          <w:color w:val="auto"/>
        </w:rPr>
      </w:pPr>
    </w:p>
    <w:p>
      <w:pPr>
        <w:ind w:left="1260" w:hanging="623"/>
        <w:spacing w:after="0" w:line="244" w:lineRule="auto"/>
        <w:tabs>
          <w:tab w:leader="none" w:pos="12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(including the Chinese government's ongoing anti-corruption campaign), which may impact levels of travel, leisure, and consumer spending;</w:t>
      </w: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PRC to Macau;</w:t>
      </w:r>
    </w:p>
    <w:p>
      <w:pPr>
        <w:spacing w:after="0" w:line="3" w:lineRule="exact"/>
        <w:rPr>
          <w:rFonts w:ascii="Arial" w:cs="Arial" w:eastAsia="Arial" w:hAnsi="Arial"/>
          <w:sz w:val="18"/>
          <w:szCs w:val="18"/>
          <w:color w:val="auto"/>
        </w:rPr>
      </w:pPr>
    </w:p>
    <w:p>
      <w:pPr>
        <w:jc w:val="both"/>
        <w:ind w:left="1260" w:hanging="623"/>
        <w:spacing w:after="0" w:line="244" w:lineRule="auto"/>
        <w:tabs>
          <w:tab w:leader="none" w:pos="12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public incidents of violence, riots, demonstrations, extreme weather patterns or natural disasters, military conflicts, civil unrest, and any future security alerts and/or terrorist attacks;</w:t>
      </w: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3"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3"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3" w:lineRule="exact"/>
        <w:rPr>
          <w:rFonts w:ascii="Arial" w:cs="Arial" w:eastAsia="Arial" w:hAnsi="Arial"/>
          <w:sz w:val="18"/>
          <w:szCs w:val="18"/>
          <w:color w:val="auto"/>
        </w:rPr>
      </w:pPr>
    </w:p>
    <w:p>
      <w:pPr>
        <w:ind w:left="1260" w:hanging="623"/>
        <w:spacing w:after="0" w:line="244" w:lineRule="auto"/>
        <w:tabs>
          <w:tab w:leader="none" w:pos="12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260" w:hanging="623"/>
        <w:spacing w:after="0" w:line="244" w:lineRule="auto"/>
        <w:tabs>
          <w:tab w:leader="none" w:pos="12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260" w:hanging="623"/>
        <w:spacing w:after="0" w:line="244" w:lineRule="auto"/>
        <w:tabs>
          <w:tab w:leader="none" w:pos="12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ind w:left="1260" w:hanging="623"/>
        <w:spacing w:after="0" w:line="244" w:lineRule="auto"/>
        <w:tabs>
          <w:tab w:leader="none" w:pos="12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legalization and growth of gaming in other jurisdictions;</w:t>
      </w:r>
    </w:p>
    <w:p>
      <w:pPr>
        <w:spacing w:after="0" w:line="3"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3"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incidents or adverse publicity concerning our resorts or our corporate responsibilities;</w:t>
      </w:r>
    </w:p>
    <w:p>
      <w:pPr>
        <w:spacing w:after="0" w:line="3"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3"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3"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3"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3"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3" w:lineRule="exact"/>
        <w:rPr>
          <w:rFonts w:ascii="Arial" w:cs="Arial" w:eastAsia="Arial" w:hAnsi="Arial"/>
          <w:sz w:val="18"/>
          <w:szCs w:val="18"/>
          <w:color w:val="auto"/>
        </w:rPr>
      </w:pPr>
    </w:p>
    <w:p>
      <w:pPr>
        <w:ind w:left="1260" w:hanging="623"/>
        <w:spacing w:after="0" w:line="244" w:lineRule="auto"/>
        <w:tabs>
          <w:tab w:leader="none" w:pos="12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cybersecurity risk, including cyber and physical security breaches, system failure, computer viruses, and negligent or intentional misuse by customers, company employees, or employees of third-party vendors;</w:t>
      </w: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3"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2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40"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4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of June 30, 2021, approximately 77% of our long-term debt was based on fixed rates. Based on our borrowings as of June 30, 2021, an assumed 100 basis point change in the variable rates would cause our annual interest expense to change by $22.3 million.</w:t>
      </w:r>
    </w:p>
    <w:p>
      <w:pPr>
        <w:spacing w:after="0" w:line="20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 order to mitigate exposure to interest rate fluctuations on the Retail Term Loan, the Company entered into a five year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40"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We expect most of the revenues and expenses for any casino that we operate in Macau will be denominated in Hong Kong dollars or Macau patacas; however, a significant portion of our Wynn Macau, Limited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June 30, 2021, an assumed 1% change in the U.S. dollar/Hong Kong dollar exchange rate would cause a foreign currency transaction gain/loss of $39.8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46"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6"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6" w:lineRule="exact"/>
        <w:rPr>
          <w:sz w:val="20"/>
          <w:szCs w:val="20"/>
          <w:color w:val="auto"/>
        </w:rPr>
      </w:pPr>
    </w:p>
    <w:p>
      <w:pPr>
        <w:jc w:val="both"/>
        <w:ind w:right="100" w:firstLine="395"/>
        <w:spacing w:after="0" w:line="252"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15, "Commitments and Contingencies" of Part I in this Quarterly Report on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6" w:lineRule="exact"/>
        <w:rPr>
          <w:sz w:val="20"/>
          <w:szCs w:val="20"/>
          <w:color w:val="auto"/>
        </w:rPr>
      </w:pPr>
    </w:p>
    <w:p>
      <w:pPr>
        <w:jc w:val="both"/>
        <w:ind w:right="100" w:firstLine="395"/>
        <w:spacing w:after="0" w:line="261" w:lineRule="auto"/>
        <w:rPr>
          <w:sz w:val="20"/>
          <w:szCs w:val="20"/>
          <w:color w:val="auto"/>
        </w:rPr>
      </w:pPr>
      <w:r>
        <w:rPr>
          <w:rFonts w:ascii="Arial" w:cs="Arial" w:eastAsia="Arial" w:hAnsi="Arial"/>
          <w:sz w:val="18"/>
          <w:szCs w:val="18"/>
          <w:color w:val="auto"/>
        </w:rPr>
        <w:t>A description of our risk factors can be found in Item 1A, Part I of our Annual Report on Form 10-K for the year ended December 31, 2020. There were no material changes to those risk factors during the six months ended June 30,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share repurchases in satisfaction of tax withholding obligations on vested restricted stock during the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2021:</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Number of Shares</w:t>
            </w:r>
          </w:p>
        </w:tc>
        <w:tc>
          <w:tcPr>
            <w:tcW w:w="520" w:type="dxa"/>
            <w:vAlign w:val="bottom"/>
          </w:tcPr>
          <w:p>
            <w:pPr>
              <w:spacing w:after="0"/>
              <w:rPr>
                <w:sz w:val="14"/>
                <w:szCs w:val="14"/>
                <w:color w:val="auto"/>
              </w:rPr>
            </w:pPr>
          </w:p>
        </w:tc>
        <w:tc>
          <w:tcPr>
            <w:tcW w:w="1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Weighted Average Price</w:t>
            </w:r>
          </w:p>
        </w:tc>
        <w:tc>
          <w:tcPr>
            <w:tcW w:w="5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w w:val="93"/>
              </w:rPr>
              <w:t>Approximate Dollar Value</w:t>
            </w:r>
          </w:p>
        </w:tc>
        <w:tc>
          <w:tcPr>
            <w:tcW w:w="0" w:type="dxa"/>
            <w:vAlign w:val="bottom"/>
          </w:tcPr>
          <w:p>
            <w:pPr>
              <w:spacing w:after="0"/>
              <w:rPr>
                <w:sz w:val="1"/>
                <w:szCs w:val="1"/>
                <w:color w:val="auto"/>
              </w:rPr>
            </w:pPr>
          </w:p>
        </w:tc>
      </w:tr>
      <w:tr>
        <w:trPr>
          <w:trHeight w:val="132"/>
        </w:trPr>
        <w:tc>
          <w:tcPr>
            <w:tcW w:w="45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For the Month Ended</w:t>
            </w:r>
          </w:p>
        </w:tc>
        <w:tc>
          <w:tcPr>
            <w:tcW w:w="100" w:type="dxa"/>
            <w:vAlign w:val="bottom"/>
            <w:vMerge w:val="restart"/>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tcPr>
          <w:p>
            <w:pPr>
              <w:jc w:val="right"/>
              <w:ind w:right="261"/>
              <w:spacing w:after="0" w:line="132" w:lineRule="exact"/>
              <w:rPr>
                <w:sz w:val="20"/>
                <w:szCs w:val="20"/>
                <w:color w:val="auto"/>
              </w:rPr>
            </w:pPr>
            <w:r>
              <w:rPr>
                <w:rFonts w:ascii="Arial" w:cs="Arial" w:eastAsia="Arial" w:hAnsi="Arial"/>
                <w:sz w:val="14"/>
                <w:szCs w:val="14"/>
                <w:b w:val="1"/>
                <w:bCs w:val="1"/>
                <w:color w:val="auto"/>
                <w:w w:val="91"/>
              </w:rPr>
              <w:t>Repurchased Shares</w:t>
            </w:r>
          </w:p>
        </w:tc>
        <w:tc>
          <w:tcPr>
            <w:tcW w:w="0" w:type="dxa"/>
            <w:vAlign w:val="bottom"/>
          </w:tcPr>
          <w:p>
            <w:pPr>
              <w:spacing w:after="0"/>
              <w:rPr>
                <w:sz w:val="1"/>
                <w:szCs w:val="1"/>
                <w:color w:val="auto"/>
              </w:rPr>
            </w:pPr>
          </w:p>
        </w:tc>
      </w:tr>
      <w:tr>
        <w:trPr>
          <w:trHeight w:val="184"/>
        </w:trPr>
        <w:tc>
          <w:tcPr>
            <w:tcW w:w="4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7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Repurchased</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7"/>
        </w:trPr>
        <w:tc>
          <w:tcPr>
            <w:tcW w:w="4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April 30, 2021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660" w:type="dxa"/>
            <w:vAlign w:val="bottom"/>
            <w:gridSpan w:val="2"/>
          </w:tcPr>
          <w:p>
            <w:pPr>
              <w:ind w:left="540"/>
              <w:spacing w:after="0"/>
              <w:rPr>
                <w:sz w:val="20"/>
                <w:szCs w:val="20"/>
                <w:color w:val="auto"/>
              </w:rPr>
            </w:pPr>
            <w:r>
              <w:rPr>
                <w:rFonts w:ascii="Arial" w:cs="Arial" w:eastAsia="Arial" w:hAnsi="Arial"/>
                <w:sz w:val="18"/>
                <w:szCs w:val="18"/>
                <w:color w:val="auto"/>
              </w:rPr>
              <w:t>May 31, 2021</w:t>
            </w:r>
          </w:p>
        </w:tc>
        <w:tc>
          <w:tcPr>
            <w:tcW w:w="174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127.78</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4"/>
        </w:trPr>
        <w:tc>
          <w:tcPr>
            <w:tcW w:w="4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June 30, 2021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None of the foregoing repurchases that occurred during the three months ended June 30, 2021 were part of the Company's publicly announced repurchase program. As of June 30, 2021, we had $800.1 million in repurchase authority under the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 w:lineRule="exact"/>
        <w:rPr>
          <w:sz w:val="20"/>
          <w:szCs w:val="20"/>
          <w:color w:val="auto"/>
        </w:rPr>
      </w:pPr>
    </w:p>
    <w:p>
      <w:pPr>
        <w:ind w:left="800" w:hanging="637"/>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Exhibit</w:t>
      </w:r>
    </w:p>
    <w:p>
      <w:pPr>
        <w:ind w:left="440"/>
        <w:spacing w:after="0"/>
        <w:tabs>
          <w:tab w:leader="none" w:pos="11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6851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ind w:left="1200" w:right="220" w:hanging="358"/>
        <w:spacing w:after="0" w:line="228"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71">
        <w:r>
          <w:rPr>
            <w:rFonts w:ascii="Arial" w:cs="Arial" w:eastAsia="Arial" w:hAnsi="Arial"/>
            <w:sz w:val="18"/>
            <w:szCs w:val="18"/>
            <w:u w:val="single" w:color="auto"/>
            <w:color w:val="0000FF"/>
          </w:rPr>
          <w:t>Third Amended and Restated Articles of Incorporation of the Registrant. (Incorporated by reference from the Quarterly Report on Form 10-</w:t>
        </w:r>
      </w:hyperlink>
      <w:hyperlink r:id="rId71">
        <w:r>
          <w:rPr>
            <w:rFonts w:ascii="Arial" w:cs="Arial" w:eastAsia="Arial" w:hAnsi="Arial"/>
            <w:sz w:val="18"/>
            <w:szCs w:val="18"/>
            <w:u w:val="single" w:color="auto"/>
            <w:color w:val="0000FF"/>
          </w:rPr>
          <w:t>Q filed by the Registrant on May 8, 2015.)</w:t>
        </w:r>
      </w:hyperlink>
    </w:p>
    <w:p>
      <w:pPr>
        <w:spacing w:after="0" w:line="1" w:lineRule="exact"/>
        <w:rPr>
          <w:sz w:val="20"/>
          <w:szCs w:val="20"/>
          <w:color w:val="auto"/>
        </w:rPr>
      </w:pPr>
    </w:p>
    <w:p>
      <w:pPr>
        <w:ind w:left="1200" w:right="600" w:hanging="358"/>
        <w:spacing w:after="0" w:line="228"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72">
        <w:r>
          <w:rPr>
            <w:rFonts w:ascii="Arial" w:cs="Arial" w:eastAsia="Arial" w:hAnsi="Arial"/>
            <w:sz w:val="18"/>
            <w:szCs w:val="18"/>
            <w:u w:val="single" w:color="auto"/>
            <w:color w:val="0000FF"/>
          </w:rPr>
          <w:t>Ninth Amended and Restated Bylaws of the Registrant. (Incorporated by reference from the Annual Report on Form 10-K filed by the</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Registrant on February 28, 2020.)</w:t>
        </w:r>
      </w:hyperlink>
    </w:p>
    <w:p>
      <w:pPr>
        <w:spacing w:after="0" w:line="1" w:lineRule="exact"/>
        <w:rPr>
          <w:sz w:val="20"/>
          <w:szCs w:val="20"/>
          <w:color w:val="auto"/>
        </w:rPr>
      </w:pPr>
    </w:p>
    <w:p>
      <w:pPr>
        <w:ind w:left="1200" w:right="520" w:hanging="446"/>
        <w:spacing w:after="0" w:line="257" w:lineRule="auto"/>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73">
        <w:r>
          <w:rPr>
            <w:rFonts w:ascii="Arial" w:cs="Arial" w:eastAsia="Arial" w:hAnsi="Arial"/>
            <w:sz w:val="16"/>
            <w:szCs w:val="16"/>
            <w:u w:val="single" w:color="auto"/>
            <w:color w:val="0000FF"/>
          </w:rPr>
          <w:t>Fourth Amended and Restated Employment Agreement dated as of May 24, 2021, by and between Wynn Resorts, Limited and Craig S.</w:t>
        </w:r>
      </w:hyperlink>
      <w:r>
        <w:rPr>
          <w:rFonts w:ascii="Arial" w:cs="Arial" w:eastAsia="Arial" w:hAnsi="Arial"/>
          <w:sz w:val="16"/>
          <w:szCs w:val="16"/>
          <w:u w:val="single" w:color="auto"/>
          <w:color w:val="0000FF"/>
        </w:rPr>
        <w:t xml:space="preserve"> </w:t>
      </w:r>
      <w:hyperlink r:id="rId73">
        <w:r>
          <w:rPr>
            <w:rFonts w:ascii="Arial" w:cs="Arial" w:eastAsia="Arial" w:hAnsi="Arial"/>
            <w:sz w:val="16"/>
            <w:szCs w:val="16"/>
            <w:u w:val="single" w:color="auto"/>
            <w:color w:val="0000FF"/>
          </w:rPr>
          <w:t>Billings. (Incorporated by reference from the Current Report on Form 8-K filed by the Registrant on May 28, 2021.)</w:t>
        </w:r>
      </w:hyperlink>
    </w:p>
    <w:p>
      <w:pPr>
        <w:spacing w:after="0" w:line="1" w:lineRule="exact"/>
        <w:rPr>
          <w:sz w:val="20"/>
          <w:szCs w:val="20"/>
          <w:color w:val="auto"/>
        </w:rPr>
      </w:pPr>
    </w:p>
    <w:p>
      <w:pPr>
        <w:ind w:left="680"/>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52">
        <w:r>
          <w:rPr>
            <w:rFonts w:ascii="Arial" w:cs="Arial" w:eastAsia="Arial" w:hAnsi="Arial"/>
            <w:sz w:val="16"/>
            <w:szCs w:val="16"/>
            <w:u w:val="single" w:color="auto"/>
            <w:color w:val="0000FF"/>
          </w:rPr>
          <w:t>Certification of Chief Executive Officer of Periodic Report Pursuant to Rule 13a – 14(a) and Rule 15d – 14(a).</w:t>
        </w:r>
      </w:hyperlink>
    </w:p>
    <w:p>
      <w:pPr>
        <w:spacing w:after="0" w:line="17" w:lineRule="exact"/>
        <w:rPr>
          <w:sz w:val="20"/>
          <w:szCs w:val="20"/>
          <w:color w:val="auto"/>
        </w:rPr>
      </w:pPr>
    </w:p>
    <w:p>
      <w:pPr>
        <w:ind w:left="680"/>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53">
        <w:r>
          <w:rPr>
            <w:rFonts w:ascii="Arial" w:cs="Arial" w:eastAsia="Arial" w:hAnsi="Arial"/>
            <w:sz w:val="16"/>
            <w:szCs w:val="16"/>
            <w:u w:val="single" w:color="auto"/>
            <w:color w:val="0000FF"/>
          </w:rPr>
          <w:t>Certification of Chief Financial Officer of Periodic Report Pursuant to Rule 13a – 14(a) and Rule 15d – 14(a).</w:t>
        </w:r>
      </w:hyperlink>
    </w:p>
    <w:p>
      <w:pPr>
        <w:spacing w:after="0" w:line="17" w:lineRule="exact"/>
        <w:rPr>
          <w:sz w:val="20"/>
          <w:szCs w:val="20"/>
          <w:color w:val="auto"/>
        </w:rPr>
      </w:pPr>
    </w:p>
    <w:p>
      <w:pPr>
        <w:ind w:left="800"/>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w:anchor="page54">
        <w:r>
          <w:rPr>
            <w:rFonts w:ascii="Arial" w:cs="Arial" w:eastAsia="Arial" w:hAnsi="Arial"/>
            <w:sz w:val="16"/>
            <w:szCs w:val="16"/>
            <w:u w:val="single" w:color="auto"/>
            <w:color w:val="0000FF"/>
          </w:rPr>
          <w:t>Certification of CEO and CFO Pursuant to 19 U.S.C. Section 1350.</w:t>
        </w:r>
      </w:hyperlink>
    </w:p>
    <w:p>
      <w:pPr>
        <w:spacing w:after="0" w:line="17" w:lineRule="exact"/>
        <w:rPr>
          <w:sz w:val="20"/>
          <w:szCs w:val="20"/>
          <w:color w:val="auto"/>
        </w:rPr>
      </w:pPr>
    </w:p>
    <w:p>
      <w:pPr>
        <w:jc w:val="both"/>
        <w:ind w:left="1200" w:right="100" w:hanging="396"/>
        <w:spacing w:after="0" w:line="205"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material from Wynn Resorts, Limited's Quarterly Report on Form 10-Q, formatted in Inline XBRL (Inline Extensible Business Reporting Language): (i) the Condensed Consolidated Balance Sheets as of June 30, 2021 and December 31, 2020; (ii) the Condensed Consolidated Statements of Operations for the three and six months ended June 30, 2021 and 2020; (iii) the Condensed Consolidated Statements of Comprehensive Loss for the three and six months ended June 30, 2021 and 2020; (iv) the Condensed Consolidated Statements of Stockholders' Equity (Deficit) for the three and six months ended June 30, 2021 and 2020; (v) the Condensed Consolidated Statements of Cash Flows for the six months ended June 30, 2021 and 2020; and (vi) Notes to Condensed Consolidated Financial Statements. The instance document does not appear in the Interactive Data File because its XBRL tags are embedded within the Inline XBRL document.</w:t>
      </w:r>
    </w:p>
    <w:p>
      <w:pPr>
        <w:spacing w:after="0" w:line="7" w:lineRule="exact"/>
        <w:rPr>
          <w:sz w:val="20"/>
          <w:szCs w:val="20"/>
          <w:color w:val="auto"/>
        </w:rPr>
      </w:pPr>
    </w:p>
    <w:p>
      <w:pPr>
        <w:ind w:left="800"/>
        <w:spacing w:after="0"/>
        <w:tabs>
          <w:tab w:leader="none" w:pos="11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 The cover page XBRL tags are embedded within the Inline XBRL document.</w:t>
      </w:r>
    </w:p>
    <w:p>
      <w:pPr>
        <w:spacing w:after="0" w:line="3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138" w:lineRule="exact"/>
        <w:rPr>
          <w:sz w:val="20"/>
          <w:szCs w:val="20"/>
          <w:color w:val="auto"/>
        </w:rPr>
      </w:pPr>
    </w:p>
    <w:p>
      <w:pPr>
        <w:ind w:left="320" w:hanging="315"/>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SIGNATURE</w:t>
      </w:r>
    </w:p>
    <w:p>
      <w:pPr>
        <w:spacing w:after="0" w:line="246"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0480"/>
          </w:cols>
          <w:pgMar w:left="320" w:top="122" w:right="1099" w:bottom="1440" w:gutter="0" w:footer="0" w:header="0"/>
        </w:sectPr>
      </w:pPr>
    </w:p>
    <w:p>
      <w:pPr>
        <w:spacing w:after="0" w:line="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August 6, 2021</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24765</wp:posOffset>
            </wp:positionV>
            <wp:extent cx="26238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262382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5760" w:space="720"/>
            <w:col w:w="4000"/>
          </w:cols>
          <w:pgMar w:left="320" w:top="122" w:right="1099" w:bottom="1440" w:gutter="0" w:footer="0" w:header="0"/>
          <w:type w:val="continuous"/>
        </w:sectPr>
      </w:pPr>
    </w:p>
    <w:p>
      <w:pPr>
        <w:ind w:left="6480"/>
        <w:spacing w:after="0"/>
        <w:rPr>
          <w:sz w:val="20"/>
          <w:szCs w:val="20"/>
          <w:color w:val="auto"/>
        </w:rPr>
      </w:pPr>
      <w:r>
        <w:rPr>
          <w:rFonts w:ascii="Arial" w:cs="Arial" w:eastAsia="Arial" w:hAnsi="Arial"/>
          <w:sz w:val="18"/>
          <w:szCs w:val="18"/>
          <w:color w:val="auto"/>
        </w:rPr>
        <w:t>Craig S. Billings</w:t>
      </w:r>
    </w:p>
    <w:p>
      <w:pPr>
        <w:spacing w:after="0" w:line="1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648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480"/>
          </w:cols>
          <w:pgMar w:left="320" w:top="122" w:right="109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83" w:lineRule="exact"/>
        <w:rPr>
          <w:sz w:val="20"/>
          <w:szCs w:val="20"/>
          <w:color w:val="auto"/>
        </w:rPr>
      </w:pPr>
    </w:p>
    <w:p>
      <w:pPr>
        <w:ind w:left="800" w:hanging="79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5" w:lineRule="exact"/>
        <w:rPr>
          <w:rFonts w:ascii="Arial" w:cs="Arial" w:eastAsia="Arial" w:hAnsi="Arial"/>
          <w:sz w:val="18"/>
          <w:szCs w:val="18"/>
          <w:color w:val="auto"/>
        </w:rPr>
      </w:pPr>
    </w:p>
    <w:p>
      <w:pPr>
        <w:jc w:val="both"/>
        <w:ind w:left="800" w:right="240" w:hanging="795"/>
        <w:spacing w:after="0" w:line="252"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8"/>
          <w:szCs w:val="18"/>
          <w:color w:val="auto"/>
        </w:rPr>
      </w:pPr>
    </w:p>
    <w:p>
      <w:pPr>
        <w:ind w:left="800" w:right="200" w:hanging="795"/>
        <w:spacing w:after="0" w:line="324"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 w:lineRule="exact"/>
        <w:rPr>
          <w:rFonts w:ascii="Arial" w:cs="Arial" w:eastAsia="Arial" w:hAnsi="Arial"/>
          <w:sz w:val="16"/>
          <w:szCs w:val="16"/>
          <w:color w:val="auto"/>
        </w:rPr>
      </w:pPr>
    </w:p>
    <w:p>
      <w:pPr>
        <w:ind w:left="800" w:right="240" w:hanging="795"/>
        <w:spacing w:after="0" w:line="252"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8"/>
          <w:szCs w:val="18"/>
          <w:color w:val="auto"/>
        </w:rPr>
      </w:pPr>
    </w:p>
    <w:p>
      <w:pPr>
        <w:ind w:left="1580" w:right="80" w:hanging="785"/>
        <w:spacing w:after="0" w:line="299" w:lineRule="auto"/>
        <w:tabs>
          <w:tab w:leader="none" w:pos="157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 w:lineRule="exact"/>
        <w:rPr>
          <w:rFonts w:ascii="Arial" w:cs="Arial" w:eastAsia="Arial" w:hAnsi="Arial"/>
          <w:sz w:val="16"/>
          <w:szCs w:val="16"/>
          <w:color w:val="auto"/>
        </w:rPr>
      </w:pPr>
    </w:p>
    <w:p>
      <w:pPr>
        <w:ind w:left="1580" w:right="20" w:hanging="785"/>
        <w:spacing w:after="0" w:line="252" w:lineRule="auto"/>
        <w:tabs>
          <w:tab w:leader="none" w:pos="15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8"/>
          <w:szCs w:val="18"/>
          <w:color w:val="auto"/>
        </w:rPr>
      </w:pPr>
    </w:p>
    <w:p>
      <w:pPr>
        <w:jc w:val="both"/>
        <w:ind w:left="1580" w:right="180" w:hanging="785"/>
        <w:spacing w:after="0" w:line="357" w:lineRule="auto"/>
        <w:tabs>
          <w:tab w:leader="none" w:pos="157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580" w:right="180" w:hanging="785"/>
        <w:spacing w:after="0" w:line="299" w:lineRule="auto"/>
        <w:tabs>
          <w:tab w:leader="none" w:pos="15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6" w:lineRule="exact"/>
        <w:rPr>
          <w:rFonts w:ascii="Arial" w:cs="Arial" w:eastAsia="Arial" w:hAnsi="Arial"/>
          <w:sz w:val="16"/>
          <w:szCs w:val="16"/>
          <w:color w:val="auto"/>
        </w:rPr>
      </w:pPr>
    </w:p>
    <w:p>
      <w:pPr>
        <w:ind w:left="800" w:right="140" w:hanging="795"/>
        <w:spacing w:after="0" w:line="324"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 w:lineRule="exact"/>
        <w:rPr>
          <w:rFonts w:ascii="Arial" w:cs="Arial" w:eastAsia="Arial" w:hAnsi="Arial"/>
          <w:sz w:val="16"/>
          <w:szCs w:val="16"/>
          <w:color w:val="auto"/>
        </w:rPr>
      </w:pPr>
    </w:p>
    <w:p>
      <w:pPr>
        <w:ind w:left="1580" w:right="420" w:hanging="785"/>
        <w:spacing w:after="0" w:line="324" w:lineRule="auto"/>
        <w:tabs>
          <w:tab w:leader="none" w:pos="157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80" w:right="120" w:hanging="785"/>
        <w:spacing w:after="0" w:line="261" w:lineRule="auto"/>
        <w:tabs>
          <w:tab w:leader="none" w:pos="15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Date: August 6, 2021</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 Maddox</w:t>
            </w:r>
          </w:p>
        </w:tc>
      </w:tr>
      <w:tr>
        <w:trPr>
          <w:trHeight w:val="217"/>
        </w:trPr>
        <w:tc>
          <w:tcPr>
            <w:tcW w:w="68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Matt Maddox</w:t>
            </w:r>
          </w:p>
        </w:tc>
      </w:tr>
      <w:tr>
        <w:trPr>
          <w:trHeight w:val="224"/>
        </w:trPr>
        <w:tc>
          <w:tcPr>
            <w:tcW w:w="68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Director, Chief Executive Officer</w:t>
            </w:r>
          </w:p>
        </w:tc>
      </w:tr>
      <w:tr>
        <w:trPr>
          <w:trHeight w:val="224"/>
        </w:trPr>
        <w:tc>
          <w:tcPr>
            <w:tcW w:w="68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963"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56" w:lineRule="exact"/>
        <w:rPr>
          <w:sz w:val="20"/>
          <w:szCs w:val="20"/>
          <w:color w:val="auto"/>
        </w:rPr>
      </w:pPr>
    </w:p>
    <w:p>
      <w:pPr>
        <w:ind w:left="960" w:hanging="955"/>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56" w:lineRule="exact"/>
        <w:rPr>
          <w:rFonts w:ascii="Arial" w:cs="Arial" w:eastAsia="Arial" w:hAnsi="Arial"/>
          <w:sz w:val="18"/>
          <w:szCs w:val="18"/>
          <w:color w:val="auto"/>
        </w:rPr>
      </w:pPr>
    </w:p>
    <w:p>
      <w:pPr>
        <w:jc w:val="both"/>
        <w:ind w:left="960" w:right="80" w:hanging="955"/>
        <w:spacing w:after="0" w:line="252"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960" w:right="60" w:hanging="955"/>
        <w:spacing w:after="0" w:line="308"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60" w:right="80" w:hanging="955"/>
        <w:spacing w:after="0" w:line="252"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900" w:right="200" w:hanging="947"/>
        <w:spacing w:after="0" w:line="297" w:lineRule="auto"/>
        <w:tabs>
          <w:tab w:leader="none" w:pos="1891"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900" w:right="60" w:hanging="947"/>
        <w:spacing w:after="0" w:line="297" w:lineRule="auto"/>
        <w:tabs>
          <w:tab w:leader="none" w:pos="1888"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900" w:right="160" w:hanging="947"/>
        <w:spacing w:after="0" w:line="252" w:lineRule="auto"/>
        <w:tabs>
          <w:tab w:leader="none" w:pos="1891"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Arial" w:cs="Arial" w:eastAsia="Arial" w:hAnsi="Arial"/>
          <w:sz w:val="18"/>
          <w:szCs w:val="18"/>
          <w:color w:val="auto"/>
        </w:rPr>
      </w:pPr>
    </w:p>
    <w:p>
      <w:pPr>
        <w:ind w:left="1900" w:right="260" w:hanging="947"/>
        <w:spacing w:after="0" w:line="297" w:lineRule="auto"/>
        <w:tabs>
          <w:tab w:leader="none" w:pos="1888"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960" w:right="240" w:hanging="955"/>
        <w:spacing w:after="0" w:line="308"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900" w:right="100" w:hanging="947"/>
        <w:spacing w:after="0" w:line="308" w:lineRule="auto"/>
        <w:tabs>
          <w:tab w:leader="none" w:pos="1891"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00" w:right="380" w:hanging="947"/>
        <w:spacing w:after="0" w:line="261" w:lineRule="auto"/>
        <w:tabs>
          <w:tab w:leader="none" w:pos="18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840" w:type="dxa"/>
            <w:vAlign w:val="bottom"/>
          </w:tcPr>
          <w:p>
            <w:pPr>
              <w:spacing w:after="0"/>
              <w:rPr>
                <w:sz w:val="20"/>
                <w:szCs w:val="20"/>
                <w:color w:val="auto"/>
              </w:rPr>
            </w:pPr>
            <w:r>
              <w:rPr>
                <w:rFonts w:ascii="Arial" w:cs="Arial" w:eastAsia="Arial" w:hAnsi="Arial"/>
                <w:sz w:val="18"/>
                <w:szCs w:val="18"/>
                <w:color w:val="auto"/>
              </w:rPr>
              <w:t>Date: August 6, 2021</w:t>
            </w:r>
          </w:p>
        </w:tc>
        <w:tc>
          <w:tcPr>
            <w:tcW w:w="3160" w:type="dxa"/>
            <w:vAlign w:val="bottom"/>
            <w:gridSpan w:val="2"/>
          </w:tcPr>
          <w:p>
            <w:pPr>
              <w:spacing w:after="0"/>
              <w:rPr>
                <w:sz w:val="20"/>
                <w:szCs w:val="20"/>
                <w:color w:val="auto"/>
              </w:rPr>
            </w:pPr>
            <w:r>
              <w:rPr>
                <w:rFonts w:ascii="Arial" w:cs="Arial" w:eastAsia="Arial" w:hAnsi="Arial"/>
                <w:sz w:val="18"/>
                <w:szCs w:val="18"/>
                <w:color w:val="auto"/>
              </w:rPr>
              <w:t>/s/ Craig S. Billings</w:t>
            </w:r>
          </w:p>
        </w:tc>
      </w:tr>
      <w:tr>
        <w:trPr>
          <w:trHeight w:val="243"/>
        </w:trPr>
        <w:tc>
          <w:tcPr>
            <w:tcW w:w="6840" w:type="dxa"/>
            <w:vAlign w:val="bottom"/>
          </w:tcPr>
          <w:p>
            <w:pPr>
              <w:spacing w:after="0"/>
              <w:rPr>
                <w:sz w:val="21"/>
                <w:szCs w:val="21"/>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Craig S. Billings</w:t>
            </w:r>
          </w:p>
        </w:tc>
        <w:tc>
          <w:tcPr>
            <w:tcW w:w="1780" w:type="dxa"/>
            <w:vAlign w:val="bottom"/>
          </w:tcPr>
          <w:p>
            <w:pPr>
              <w:spacing w:after="0"/>
              <w:rPr>
                <w:sz w:val="21"/>
                <w:szCs w:val="21"/>
                <w:color w:val="auto"/>
              </w:rPr>
            </w:pPr>
          </w:p>
        </w:tc>
      </w:tr>
      <w:tr>
        <w:trPr>
          <w:trHeight w:val="224"/>
        </w:trPr>
        <w:tc>
          <w:tcPr>
            <w:tcW w:w="684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24"/>
        </w:trPr>
        <w:tc>
          <w:tcPr>
            <w:tcW w:w="684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0"/>
              </w:rPr>
              <w:t>(Principal Financial and Accounting Officer)</w:t>
            </w:r>
          </w:p>
        </w:tc>
      </w:tr>
    </w:tbl>
    <w:p>
      <w:pPr>
        <w:sectPr>
          <w:pgSz w:w="11900" w:h="16838" w:orient="portrait"/>
          <w:cols w:equalWidth="0" w:num="1">
            <w:col w:w="11240"/>
          </w:cols>
          <w:pgMar w:left="320" w:top="963"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w:t>
      </w:r>
    </w:p>
    <w:p>
      <w:pPr>
        <w:spacing w:after="0" w:line="8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right="180" w:firstLine="175"/>
        <w:spacing w:after="0" w:line="250"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June 30, 2021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72" w:lineRule="exact"/>
        <w:rPr>
          <w:sz w:val="20"/>
          <w:szCs w:val="20"/>
          <w:color w:val="auto"/>
        </w:rPr>
      </w:pPr>
    </w:p>
    <w:p>
      <w:pPr>
        <w:ind w:left="640" w:hanging="63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5" w:lineRule="exact"/>
        <w:rPr>
          <w:rFonts w:ascii="Arial" w:cs="Arial" w:eastAsia="Arial" w:hAnsi="Arial"/>
          <w:sz w:val="18"/>
          <w:szCs w:val="18"/>
          <w:color w:val="auto"/>
        </w:rPr>
      </w:pPr>
    </w:p>
    <w:p>
      <w:pPr>
        <w:ind w:left="640" w:hanging="635"/>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Matt Maddox</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Name:</w:t>
            </w:r>
          </w:p>
        </w:tc>
        <w:tc>
          <w:tcPr>
            <w:tcW w:w="53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Matt Maddox</w:t>
            </w:r>
          </w:p>
        </w:tc>
        <w:tc>
          <w:tcPr>
            <w:tcW w:w="40" w:type="dxa"/>
            <w:vAlign w:val="bottom"/>
          </w:tcPr>
          <w:p>
            <w:pPr>
              <w:spacing w:after="0"/>
              <w:rPr>
                <w:sz w:val="18"/>
                <w:szCs w:val="18"/>
                <w:color w:val="auto"/>
              </w:rPr>
            </w:pPr>
          </w:p>
        </w:tc>
      </w:tr>
      <w:tr>
        <w:trPr>
          <w:trHeight w:val="222"/>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5300" w:type="dxa"/>
            <w:vAlign w:val="bottom"/>
          </w:tcPr>
          <w:p>
            <w:pPr>
              <w:ind w:left="360"/>
              <w:spacing w:after="0"/>
              <w:rPr>
                <w:sz w:val="20"/>
                <w:szCs w:val="20"/>
                <w:color w:val="auto"/>
              </w:rPr>
            </w:pPr>
            <w:r>
              <w:rPr>
                <w:rFonts w:ascii="Arial" w:cs="Arial" w:eastAsia="Arial" w:hAnsi="Arial"/>
                <w:sz w:val="18"/>
                <w:szCs w:val="18"/>
                <w:color w:val="auto"/>
              </w:rPr>
              <w:t>Director, Chief Executive Officer</w:t>
            </w:r>
          </w:p>
        </w:tc>
        <w:tc>
          <w:tcPr>
            <w:tcW w:w="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19"/>
                <w:szCs w:val="19"/>
                <w:color w:val="auto"/>
              </w:rPr>
            </w:pPr>
          </w:p>
        </w:tc>
      </w:tr>
      <w:tr>
        <w:trPr>
          <w:trHeight w:val="224"/>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5300" w:type="dxa"/>
            <w:vAlign w:val="bottom"/>
          </w:tcPr>
          <w:p>
            <w:pPr>
              <w:ind w:left="360"/>
              <w:spacing w:after="0"/>
              <w:rPr>
                <w:sz w:val="20"/>
                <w:szCs w:val="20"/>
                <w:color w:val="auto"/>
              </w:rPr>
            </w:pPr>
            <w:r>
              <w:rPr>
                <w:rFonts w:ascii="Arial" w:cs="Arial" w:eastAsia="Arial" w:hAnsi="Arial"/>
                <w:sz w:val="18"/>
                <w:szCs w:val="18"/>
                <w:color w:val="auto"/>
              </w:rPr>
              <w:t>August 6, 2021</w:t>
            </w:r>
          </w:p>
        </w:tc>
        <w:tc>
          <w:tcPr>
            <w:tcW w:w="40" w:type="dxa"/>
            <w:vAlign w:val="bottom"/>
          </w:tcPr>
          <w:p>
            <w:pPr>
              <w:spacing w:after="0"/>
              <w:rPr>
                <w:sz w:val="19"/>
                <w:szCs w:val="19"/>
                <w:color w:val="auto"/>
              </w:rPr>
            </w:pPr>
          </w:p>
        </w:tc>
      </w:tr>
      <w:tr>
        <w:trPr>
          <w:trHeight w:val="435"/>
        </w:trPr>
        <w:tc>
          <w:tcPr>
            <w:tcW w:w="40" w:type="dxa"/>
            <w:vAlign w:val="bottom"/>
          </w:tcPr>
          <w:p>
            <w:pPr>
              <w:spacing w:after="0"/>
              <w:rPr>
                <w:sz w:val="24"/>
                <w:szCs w:val="24"/>
                <w:color w:val="auto"/>
              </w:rPr>
            </w:pPr>
          </w:p>
        </w:tc>
        <w:tc>
          <w:tcPr>
            <w:tcW w:w="6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S. Billings</w:t>
            </w:r>
          </w:p>
        </w:tc>
        <w:tc>
          <w:tcPr>
            <w:tcW w:w="40" w:type="dxa"/>
            <w:vAlign w:val="bottom"/>
            <w:tcBorders>
              <w:bottom w:val="single" w:sz="8" w:color="auto"/>
            </w:tcBorders>
          </w:tcPr>
          <w:p>
            <w:pPr>
              <w:spacing w:after="0"/>
              <w:rPr>
                <w:sz w:val="24"/>
                <w:szCs w:val="24"/>
                <w:color w:val="auto"/>
              </w:rPr>
            </w:pPr>
          </w:p>
        </w:tc>
      </w:tr>
      <w:tr>
        <w:trPr>
          <w:trHeight w:val="217"/>
        </w:trPr>
        <w:tc>
          <w:tcPr>
            <w:tcW w:w="4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5300" w:type="dxa"/>
            <w:vAlign w:val="bottom"/>
          </w:tcPr>
          <w:p>
            <w:pPr>
              <w:ind w:left="380"/>
              <w:spacing w:after="0"/>
              <w:rPr>
                <w:sz w:val="20"/>
                <w:szCs w:val="20"/>
                <w:color w:val="auto"/>
              </w:rPr>
            </w:pPr>
            <w:r>
              <w:rPr>
                <w:rFonts w:ascii="Arial" w:cs="Arial" w:eastAsia="Arial" w:hAnsi="Arial"/>
                <w:sz w:val="18"/>
                <w:szCs w:val="18"/>
                <w:color w:val="auto"/>
              </w:rPr>
              <w:t>Craig S. Billings</w:t>
            </w:r>
          </w:p>
        </w:tc>
        <w:tc>
          <w:tcPr>
            <w:tcW w:w="40" w:type="dxa"/>
            <w:vAlign w:val="bottom"/>
          </w:tcPr>
          <w:p>
            <w:pPr>
              <w:spacing w:after="0"/>
              <w:rPr>
                <w:sz w:val="18"/>
                <w:szCs w:val="18"/>
                <w:color w:val="auto"/>
              </w:rPr>
            </w:pPr>
          </w:p>
        </w:tc>
      </w:tr>
      <w:tr>
        <w:trPr>
          <w:trHeight w:val="224"/>
        </w:trPr>
        <w:tc>
          <w:tcPr>
            <w:tcW w:w="4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300" w:type="dxa"/>
            <w:vAlign w:val="bottom"/>
          </w:tcPr>
          <w:p>
            <w:pPr>
              <w:ind w:left="38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300" w:type="dxa"/>
            <w:vAlign w:val="bottom"/>
          </w:tcPr>
          <w:p>
            <w:pPr>
              <w:ind w:left="380"/>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5300" w:type="dxa"/>
            <w:vAlign w:val="bottom"/>
          </w:tcPr>
          <w:p>
            <w:pPr>
              <w:ind w:left="380"/>
              <w:spacing w:after="0"/>
              <w:rPr>
                <w:sz w:val="20"/>
                <w:szCs w:val="20"/>
                <w:color w:val="auto"/>
              </w:rPr>
            </w:pPr>
            <w:r>
              <w:rPr>
                <w:rFonts w:ascii="Arial" w:cs="Arial" w:eastAsia="Arial" w:hAnsi="Arial"/>
                <w:sz w:val="18"/>
                <w:szCs w:val="18"/>
                <w:color w:val="auto"/>
              </w:rPr>
              <w:t>August 6, 2021</w:t>
            </w:r>
          </w:p>
        </w:tc>
        <w:tc>
          <w:tcPr>
            <w:tcW w:w="40" w:type="dxa"/>
            <w:vAlign w:val="bottom"/>
          </w:tcPr>
          <w:p>
            <w:pPr>
              <w:spacing w:after="0"/>
              <w:rPr>
                <w:sz w:val="19"/>
                <w:szCs w:val="19"/>
                <w:color w:val="auto"/>
              </w:rPr>
            </w:pPr>
          </w:p>
        </w:tc>
      </w:tr>
    </w:tbl>
    <w:p>
      <w:pPr>
        <w:spacing w:after="0" w:line="159" w:lineRule="exact"/>
        <w:rPr>
          <w:sz w:val="20"/>
          <w:szCs w:val="20"/>
          <w:color w:val="auto"/>
        </w:rPr>
      </w:pPr>
    </w:p>
    <w:p>
      <w:pPr>
        <w:jc w:val="both"/>
        <w:ind w:right="120"/>
        <w:spacing w:after="0" w:line="299"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9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0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1" Type="http://schemas.openxmlformats.org/officeDocument/2006/relationships/hyperlink" Target="http://www.sec.gov/Archives/edgar/data/1174922/000117492215000044/ex-31.htm" TargetMode="External"/><Relationship Id="rId72" Type="http://schemas.openxmlformats.org/officeDocument/2006/relationships/hyperlink" Target="http://www.sec.gov/Archives/edgar/data/1174922/000117492220000024/ex32-bylaws.htm" TargetMode="External"/><Relationship Id="rId73" Type="http://schemas.openxmlformats.org/officeDocument/2006/relationships/hyperlink" Target="https://www.sec.gov/Archives/edgar/data/1174922/000117492221000083/ex101-billingsemploymenta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2021-08-09T05:23:59Z</dcterms:created>
  <dcterms:modified xsi:type="dcterms:W3CDTF">2021-08-09T05:23:59Z</dcterms:modified>
</cp:coreProperties>
</file>