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8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2009</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5"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7"/>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84"/>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4"/>
          </w:tcPr>
          <w:p>
            <w:pPr>
              <w:jc w:val="center"/>
              <w:ind w:right="7880"/>
              <w:spacing w:after="0"/>
              <w:rPr>
                <w:sz w:val="20"/>
                <w:szCs w:val="20"/>
                <w:color w:val="auto"/>
              </w:rPr>
            </w:pPr>
            <w:r>
              <w:rPr>
                <w:rFonts w:ascii="Arial" w:cs="Arial" w:eastAsia="Arial" w:hAnsi="Arial"/>
                <w:sz w:val="18"/>
                <w:szCs w:val="18"/>
                <w:b w:val="1"/>
                <w:bCs w:val="1"/>
                <w:color w:val="auto"/>
                <w:w w:val="91"/>
              </w:rPr>
              <w:t>Financial Information</w:t>
            </w:r>
          </w:p>
        </w:tc>
        <w:tc>
          <w:tcPr>
            <w:tcW w:w="114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2009 (unaudited) and December 31, 2008</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months ended March 31, 2009 and 2008</w:t>
              </w:r>
            </w:hyperlink>
          </w:p>
        </w:tc>
        <w:tc>
          <w:tcPr>
            <w:tcW w:w="102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Three months ended March 31, 2009 and 2008</w:t>
              </w:r>
            </w:hyperlink>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0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4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9600" w:type="dxa"/>
            <w:vAlign w:val="bottom"/>
            <w:gridSpan w:val="13"/>
          </w:tcPr>
          <w:p>
            <w:pPr>
              <w:jc w:val="center"/>
              <w:ind w:right="7980"/>
              <w:spacing w:after="0"/>
              <w:rPr>
                <w:sz w:val="20"/>
                <w:szCs w:val="20"/>
                <w:color w:val="auto"/>
              </w:rPr>
            </w:pPr>
            <w:r>
              <w:rPr>
                <w:rFonts w:ascii="Arial" w:cs="Arial" w:eastAsia="Arial" w:hAnsi="Arial"/>
                <w:sz w:val="18"/>
                <w:szCs w:val="18"/>
                <w:b w:val="1"/>
                <w:bCs w:val="1"/>
                <w:color w:val="auto"/>
                <w:w w:val="93"/>
              </w:rPr>
              <w:t>Other Information</w:t>
            </w:r>
          </w:p>
        </w:tc>
        <w:tc>
          <w:tcPr>
            <w:tcW w:w="114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4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10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94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876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40" w:type="dxa"/>
            <w:vAlign w:val="bottom"/>
            <w:gridSpan w:val="8"/>
          </w:tcPr>
          <w:p>
            <w:pPr>
              <w:jc w:val="right"/>
              <w:ind w:right="36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4,050,996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4,108,953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4,463,110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3,193,857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1,581,440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1,474,286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(312,187)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1,269,253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4,463,110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8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$ 117,481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$125,134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96,909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345,832</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(54,310)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291,522</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78,473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56,310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65,242</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4,354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77,444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349,906</w:t>
            </w:r>
          </w:p>
        </w:tc>
        <w:tc>
          <w:tcPr>
            <w:tcW w:w="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00" w:type="dxa"/>
            <w:vAlign w:val="bottom"/>
            <w:gridSpan w:val="2"/>
            <w:vMerge w:val="continue"/>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(58,635)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(36,841)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(36,829)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(95,464)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(28,767)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(95,464)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77,444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11,181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(32,223)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(115,028)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Purchase of other assets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(121,446)</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(254,813)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(50,350)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99,650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(26,541)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96,774</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2008.</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2009 and December 31, 2008, approximately 59% and 69%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 and then deducted as promotional allowances. Such amounts have increased with the opening of Encore in December 2008. The estimated cost of providing such promotional allowances is primarily included in casino expenses as follows (amounts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$ 12,515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16,753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14,317</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$ 31,968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23,053</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March 31, 2009 and 2008, advertising costs totaled approximately $6.9 million and $6.5 million, respectively. There was approximately $0.5 million of advertising costs included in pre-opening expenses for the three months ended March 31,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 of Financial Accounting Standards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the Company’s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did not have a material impact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paid for the three months ended March 31, 2009 and 2008 totaled approximately $6.2 million and $4.4 million, respectively. Interest capitalized for the three months ended March 31, 2009 and 2008 totaled approximately $0 and $15.9 million, respectively.</w:t>
      </w:r>
    </w:p>
    <w:p>
      <w:pPr>
        <w:spacing w:after="0" w:line="132"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During the three months ended March 31, 2009 and 2008, capital expenditures include a decrease of approximately $95 million and an increase of approximately $17.7 million, respectively, in construction payables and retention recorded through amounts due to affiliates.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$122,663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147,805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(61,288)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86,517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2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4"/>
                <w:szCs w:val="24"/>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696,201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695,474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2,564,996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2,557,489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1,308,429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1,301,182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4,619,231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4,602,978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(568,235)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(494,025)</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$ 4,050,996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4,108,953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24"/>
                <w:szCs w:val="24"/>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 xml:space="preserve">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First Mortgage Notes, due December 1, 2014, net of original issue discount of $9,233 at March 31, 2009, and</w:t>
            </w: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$9,561 at December 31, 2008</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$ 1,651,497</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1,690,439</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879,484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879,484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w w:val="94"/>
              </w:rPr>
              <w:t>Term Loan Facility; $112.5 million due September 30, 2012 with the remaining $112.5 million due August 15,</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2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225,000</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2,834,451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2,834,473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$ 2,833,401</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2,833,423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jc w:val="right"/>
              <w:ind w:right="279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1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6"/>
          <w:szCs w:val="16"/>
          <w:color w:val="auto"/>
        </w:rPr>
        <w:t xml:space="preserve">During the three months ended March 31, 2009, Wynn Resorts purchased $39.3 million face amount of the Company’s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$39.3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$10.6 million.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 Amendment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April 17, 2009, the Company entered into a fourth amendment to its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(iii) extends the maturity on approximately $610 million of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to approximately $697 million; and (ii) agreed to an increase in the overall interest rate spread on the Credit Facilities from LIBOR plus 1.7% to LIBOR plus 2.6%.</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amended, the revolver commitments will reduce by $61 million on August 15, 2011, and an additional $55 million on August 15, 2012. The remaining commitments will mature on July 15, 2013. Lenders holding $87 million of the commitments did not agree to the amendment. Those commitments will mature on the original maturity date of August 15, 2011.</w:t>
      </w:r>
    </w:p>
    <w:p>
      <w:pPr>
        <w:spacing w:after="0" w:line="215" w:lineRule="exact"/>
        <w:rPr>
          <w:sz w:val="20"/>
          <w:szCs w:val="20"/>
          <w:color w:val="auto"/>
        </w:rPr>
      </w:pPr>
    </w:p>
    <w:p>
      <w:pPr>
        <w:ind w:left="240" w:right="886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March 31, 2009, the Company’s net due to affiliates was primarily comprised of construction payables of approximately $55.9 million, construction retention of approximately $50.2 million, a management fee of approximately $68.3 million (equal to 1.5% of net revenues and payable upon meeting certain leverage ratios as specified in the documents governing the Company’s Credit Facilities and First Mortgage Notes indenture), and other net amounts receivable from affiliates totaling $5.9 million.</w:t>
      </w:r>
    </w:p>
    <w:p>
      <w:pPr>
        <w:spacing w:after="0" w:line="143"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As of December 31, 2008, the Company’s net due to affiliates was primarily comprised of construction payables of approximately $123.4 million, construction retention of approximately $77.7 million, a management fee of approximately $63.9 million (equal to 1.5% of net revenues and payable upon meeting certain leverage ratios as specified in the documents governing the Company’s Credit Facilities and First Mortgage Notes indenture), and other net amounts receivable from affiliates totaling $0.7 million (including corporate allocations discussed below).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60" w:firstLine="456"/>
        <w:spacing w:after="0" w:line="330" w:lineRule="auto"/>
        <w:rPr>
          <w:sz w:val="20"/>
          <w:szCs w:val="20"/>
          <w:color w:val="auto"/>
        </w:rPr>
      </w:pPr>
      <w:r>
        <w:rPr>
          <w:rFonts w:ascii="Arial" w:cs="Arial" w:eastAsia="Arial" w:hAnsi="Arial"/>
          <w:sz w:val="17"/>
          <w:szCs w:val="17"/>
          <w:color w:val="auto"/>
        </w:rPr>
        <w:t xml:space="preserve">The Company periodically settles amounts due to affiliates with cash receipts and payments, except for the management fee, which is payable upon meeting certain leverage ratios specified in the documents governing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and the Credit Facilities.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the Company no longer intends to settle its corporate allocation and accordingly, such allocations have been recorded as a contribution to equity from Wynn Resorts. During the three months ended March 31, 2009 and 2008, approximately $5 million and $5.8 million, respectively, was charged to the Company for such corporate allocations.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transferred to Wynn Resorts on a periodic basis. Mr. Wynn and these other officers have amounts on deposit with Wynn Resorts to prepay any such items, which are replenished on an ongoing basis as needed. As of March 31, 2009, and December 31, 2008, Wynn Resorts owed Mr. Wynn and the other officers approximately $535,606 and $434,003,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 In March 2009, this lease was amended to add an additional unit to the leased premises. Based upon a third-party appraisal, there was no change in the rent due to the significant deterioration in the Las Vegas rental market.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three months ended March 31, 2009 and 2008 were $13.9 million and $20.5 million, respectively. Property charges generally include costs related to the retirement of assets for remodels and asset abandonments. Property charges and other for the three months ended March 31, 2009 include the write-off of $13.4 million of an aircraft purchase deposit. On February 19, 2009, the Company cancelled the agreement to purchase this aircraft. The deposit on the aircraft is refundable to the extent another buyer is found. Due to the uncertainty as to the recoverability of this deposit, the Company wrote off the deposit in the first quarter of 2009. The remaining property charges were related to miscellaneous renovations and abandonments at Wynn Las Vegas and Encore.</w:t>
      </w:r>
    </w:p>
    <w:p>
      <w:pPr>
        <w:spacing w:after="0" w:line="14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Property charges and other for the three months ended March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miscellaneous renovations and abandonments at Wynn Las Vegas.</w:t>
      </w:r>
    </w:p>
    <w:p>
      <w:pPr>
        <w:spacing w:after="0" w:line="188" w:lineRule="exact"/>
        <w:rPr>
          <w:sz w:val="20"/>
          <w:szCs w:val="20"/>
          <w:color w:val="auto"/>
        </w:rPr>
      </w:pPr>
    </w:p>
    <w:p>
      <w:pPr>
        <w:ind w:right="874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2009,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Member’s Equity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three months ended March 31, 2009, Wynn Resorts made a capital contribution to the Company in the amount of $100 million. The proceeds from this contribution were used to fund construction costs of Encore paid during the quarter.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April 2009, Wynn Resorts made another capital contribution to the Company in the amount of $228.5 million. The proceeds from this contribution, together with cash on hand, were used to fund the paydown on the Wynn Las Vegas Revolver and related fees for the amendment as described in Note 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2009 and December 31, 2008, and for the three months ended March 31, 2009 and 2008.</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7"/>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Subsidiary</w:t>
            </w: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2300"/>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96,769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86,517</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96,214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19,791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299,291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3,849,627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201,369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4,050,996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10,285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35,273</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56,854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21,648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4,229,682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211,775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4,463,110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LIABILITIES AND MEMBER’S EQUITY</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20" w:type="dxa"/>
            <w:vAlign w:val="bottom"/>
            <w:gridSpan w:val="2"/>
          </w:tcPr>
          <w:p>
            <w:pPr>
              <w:jc w:val="center"/>
              <w:ind w:left="63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30,380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38,194</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38,793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21,171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61,028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(92,647)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200,757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96,919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203,159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2,795,251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68,259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2,960,429</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241,309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3,193,857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1,581,440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(312,187)</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(42,064)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34,178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(312,187)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1,269,253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(29,534)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1,269,253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4,229,682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211,775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21,648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4,463,110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9"/>
              </w:rPr>
              <w:t>14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Issuers</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2060"/>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3,906,460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202,493</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(7,286)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4,555</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7,286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4,350,255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226,725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LIABILITIES AND MEMBER’S EQUITY</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201,003</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203,397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2,794,923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38,500</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3,092,692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241,897</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3,326,708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1,474,286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(12,530)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(216,723)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19,816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1,257,563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4,350,255</w:t>
            </w: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226,725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7,286</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4,584,271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2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Eliminating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$ 117,481</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96,909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345,581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251</w:t>
            </w:r>
          </w:p>
        </w:tc>
        <w:tc>
          <w:tcPr>
            <w:tcW w:w="680" w:type="dxa"/>
            <w:vAlign w:val="bottom"/>
          </w:tcPr>
          <w:p>
            <w:pPr>
              <w:jc w:val="right"/>
              <w:spacing w:after="0"/>
              <w:rPr>
                <w:sz w:val="20"/>
                <w:szCs w:val="20"/>
                <w:color w:val="auto"/>
              </w:rPr>
            </w:pPr>
            <w:r>
              <w:rPr>
                <w:rFonts w:ascii="Arial" w:cs="Arial" w:eastAsia="Arial" w:hAnsi="Arial"/>
                <w:sz w:val="18"/>
                <w:szCs w:val="18"/>
                <w:color w:val="auto"/>
              </w:rPr>
              <w:t>345,832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291,271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251</w:t>
            </w:r>
          </w:p>
        </w:tc>
        <w:tc>
          <w:tcPr>
            <w:tcW w:w="680" w:type="dxa"/>
            <w:vAlign w:val="bottom"/>
          </w:tcPr>
          <w:p>
            <w:pPr>
              <w:jc w:val="right"/>
              <w:spacing w:after="0"/>
              <w:rPr>
                <w:sz w:val="20"/>
                <w:szCs w:val="20"/>
                <w:color w:val="auto"/>
              </w:rPr>
            </w:pPr>
            <w:r>
              <w:rPr>
                <w:rFonts w:ascii="Arial" w:cs="Arial" w:eastAsia="Arial" w:hAnsi="Arial"/>
                <w:sz w:val="18"/>
                <w:szCs w:val="18"/>
                <w:color w:val="auto"/>
              </w:rPr>
              <w:t>291,522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78,473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56,310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65,707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251</w:t>
            </w:r>
          </w:p>
        </w:tc>
        <w:tc>
          <w:tcPr>
            <w:tcW w:w="680" w:type="dxa"/>
            <w:vAlign w:val="bottom"/>
          </w:tcPr>
          <w:p>
            <w:pPr>
              <w:jc w:val="right"/>
              <w:spacing w:after="0"/>
              <w:rPr>
                <w:sz w:val="20"/>
                <w:szCs w:val="20"/>
                <w:color w:val="auto"/>
              </w:rPr>
            </w:pPr>
            <w:r>
              <w:rPr>
                <w:rFonts w:ascii="Arial" w:cs="Arial" w:eastAsia="Arial" w:hAnsi="Arial"/>
                <w:sz w:val="18"/>
                <w:szCs w:val="18"/>
                <w:color w:val="auto"/>
              </w:rPr>
              <w:t>65,242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4,354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76,260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335,837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251</w:t>
            </w:r>
          </w:p>
        </w:tc>
        <w:tc>
          <w:tcPr>
            <w:tcW w:w="680" w:type="dxa"/>
            <w:vAlign w:val="bottom"/>
          </w:tcPr>
          <w:p>
            <w:pPr>
              <w:jc w:val="right"/>
              <w:spacing w:after="0"/>
              <w:rPr>
                <w:sz w:val="20"/>
                <w:szCs w:val="20"/>
                <w:color w:val="auto"/>
              </w:rPr>
            </w:pPr>
            <w:r>
              <w:rPr>
                <w:rFonts w:ascii="Arial" w:cs="Arial" w:eastAsia="Arial" w:hAnsi="Arial"/>
                <w:sz w:val="18"/>
                <w:szCs w:val="18"/>
                <w:color w:val="auto"/>
              </w:rPr>
              <w:t>349,906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(58,928)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(14,069)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14,362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(36,548)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880" w:type="dxa"/>
            <w:vAlign w:val="bottom"/>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860" w:type="dxa"/>
            <w:vAlign w:val="bottom"/>
            <w:gridSpan w:val="3"/>
          </w:tcPr>
          <w:p>
            <w:pPr>
              <w:jc w:val="right"/>
              <w:ind w:right="240"/>
              <w:spacing w:after="0"/>
              <w:rPr>
                <w:sz w:val="20"/>
                <w:szCs w:val="20"/>
                <w:color w:val="auto"/>
              </w:rPr>
            </w:pPr>
            <w:r>
              <w:rPr>
                <w:rFonts w:ascii="Arial" w:cs="Arial" w:eastAsia="Arial" w:hAnsi="Arial"/>
                <w:sz w:val="18"/>
                <w:szCs w:val="18"/>
                <w:color w:val="auto"/>
              </w:rPr>
              <w:t>$ (95,464)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(14,362)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14,362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(95,464)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60" w:type="dxa"/>
            <w:vAlign w:val="bottom"/>
            <w:gridSpan w:val="2"/>
          </w:tcPr>
          <w:p>
            <w:pPr>
              <w:jc w:val="right"/>
              <w:ind w:right="394"/>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$125,134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$125,134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77,185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327,018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326,737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287,882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287,601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68,550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46,860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51,263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50,957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38,368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295,666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1,089</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(281)</w:t>
            </w:r>
          </w:p>
        </w:tc>
        <w:tc>
          <w:tcPr>
            <w:tcW w:w="680" w:type="dxa"/>
            <w:vAlign w:val="bottom"/>
          </w:tcPr>
          <w:p>
            <w:pPr>
              <w:jc w:val="right"/>
              <w:spacing w:after="0"/>
              <w:rPr>
                <w:sz w:val="20"/>
                <w:szCs w:val="20"/>
                <w:color w:val="auto"/>
              </w:rPr>
            </w:pPr>
            <w:r>
              <w:rPr>
                <w:rFonts w:ascii="Arial" w:cs="Arial" w:eastAsia="Arial" w:hAnsi="Arial"/>
                <w:sz w:val="18"/>
                <w:szCs w:val="18"/>
                <w:color w:val="auto"/>
              </w:rPr>
              <w:t>296,474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281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(8,943)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(28,767)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270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(28,767)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jc w:val="right"/>
              <w:ind w:right="393"/>
              <w:spacing w:after="0"/>
              <w:rPr>
                <w:sz w:val="20"/>
                <w:szCs w:val="20"/>
                <w:color w:val="auto"/>
              </w:rPr>
            </w:pPr>
            <w:r>
              <w:rPr>
                <w:rFonts w:ascii="Arial" w:cs="Arial" w:eastAsia="Arial" w:hAnsi="Arial"/>
                <w:sz w:val="18"/>
                <w:szCs w:val="18"/>
                <w:color w:val="auto"/>
                <w:w w:val="79"/>
              </w:rPr>
              <w:t>17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3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Issuers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4"/>
              </w:rPr>
              <w:t>Subsidiaries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(95,464)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(14,362)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14,362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(95,464)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to net cash provided by operating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76,260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(14,362)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11,176</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(32,231)</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(114,968)</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Purchase of other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(122,792)</w:t>
            </w: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1,346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100,000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(26,546)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Issuers</w:t>
            </w: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(28,767)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270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38,368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(15,855)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retentions</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(238,570)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Purchase of other assets</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(8,631)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(253,991)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(254,813)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124,855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124,855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(80,560)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146,556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65,996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353"/>
              <w:spacing w:after="0"/>
              <w:rPr>
                <w:sz w:val="20"/>
                <w:szCs w:val="20"/>
                <w:color w:val="auto"/>
              </w:rPr>
            </w:pPr>
            <w:r>
              <w:rPr>
                <w:rFonts w:ascii="Arial" w:cs="Arial" w:eastAsia="Arial" w:hAnsi="Arial"/>
                <w:sz w:val="18"/>
                <w:szCs w:val="18"/>
                <w:color w:val="auto"/>
                <w:w w:val="79"/>
              </w:rPr>
              <w:t>19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impact that an outbreak of an infectious disease, such as avian flu, or the impact of a natural disaster may have on the travel and leisure industry;</w:t>
      </w:r>
    </w:p>
    <w:p>
      <w:pPr>
        <w:spacing w:after="0" w:line="1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an expansion of Wynn Las Vegas, on December 22, 2008. Encore currently features: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approximately 72,000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Rock &amp; Republic;</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at Wynn Las Vegas and Encore.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continues to remain highly uncertain. Auto traffic into Las Vegas, airline capacity and air travel to McCarran International airport have declined, resulting in lower casino volumes and a reduced demand for hotel rooms. This slow down was particularly significant in the fourth quarter of 2008 and has continued throughout the first quarter of 2009. Based on our experience and current market conditions, we believe that Wynn Las Vegas and Encore have, and will continue to experience lower than historical hotel occupancy rates, room rates, casino volumes and accordingly lower departmental profitability. Additionally, in early 2009, we have experienced cancellation and attrition of group business at greater than historical levels.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result of the current economic conditions, we have increasingly focused on efficiency initiatives that we began implementing at Wynn Las Vegas and Encore in early 2009. These initiatives include reductions in pay for salaried employees, reduced work weeks for full-time hourly employees, the substantial reduction of 2009 bonus accruals and a suspension of the employer match to the 401(k) contributions.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Our results of operations for the periods presented are not comparable as the three months ended March 31, 2009 includes the expansion of Wynn Las Vegas which opened on December 22, 2008, whereas the prior year quarter included only Wynn Las Vegas. We believe that our operating results for the three months ended March 31, 2009, were adversely impacted by the weakened global economy. Disruptions in the global financial and stock markets and reduced levels of consumer spending have and may continue to adversely impact our financial results.</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and Encore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recorded a net loss for the quarter ended March 31, 2009 of $95.5 million compared to a net loss of $28.8 million recorded during the quarter ended March 31, 2008. Revenues increased just slightly despite the opening of our new expansion in December 2008. Incremental departmental expenses associated with Encore and additional depreciation expense of $38 million resulted in an increase in our operating loss of $50 million. Interest expense also increased $17.1 million as we no longer capitalize such costs with the opening of Encore.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March 31, 2009 compared to the three months ended March 31, 2008.</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As noted earlier, our financial results for the three months ended March 31, 2009 are not comparable to the three months ended March 31, 2008, as the three months ended March 31, 2009 includes the expansion of Wynn Las Vegas which opened on December 22, 2008, whereas the prior year quarter includes only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Net revenues for the three months ended March 31, 2009 are comprised of $117.5 million in casino revenues (40.3% of total net revenues) and $174 million of net non-casino revenues (59.7% of total net revenues). Net revenues for the three months ended March 31, 2008 were comprised of $125.1 million in casino revenues (43.5% of total net revenues) and $162.5 million of net non-casino revenues (56.5% of total net revenues).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Encore added approximately 95 table games and approximately 835 slot machines to our casino operations. Even with these additions, we experienced a decrease in casino revenues of approximately $7.7 million (or 6.1%) to $117.5 million for the three months ended March 31, 2009, compared to $125.1 million for the three months ended March 31, 2008. During the three months ended March 31, 2009, we experienced a 2.5% decrease in drop and a decrease in the average table games win percentage compared to the prior year quarter. Our average table games win percentage (before discounts) of 17.7% was below the expected range of 21% to 24% for the three months ended March 31, 2009. For the three months ended March 31, 2008, our average table games win percentage (before discounts) was 19.9%. Slot handle increased 2.5% during the three months ended March 31, 2009 as compared to 2008, and the slot win percentage was within the expected range of 4.5% to 5.5%.</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three months ended March 31, 2009, room revenues were approximately $85.1 million, which represents a $14.5 million (or 20.6%) increase over the $70.6 million generated in the three months ended March 31, 2008. This increase is a result of the addition of 2,034 suites at Encore which opened in December 2008. We continued to experience a decrease in occupancy and room rates during the three months ended March 31, 2009, compared to the three months ended March 31, 2008. See the table below for key operating measures related to our room revenue.</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2008</w:t>
            </w:r>
          </w:p>
        </w:tc>
        <w:tc>
          <w:tcPr>
            <w:tcW w:w="14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89.5%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5040" w:type="dxa"/>
            <w:vAlign w:val="bottom"/>
          </w:tcPr>
          <w:p>
            <w:pPr>
              <w:jc w:val="right"/>
              <w:ind w:right="289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Other non-casino revenues for the three months ended March 31, 2009 include: food and beverage revenues of approximately $96.9 million, retail revenues of approximately $19.6 million, entertainment revenues of approximately $12.8 million, and other revenues from outlets such as the spa and salon, of approximately $14 million. Other non-gaming revenues for the three months ended March 31, 2008 included food and beverage revenues of approximately $77.2 million, retail revenues of approximately $22.6 million, entertainment revenues of approximately $19.2 million, and other revenues from outlets, including the spa and salon, of approximately $12.1 million. On a comparable basis, excluding the Encore expansion, which opened in December 2008, all of our revenues have declined when compared to the prior year quarter due to the current economic environment in which we are operating. Food and beverage revenues increased during the three months ended March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quarter primarily due to the closure of the Spamalot production show in July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three months ended March 31, 2009, departmental expenses included casino expense of $78.5 million, rooms expense of $24.1 million, food and beverage expense of $56.3 million, and entertainment, retail and other expense of $29.4 million. Also included are general and administrative expenses of approximately $65.2 million and approximately $0.6 million charged as a provision for doubtful accounts receivable. During the three months ended March 31, 2008, departmental expenses included casino expenses of $68.6 million, room expenses of $19.1 million, food and beverage expenses of $46.9 million, and entertainment, retail and other expenses of $37.5 million. Also included are general and administrative expenses of approximately $51 million and approximately $3.9 million charged as a provision for doubtful accounts receivable. Expenses for the three months ended March 31, 2009 increased compared to March 31, 2008 as a result of the Encore expansion which opened in December 2008. Our provision for doubtful accounts receivable declined during the three months ended March 31, 2009 compared to the prior year’s quarter due to recent strong collection trends on our casino accounts receivable. This strength has allowed us to reduce a portion of the additional reserves we recorded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w:t>
      </w:r>
    </w:p>
    <w:p>
      <w:pPr>
        <w:spacing w:after="0" w:line="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 xml:space="preserve">Facilities and the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 Management fees were $4.4 million for the quarter ended March 31, 2009, compared to $4.3 million for the quarter ended March 31, 2008.</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2009, we incurred no pre-opening costs compared to $5.3 million for the three months ended March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three months ended March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Depreciation and amortization for the three months ended March 31, 2009 was $77.4 million compared to $39.5 million for the three months ended March 31, 2008. This increase is primarily due to depreciation on the assets of Encore, which opened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2009 were $13.9 million compared to approximately $20.5 million for the three months ended March 31, 2008. Property charges and other for the three months ended March 31, 2009 include the write-off of $13.4 million of aircraft purchase deposits.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February 19, 2009, we cancelled the agreement to purchase an aircraft. The deposit is refundable to the extent another buyer is found. Due to the uncertainty as to the recoverability of this deposit, we wrote off the deposit in the first quarter of 2009. The remaining property charges were related to miscellaneous renovations and abandonments at Wynn Las Vegas.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Property charges and other for the three months ended March 31, 2008 include $17.8 million of costs associated with Spamalot at Wynn Las Vegas which closed in July 2008. The charge includes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our contract.</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Interest income decreased by $2.1 million to $0.01 million for the three months ended March 31, 2009 compared to the three months ended March 31, 2008. This decrease is primarily due to the repayment of an $80 million note receivable from Wynn Resorts in July 2008, as well as a decrease in the average interest rate earned on our invested cash balances and reduced average invested cash balances during the three months ended March 31, 2009 compared to the prior year’s quarter as a result of spending related to the development and construction of Encore.</w:t>
      </w:r>
    </w:p>
    <w:p>
      <w:pPr>
        <w:spacing w:after="0" w:line="11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Interest expense was $36.8, net of capitalized interest of $0 million, for the three months ended March 31, 2009, compared to $19.7 million, net of capitalized interest of $15.9 million during the three months ended March 31, 2008. Interest expense increased approximately $17.1 million primarily due to a $15.9 million decrease in capitalized interest with the opening of Encore.</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 was recorded as either an asset or liability. Changes in the fair value of our interest rate swaps are recorded as increase (or decrease) in swap fair value in each period. Our only interest rate swap matured in December 2008. We recorded an expense of approximately $2.6 million for the three months ended March 31, 2008 resulting from the decrease in the fair value of our interest rate swap from December 31, 2007 to March 31, 2008.</w:t>
      </w:r>
    </w:p>
    <w:p>
      <w:pPr>
        <w:spacing w:after="0" w:line="188"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operating cash flows are primarily affected by our operating income generated by Wynn Las Vegas, interest paid, and non-cash charges included in operating income. Net cash used by operations for the three months ended March 31, 2009 was $4.7 million compared to $49.4 million provided by operations for the three months ended March 31, 2008. This decrease was primarily due to operating expenses increasing disproportionately to operating revenues as a result of opening Encore and the current economic environment, higher general and administrative expenses, and other working capital fluctuations.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March 31, 2009, we had approximately $96.8 million of cash and cash equivalents available for use without restriction, including for operations, debt service and retirement, funding the remaining construction and retention payables related to Encore (approximately $104.3 million as of March 31, 2009), new development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activities, enhancements to Wynn Las Vegas and general corporate purposes. We require a certain amount of cash on hand for operations. We will require additional funds to pay the final construction and retention payables related to Encore. We anticipate such funds, together with any other cash needs during 2009 in excess of what we generate from operations or additional borrowings, will be provided with capital contributions from Wynn Resorts. During the three months ended March 31, 2009, Wynn Resorts made $100 million of such contributions. Except for scheduled quarterly payments on one note payable, we have no debt maturities until August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Capital expenditures were approximately $115 million for the three months ended March 31, 2009, and related primarily to cash payments on construction and retention payables related to Encore.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three months ended March 31, 2009, Wynn Resorts made a capital contribution to us in the amount of $100 million. The proceeds from this contribution were used to fund construction costs of Encore paid during the quarter.</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April 2009, Wynn Resorts made another capital contribution to us in the amount of $228.5 million. The proceeds from this contribution, together with cash on hand, were used to fund the paydown on the Wynn Las Vegas Revolver and related fees for the amendment as described in Note 6.</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2009, our Credit Facilities consisted of a $900 million revolving credit facility (the “Revolver”) and a $225 million term loan facility (the “Term Loan”). During the three months ended March 31, 2009, we did not borrow any incremental amounts under the Revolver, and as of March 31, 2009 we had an outstanding balance of $879.5 million. We also had $20.1 million of outstanding letters of credit that reduce our availability under the Revolver. Consequently, $0.4 million remained available under the Revolver for future borrowings as of March 31, 2009.</w:t>
      </w:r>
    </w:p>
    <w:p>
      <w:pPr>
        <w:spacing w:after="0" w:line="1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April 17, 2009, we entered into a fourth amendment to our Amended and Restated Credit Agreement (the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to : 1 beginning June 30, 2009 and through March 31, 2011; (iii) extends the maturity on approximately $610 million of Revolver commitments from August 15, 2011 to July 15, 2013 (after giving effect to the permanent reduction described below); and (iv) removes the dollar limit on the equity cure provisions for the purpose of the Consolidated Leverage Ratio and the Consolidated Interest Coverage Ratio over the life of the loan. In exchange for the amendments, we have (i) repaid 30% of the outstanding Revolver loans of lenders consenting to the extension of their commitment (approximately $238 million) and permanently reduced such lender commitments by 25%; and (ii) agreed to an increase in the overall interest rate spread on the Credit Facilities from LIBOR plus 1.7% to LIBOR plus 2.6%.</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amended, the Revolver commitments will reduce by $61 million on August 15, 2011, and an additional $55 million on August 15, 2012. The remaining commitments will mature on July 15, 2013. Lenders holding $87 million of the commitments did not agree to the amendment. Those commitments will mature on the original maturity date of August 15, 2011. The Wynn Las Vegas Term Loan will mature in two installments: $112.5 million will be payable on September 30, 2012 and the remaining $112.5 million will be payable on August 15, 2013.</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Wynn Las Vegas, LLC will fund its operations and capital requirements from operating cash flow, and to the extent required and available from capital contributions from Wynn Resorts. We cannot be sure that Wynn Las Vegas, LLC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2008. There have been no material changes to these policies for the three months ended March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on January 1, 2009, did not impact our financial position, results of operations or cash flows.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on January 1, 2009, did not impact our financial position, results of operations or cash flows.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The adoption of SFAS No. 161 on January 1, 2009, did not have a material impact on our financial position,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2009, approximately 60% of our long-term debt was based on fixed rates. Based on our borrowings as of March 31, 2009, an assumed 1% change in variable rates would cause our annual interest cost to change by $11.4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2008. There were no material changes to those risk factors during the three months ended March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240" w:top="459" w:right="6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74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02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974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974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9740" w:type="dxa"/>
            <w:vAlign w:val="bottom"/>
            <w:gridSpan w:val="3"/>
          </w:tcPr>
          <w:p>
            <w:pPr>
              <w:ind w:left="440"/>
              <w:spacing w:after="0"/>
              <w:rPr>
                <w:sz w:val="20"/>
                <w:szCs w:val="20"/>
                <w:color w:val="auto"/>
              </w:rPr>
            </w:pPr>
            <w:r>
              <w:rPr>
                <w:rFonts w:ascii="Arial" w:cs="Arial" w:eastAsia="Arial" w:hAnsi="Arial"/>
                <w:sz w:val="18"/>
                <w:szCs w:val="18"/>
                <w:color w:val="auto"/>
                <w:w w:val="88"/>
              </w:rPr>
              <w:t>Amendment to Employment Agreement, dated as of February 16, 2009, by and between Wynn Las Vegas, LLC and Andrew Pascal.</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974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974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974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40" w:hanging="304"/>
        <w:spacing w:after="0"/>
        <w:tabs>
          <w:tab w:leader="none" w:pos="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480" w:val="left"/>
          <w:tab w:leader="none" w:pos="7700" w:val="left"/>
          <w:tab w:leader="none" w:pos="8060" w:val="left"/>
        </w:tabs>
        <w:rPr>
          <w:sz w:val="20"/>
          <w:szCs w:val="20"/>
          <w:color w:val="auto"/>
        </w:rPr>
      </w:pPr>
      <w:r>
        <w:rPr>
          <w:rFonts w:ascii="Arial" w:cs="Arial" w:eastAsia="Arial" w:hAnsi="Arial"/>
          <w:sz w:val="18"/>
          <w:szCs w:val="18"/>
          <w:color w:val="auto"/>
        </w:rPr>
        <w:t>Dated: May 11,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40"/>
          </w:cols>
          <w:pgMar w:left="240" w:top="459" w:right="11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to Employment Agreement is by and between Andrew Pascal (“Employee”) and Wynn Las Vegas, LLC (“Employer”).</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August 31, 2005, as amended (the “Employment Agreement”);</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of which is hereby acknowledged, the parties hereto agree as follows:</w:t>
      </w:r>
    </w:p>
    <w:p>
      <w:pPr>
        <w:spacing w:after="0" w:line="107"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$850,000 per annum.</w:t>
      </w:r>
    </w:p>
    <w:p>
      <w:pPr>
        <w:spacing w:after="0" w:line="96" w:lineRule="exact"/>
        <w:rPr>
          <w:rFonts w:ascii="Arial" w:cs="Arial" w:eastAsia="Arial" w:hAnsi="Arial"/>
          <w:sz w:val="18"/>
          <w:szCs w:val="18"/>
          <w:color w:val="auto"/>
        </w:rPr>
      </w:pPr>
    </w:p>
    <w:p>
      <w:pPr>
        <w:ind w:left="1480" w:right="4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700" w:type="dxa"/>
            <w:vAlign w:val="bottom"/>
          </w:tcPr>
          <w:p>
            <w:pPr>
              <w:spacing w:after="0"/>
              <w:rPr>
                <w:sz w:val="19"/>
                <w:szCs w:val="19"/>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 David Sisk</w:t>
            </w:r>
          </w:p>
        </w:tc>
        <w:tc>
          <w:tcPr>
            <w:tcW w:w="700" w:type="dxa"/>
            <w:vAlign w:val="bottom"/>
          </w:tcPr>
          <w:p>
            <w:pPr>
              <w:spacing w:after="0"/>
              <w:rPr>
                <w:sz w:val="24"/>
                <w:szCs w:val="24"/>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/s/ Andrew Pascal</w:t>
            </w:r>
          </w:p>
        </w:tc>
      </w:tr>
      <w:tr>
        <w:trPr>
          <w:trHeight w:val="70"/>
        </w:trPr>
        <w:tc>
          <w:tcPr>
            <w:tcW w:w="36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880" w:type="dxa"/>
            <w:vAlign w:val="bottom"/>
            <w:tcBorders>
              <w:bottom w:val="single" w:sz="8" w:color="auto"/>
            </w:tcBorders>
          </w:tcPr>
          <w:p>
            <w:pPr>
              <w:spacing w:after="0"/>
              <w:rPr>
                <w:sz w:val="6"/>
                <w:szCs w:val="6"/>
                <w:color w:val="auto"/>
              </w:rPr>
            </w:pPr>
          </w:p>
        </w:tc>
      </w:tr>
      <w:tr>
        <w:trPr>
          <w:trHeight w:val="216"/>
        </w:trPr>
        <w:tc>
          <w:tcPr>
            <w:tcW w:w="3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Andrew Pascal</w:t>
            </w:r>
          </w:p>
        </w:tc>
      </w:tr>
      <w:tr>
        <w:trPr>
          <w:trHeight w:val="425"/>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David Sisk</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26"/>
        </w:trPr>
        <w:tc>
          <w:tcPr>
            <w:tcW w:w="36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ind w:left="120"/>
              <w:spacing w:after="0"/>
              <w:rPr>
                <w:sz w:val="20"/>
                <w:szCs w:val="20"/>
                <w:color w:val="auto"/>
              </w:rPr>
            </w:pPr>
            <w:r>
              <w:rPr>
                <w:rFonts w:ascii="Arial" w:cs="Arial" w:eastAsia="Arial" w:hAnsi="Arial"/>
                <w:sz w:val="18"/>
                <w:szCs w:val="18"/>
                <w:color w:val="auto"/>
              </w:rPr>
              <w:t>CFO</w:t>
            </w:r>
          </w:p>
        </w:tc>
        <w:tc>
          <w:tcPr>
            <w:tcW w:w="700" w:type="dxa"/>
            <w:vAlign w:val="bottom"/>
          </w:tcPr>
          <w:p>
            <w:pPr>
              <w:spacing w:after="0"/>
              <w:rPr>
                <w:sz w:val="24"/>
                <w:szCs w:val="24"/>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Date:    February 16, 2009</w:t>
            </w:r>
          </w:p>
        </w:tc>
      </w:tr>
      <w:tr>
        <w:trPr>
          <w:trHeight w:val="20"/>
        </w:trPr>
        <w:tc>
          <w:tcPr>
            <w:tcW w:w="36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11,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2009 as filed with the Securities and Exchange Commission on the date hereof (the “Report”), Andrew Pascal,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Pascal</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President</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May 11,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Peterson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May 11,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7"/>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lvl>
    <w:lvl w:ilvl="1">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2019-12-10T21:46:20Z</dcterms:created>
  <dcterms:modified xsi:type="dcterms:W3CDTF">2019-12-10T21:46:20Z</dcterms:modified>
</cp:coreProperties>
</file>