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233045</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85090</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248285</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52" w:lineRule="exact"/>
        <w:rPr>
          <w:sz w:val="24"/>
          <w:szCs w:val="24"/>
          <w:color w:val="auto"/>
        </w:rPr>
      </w:pPr>
    </w:p>
    <w:tbl>
      <w:tblPr>
        <w:tblLayout w:type="fixed"/>
        <w:tblInd w:w="1360" w:type="dxa"/>
        <w:tblCellMar>
          <w:top w:w="0" w:type="dxa"/>
          <w:left w:w="0" w:type="dxa"/>
          <w:bottom w:w="0" w:type="dxa"/>
          <w:right w:w="0" w:type="dxa"/>
        </w:tblCellMar>
      </w:tblPr>
      <w:tr>
        <w:trPr>
          <w:trHeight w:val="228"/>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90"/>
              </w:rPr>
              <w:t>Nevada</w:t>
            </w:r>
          </w:p>
        </w:tc>
        <w:tc>
          <w:tcPr>
            <w:tcW w:w="37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98"/>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91"/>
              </w:rPr>
              <w:t>(State or other jurisdiction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4"/>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7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46"/>
        </w:trPr>
        <w:tc>
          <w:tcPr>
            <w:tcW w:w="2560" w:type="dxa"/>
            <w:vAlign w:val="bottom"/>
          </w:tcPr>
          <w:p>
            <w:pPr>
              <w:jc w:val="center"/>
              <w:ind w:right="21"/>
              <w:spacing w:after="0"/>
              <w:rPr>
                <w:sz w:val="20"/>
                <w:szCs w:val="20"/>
                <w:color w:val="auto"/>
              </w:rPr>
            </w:pPr>
            <w:r>
              <w:rPr>
                <w:rFonts w:ascii="Arial" w:cs="Arial" w:eastAsia="Arial" w:hAnsi="Arial"/>
                <w:sz w:val="18"/>
                <w:szCs w:val="18"/>
                <w:b w:val="1"/>
                <w:bCs w:val="1"/>
                <w:color w:val="auto"/>
                <w:w w:val="86"/>
              </w:rPr>
              <w:t>3131 Las Vegas Boulevard South</w:t>
            </w:r>
          </w:p>
        </w:tc>
        <w:tc>
          <w:tcPr>
            <w:tcW w:w="37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0"/>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70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209"/>
        </w:trPr>
        <w:tc>
          <w:tcPr>
            <w:tcW w:w="256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700" w:type="dxa"/>
            <w:vAlign w:val="bottom"/>
          </w:tcPr>
          <w:p>
            <w:pPr>
              <w:spacing w:after="0"/>
              <w:rPr>
                <w:sz w:val="18"/>
                <w:szCs w:val="18"/>
                <w:color w:val="auto"/>
              </w:rPr>
            </w:pP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5"/>
              </w:rPr>
              <w:t>(Zip Code)</w:t>
            </w:r>
          </w:p>
        </w:tc>
      </w:tr>
      <w:tr>
        <w:trPr>
          <w:trHeight w:val="712"/>
        </w:trPr>
        <w:tc>
          <w:tcPr>
            <w:tcW w:w="2560" w:type="dxa"/>
            <w:vAlign w:val="bottom"/>
          </w:tcPr>
          <w:p>
            <w:pPr>
              <w:spacing w:after="0"/>
              <w:rPr>
                <w:sz w:val="24"/>
                <w:szCs w:val="24"/>
                <w:color w:val="auto"/>
              </w:rPr>
            </w:pPr>
          </w:p>
        </w:tc>
        <w:tc>
          <w:tcPr>
            <w:tcW w:w="3700" w:type="dxa"/>
            <w:vAlign w:val="bottom"/>
          </w:tcPr>
          <w:p>
            <w:pPr>
              <w:jc w:val="center"/>
              <w:ind w:right="201"/>
              <w:spacing w:after="0"/>
              <w:rPr>
                <w:sz w:val="20"/>
                <w:szCs w:val="20"/>
                <w:color w:val="auto"/>
              </w:rPr>
            </w:pPr>
            <w:r>
              <w:rPr>
                <w:rFonts w:ascii="Arial" w:cs="Arial" w:eastAsia="Arial" w:hAnsi="Arial"/>
                <w:sz w:val="18"/>
                <w:szCs w:val="18"/>
                <w:b w:val="1"/>
                <w:bCs w:val="1"/>
                <w:color w:val="auto"/>
                <w:w w:val="89"/>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70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r>
        <w:trPr>
          <w:trHeight w:val="412"/>
        </w:trPr>
        <w:tc>
          <w:tcPr>
            <w:tcW w:w="2560" w:type="dxa"/>
            <w:vAlign w:val="bottom"/>
          </w:tcPr>
          <w:p>
            <w:pPr>
              <w:spacing w:after="0"/>
              <w:rPr>
                <w:sz w:val="24"/>
                <w:szCs w:val="24"/>
                <w:color w:val="auto"/>
              </w:rPr>
            </w:pPr>
          </w:p>
        </w:tc>
        <w:tc>
          <w:tcPr>
            <w:tcW w:w="3700" w:type="dxa"/>
            <w:vAlign w:val="bottom"/>
          </w:tcPr>
          <w:p>
            <w:pPr>
              <w:jc w:val="center"/>
              <w:ind w:right="221"/>
              <w:spacing w:after="0"/>
              <w:rPr>
                <w:sz w:val="20"/>
                <w:szCs w:val="20"/>
                <w:color w:val="auto"/>
              </w:rPr>
            </w:pPr>
            <w:r>
              <w:rPr>
                <w:rFonts w:ascii="Arial" w:cs="Arial" w:eastAsia="Arial" w:hAnsi="Arial"/>
                <w:sz w:val="18"/>
                <w:szCs w:val="18"/>
                <w:b w:val="1"/>
                <w:bCs w:val="1"/>
                <w:color w:val="auto"/>
                <w:w w:val="88"/>
              </w:rPr>
              <w:t>Not Applicable</w:t>
            </w:r>
          </w:p>
        </w:tc>
        <w:tc>
          <w:tcPr>
            <w:tcW w:w="15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77470</wp:posOffset>
            </wp:positionV>
            <wp:extent cx="284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Trading Symbol(s)</w:t>
            </w:r>
          </w:p>
        </w:tc>
        <w:tc>
          <w:tcPr>
            <w:tcW w:w="5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2280" w:type="dxa"/>
            <w:vAlign w:val="bottom"/>
            <w:gridSpan w:val="2"/>
          </w:tcPr>
          <w:p>
            <w:pPr>
              <w:jc w:val="center"/>
              <w:ind w:right="900"/>
              <w:spacing w:after="0"/>
              <w:rPr>
                <w:sz w:val="20"/>
                <w:szCs w:val="20"/>
                <w:color w:val="auto"/>
              </w:rPr>
            </w:pPr>
            <w:r>
              <w:rPr>
                <w:rFonts w:ascii="Arial" w:cs="Arial" w:eastAsia="Arial" w:hAnsi="Arial"/>
                <w:sz w:val="18"/>
                <w:szCs w:val="18"/>
                <w:color w:val="auto"/>
                <w:w w:val="98"/>
              </w:rPr>
              <w:t>WYNN</w:t>
            </w:r>
          </w:p>
        </w:tc>
        <w:tc>
          <w:tcPr>
            <w:tcW w:w="880" w:type="dxa"/>
            <w:vAlign w:val="bottom"/>
          </w:tcPr>
          <w:p>
            <w:pPr>
              <w:spacing w:after="0"/>
              <w:rPr>
                <w:sz w:val="21"/>
                <w:szCs w:val="21"/>
                <w:color w:val="auto"/>
              </w:rPr>
            </w:pPr>
          </w:p>
        </w:tc>
        <w:tc>
          <w:tcPr>
            <w:tcW w:w="420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7"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ind w:right="2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On September 16, 2021, WM Cayman Holdings Limited II as borrower (“WM Cayman II”) and Wynn Macau, Limited as guarantor, each an indirect subsidiary of Wynn Resorts, Limited (the “Registrant”), entered into a facility agreement with, among others, Bank of China Limited, Macau Branch as agent and a syndicate of lenders (the “Facility Agreement”), pursuant to which the lenders will make available in an aggregate amount of US$1.50 billion equivalent revolving unsecured credit facility consisting of one tranche in an amount of US$312.5 million and one tranche in an amount of HK$9.26 billion to WM Cayman II (“Revolving Facility”). WM Cayman II has the ability to upsize the total Revolving Facility by an additional US$1.00 billion equivalent under the Facility Agreement and related agreements upon the satisfaction of various conditions.</w:t>
      </w:r>
    </w:p>
    <w:p>
      <w:pPr>
        <w:spacing w:after="0" w:line="19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final maturity of all outstanding loans under the Revolving Facility is September 16, 2025 (or if September 16, 2025 is not a business day, the next business day in the relevant calendar month) by which time any outstanding borrowings from the Revolving Facility must be repaid.</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Each loan under the Revolving Facility, consisting of both United States dollar and Hong Kong dollar tranches, will bear interests at London Interbank Offered Rate or Hong Kong Interbank Offered Rate, as applicable, plus a margin of 1.875% to 2.875% per annum based on the leverage ratio of WM Cayman II on a consolidated basis.</w:t>
      </w:r>
    </w:p>
    <w:p>
      <w:pPr>
        <w:spacing w:after="0" w:line="21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Borrowings under the Facility Agreement will be used to refinance certain indebtedness of Wynn Macau, Limited and subsidiaries (the "WML Group"), to pay the financing costs, fees and expenses in respect of the Revolving Facility, and to fund ongoing working capital needs and for general corporate purposes.</w:t>
      </w:r>
    </w:p>
    <w:p>
      <w:pPr>
        <w:spacing w:after="0" w:line="216"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Facility Agreement contains representations, warranties, covenants and events of default customary for similar financings in Macau. The Facility Agreement also contains certain mandatory prepayment provisions relating to the loss or termination of the WML Group's gaming operations or concession contracts. Customary fees and expenses were paid by WM Cayman II in connection with the Facility Agreement and related agreements.</w:t>
      </w:r>
    </w:p>
    <w:p>
      <w:pPr>
        <w:spacing w:after="0" w:line="18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lenders and agent under the Facility Agreement and certain of their affiliates have performed investment banking, commercial lending and advisory services for WM Cayman II, the Registrant, their subsidiaries and their respective affiliates, from time to time, for which they have received customary fees and expenses. These parties may, from time to time, engage in transactions with, and perform services for, WM Cayman II, the Registrant, their subsidiaries and their respective affiliates in the ordinary course of their business.</w:t>
      </w:r>
    </w:p>
    <w:p>
      <w:pPr>
        <w:spacing w:after="0" w:line="217"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The foregoing description of the Facility Agreement does not purport to be complete and is qualified in its entirety by reference to the full text of the agreement, a copy of which will be filed as an exhibit to the Registrant’s Quarterly Report on Form 10-Q for the quarter ended September 30, 2021.</w:t>
      </w:r>
    </w:p>
    <w:p>
      <w:pPr>
        <w:spacing w:after="0" w:line="19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974725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September 16,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2021-09-16T15:20:30Z</dcterms:created>
  <dcterms:modified xsi:type="dcterms:W3CDTF">2021-09-16T15:20:30Z</dcterms:modified>
</cp:coreProperties>
</file>