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February 9,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WYNN RESORTS, LIMITED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660"/>
        <w:spacing w:after="0"/>
        <w:rPr>
          <w:sz w:val="20"/>
          <w:szCs w:val="20"/>
          <w:color w:val="auto"/>
        </w:rPr>
      </w:pPr>
      <w:r>
        <w:rPr>
          <w:rFonts w:ascii="Arial" w:cs="Arial" w:eastAsia="Arial" w:hAnsi="Arial"/>
          <w:sz w:val="16"/>
          <w:szCs w:val="16"/>
          <w:b w:val="1"/>
          <w:bCs w:val="1"/>
          <w:color w:val="auto"/>
        </w:rPr>
        <w:t>Nevada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000-50028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46-0484987</w:t>
      </w:r>
    </w:p>
    <w:p>
      <w:pPr>
        <w:spacing w:after="0" w:line="31" w:lineRule="exact"/>
        <w:rPr>
          <w:sz w:val="24"/>
          <w:szCs w:val="24"/>
          <w:color w:val="auto"/>
        </w:rPr>
      </w:pPr>
    </w:p>
    <w:p>
      <w:pPr>
        <w:sectPr>
          <w:pgSz w:w="11900" w:h="16838" w:orient="portrait"/>
          <w:cols w:equalWidth="0" w:num="3">
            <w:col w:w="4740" w:space="720"/>
            <w:col w:w="2980" w:space="720"/>
            <w:col w:w="2260"/>
          </w:cols>
          <w:pgMar w:left="240" w:top="368" w:right="23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380"/>
          </w:cols>
          <w:pgMar w:left="240" w:top="368" w:right="239" w:bottom="1440" w:gutter="0" w:footer="0" w:header="0"/>
          <w:type w:val="continuous"/>
        </w:sectPr>
      </w:pPr>
    </w:p>
    <w:p>
      <w:pPr>
        <w:spacing w:after="0" w:line="6" w:lineRule="exact"/>
        <w:rPr>
          <w:sz w:val="24"/>
          <w:szCs w:val="24"/>
          <w:color w:val="auto"/>
        </w:rPr>
      </w:pPr>
    </w:p>
    <w:p>
      <w:pPr>
        <w:jc w:val="center"/>
        <w:ind w:right="1960"/>
        <w:spacing w:after="0"/>
        <w:rPr>
          <w:sz w:val="20"/>
          <w:szCs w:val="20"/>
          <w:color w:val="auto"/>
        </w:rPr>
      </w:pPr>
      <w:r>
        <w:rPr>
          <w:rFonts w:ascii="Arial" w:cs="Arial" w:eastAsia="Arial" w:hAnsi="Arial"/>
          <w:sz w:val="16"/>
          <w:szCs w:val="16"/>
          <w:b w:val="1"/>
          <w:bCs w:val="1"/>
          <w:color w:val="auto"/>
        </w:rPr>
        <w:t>3131 Las Vegas Boulevard South</w:t>
      </w:r>
    </w:p>
    <w:p>
      <w:pPr>
        <w:spacing w:after="0" w:line="50" w:lineRule="exact"/>
        <w:rPr>
          <w:sz w:val="24"/>
          <w:szCs w:val="24"/>
          <w:color w:val="auto"/>
        </w:rPr>
      </w:pPr>
    </w:p>
    <w:p>
      <w:pPr>
        <w:jc w:val="center"/>
        <w:ind w:right="1960"/>
        <w:spacing w:after="0"/>
        <w:rPr>
          <w:sz w:val="20"/>
          <w:szCs w:val="20"/>
          <w:color w:val="auto"/>
        </w:rPr>
      </w:pPr>
      <w:r>
        <w:rPr>
          <w:rFonts w:ascii="Arial" w:cs="Arial" w:eastAsia="Arial" w:hAnsi="Arial"/>
          <w:sz w:val="18"/>
          <w:szCs w:val="18"/>
          <w:b w:val="1"/>
          <w:bCs w:val="1"/>
          <w:color w:val="auto"/>
        </w:rPr>
        <w:t>Las Vegas, Nevada</w:t>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89109</w:t>
      </w:r>
    </w:p>
    <w:p>
      <w:pPr>
        <w:spacing w:after="0" w:line="62" w:lineRule="exact"/>
        <w:rPr>
          <w:sz w:val="24"/>
          <w:szCs w:val="24"/>
          <w:color w:val="auto"/>
        </w:rPr>
      </w:pPr>
    </w:p>
    <w:p>
      <w:pPr>
        <w:sectPr>
          <w:pgSz w:w="11900" w:h="16838" w:orient="portrait"/>
          <w:cols w:equalWidth="0" w:num="2">
            <w:col w:w="7680" w:space="720"/>
            <w:col w:w="3020"/>
          </w:cols>
          <w:pgMar w:left="240" w:top="368" w:right="239" w:bottom="1440" w:gutter="0" w:footer="0" w:header="0"/>
          <w:type w:val="continuous"/>
        </w:sectPr>
      </w:pPr>
    </w:p>
    <w:p>
      <w:pPr>
        <w:ind w:left="168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580" w:space="720"/>
            <w:col w:w="3120"/>
          </w:cols>
          <w:pgMar w:left="240" w:top="368"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(702) 770-7555</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920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type w:val="continuous"/>
        </w:sectPr>
      </w:pPr>
    </w:p>
    <w:bookmarkStart w:id="1" w:name="page2"/>
    <w:bookmarkEnd w:id="1"/>
    <w:p>
      <w:pPr>
        <w:spacing w:after="0"/>
        <w:tabs>
          <w:tab w:leader="none" w:pos="13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On February 9, 2018, Wynn Results, Limited (the “Company”) was informed that counsel for Mr. Stephen A. Wynn submitted a letter (the “Letter”) to the parties in a lawsuit which is pending in the United States District Court for the District of Nevada in which Elaine P. Wynn has asserted certain cross claims against Mr. Wynn. The Letter states that, in light of the significant changed circumstances triggered by Mr. Wynn’s resignation as the Chief Executive Officer and Chairman of the Board of the Company and of Wynn Macau, Limited, Mr. Wynn no longer contests that the Amended and Restated Stockholder Agreement, dated January 6, 2010, by and among Stephen A. Wynn, Elaine P. Wynn and Aruze USA, Inc. (the “2010 Stockholders Agreement”) is invalid and unenforceable. The Letter further states that, while Mr. Wynn does not agree with Ms. Wynn’s bases for claiming the 2010 Stockholders Agreement is invalid and unenforceable, he does agree that it no longer binds either party and that, as such, it is Mr. Wynn’s position that certain of the cross claims asserted by Ms. Wynn in the pending case are now moot. A copy of the Letter is attached hereto and furnished as Exhibit 99.1. No assurance can be provided as to the outcome of such proceedings.</w:t>
      </w:r>
    </w:p>
    <w:p>
      <w:pPr>
        <w:spacing w:after="0" w:line="182"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Mr. Wynn has informed the Company that regardless of whether the Stockholders Agreement is in effect, he has no immediate plans to sell shares that he owns and that if he elects to sell any such shares over time, he will seek to conduct such sales in an orderly fashion.</w:t>
      </w:r>
    </w:p>
    <w:p>
      <w:pPr>
        <w:spacing w:after="0" w:line="17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This Form 8-K contains forward-looking statements that are subject to a number of risks and uncertainties that could cause actual results to differ materially from those we express in these forward-looking statements, including, but not limited to, the risks related to the litigation described above and the 2010 Stockholders Agreement as described in the Company’s Annual Report on Form 10-K for the year ended December 31, 2017 (including under Item 8. “Financial Statements and Supplementary Data – Note 17 Commitments and Contingencies,” Item 7. “Management’s Discussion and Analysis of Financial Condition and Results of Operations – Liquidity and Capital Resources,” and Item 1A. “Risk Factors – Risks Related to Share Ownership and Stockholder Matters”) and the Company’s other periodic reports filed with the Securities and Exchange Commission. The Company is under no obligation to (and expressly disclaims any such obligation to) update or revise its forward-looking statements as a result of new information, future events or otherwise.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5760" w:type="dxa"/>
            <w:vAlign w:val="bottom"/>
            <w:gridSpan w:val="4"/>
          </w:tcPr>
          <w:p>
            <w:pPr>
              <w:ind w:left="20"/>
              <w:spacing w:after="0"/>
              <w:rPr>
                <w:sz w:val="20"/>
                <w:szCs w:val="20"/>
                <w:color w:val="auto"/>
              </w:rPr>
            </w:pPr>
            <w:r>
              <w:rPr>
                <w:rFonts w:ascii="Arial" w:cs="Arial" w:eastAsia="Arial" w:hAnsi="Arial"/>
                <w:sz w:val="18"/>
                <w:szCs w:val="18"/>
                <w:b w:val="1"/>
                <w:bCs w:val="1"/>
                <w:color w:val="auto"/>
              </w:rPr>
              <w:t>Financial Statements and Exhibits.</w:t>
            </w:r>
          </w:p>
        </w:tc>
      </w:tr>
      <w:tr>
        <w:trPr>
          <w:trHeight w:val="324"/>
        </w:trPr>
        <w:tc>
          <w:tcPr>
            <w:tcW w:w="1360" w:type="dxa"/>
            <w:vAlign w:val="bottom"/>
            <w:gridSpan w:val="2"/>
          </w:tcPr>
          <w:p>
            <w:pPr>
              <w:ind w:left="460"/>
              <w:spacing w:after="0"/>
              <w:rPr>
                <w:sz w:val="20"/>
                <w:szCs w:val="20"/>
                <w:color w:val="auto"/>
              </w:rPr>
            </w:pPr>
            <w:r>
              <w:rPr>
                <w:rFonts w:ascii="Arial" w:cs="Arial" w:eastAsia="Arial" w:hAnsi="Arial"/>
                <w:sz w:val="18"/>
                <w:szCs w:val="18"/>
                <w:color w:val="auto"/>
                <w:w w:val="92"/>
              </w:rPr>
              <w:t>(d) Exhibits.</w:t>
            </w:r>
          </w:p>
        </w:tc>
        <w:tc>
          <w:tcPr>
            <w:tcW w:w="14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92"/>
        </w:trPr>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2"/>
              </w:rPr>
              <w:t>Exhibit No.</w:t>
            </w: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300" w:type="dxa"/>
            <w:vAlign w:val="bottom"/>
          </w:tcPr>
          <w:p>
            <w:pPr>
              <w:spacing w:after="0"/>
              <w:rPr>
                <w:sz w:val="24"/>
                <w:szCs w:val="24"/>
                <w:color w:val="auto"/>
              </w:rPr>
            </w:pPr>
          </w:p>
        </w:tc>
      </w:tr>
      <w:tr>
        <w:trPr>
          <w:trHeight w:val="264"/>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2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Letter to parties by counsel for Mr. Stephen A. Wynn, dated February 9, 2018.</w:t>
              </w:r>
            </w:hyperlink>
          </w:p>
        </w:tc>
      </w:tr>
    </w:tbl>
    <w:p>
      <w:pPr>
        <w:sectPr>
          <w:pgSz w:w="11900" w:h="16838" w:orient="portrait"/>
          <w:cols w:equalWidth="0" w:num="1">
            <w:col w:w="11420"/>
          </w:cols>
          <w:pgMar w:left="240" w:top="27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240" w:type="dxa"/>
            <w:vAlign w:val="bottom"/>
          </w:tcPr>
          <w:p>
            <w:pPr>
              <w:ind w:left="100"/>
              <w:spacing w:after="0"/>
              <w:rPr>
                <w:sz w:val="20"/>
                <w:szCs w:val="20"/>
                <w:color w:val="auto"/>
              </w:rPr>
            </w:pPr>
            <w:r>
              <w:rPr>
                <w:rFonts w:ascii="Arial" w:cs="Arial" w:eastAsia="Arial" w:hAnsi="Arial"/>
                <w:sz w:val="18"/>
                <w:szCs w:val="18"/>
                <w:b w:val="1"/>
                <w:bCs w:val="1"/>
                <w:color w:val="auto"/>
              </w:rPr>
              <w:t>WYNN RESORTS, LIMITED</w:t>
            </w:r>
          </w:p>
        </w:tc>
      </w:tr>
      <w:tr>
        <w:trPr>
          <w:trHeight w:val="432"/>
        </w:trPr>
        <w:tc>
          <w:tcPr>
            <w:tcW w:w="3840" w:type="dxa"/>
            <w:vAlign w:val="bottom"/>
          </w:tcPr>
          <w:p>
            <w:pPr>
              <w:spacing w:after="0"/>
              <w:rPr>
                <w:sz w:val="20"/>
                <w:szCs w:val="20"/>
                <w:color w:val="auto"/>
              </w:rPr>
            </w:pPr>
            <w:r>
              <w:rPr>
                <w:rFonts w:ascii="Arial" w:cs="Arial" w:eastAsia="Arial" w:hAnsi="Arial"/>
                <w:sz w:val="18"/>
                <w:szCs w:val="18"/>
                <w:color w:val="auto"/>
              </w:rPr>
              <w:t>Dated: February 9, 2018</w:t>
            </w:r>
          </w:p>
        </w:tc>
        <w:tc>
          <w:tcPr>
            <w:tcW w:w="7580" w:type="dxa"/>
            <w:vAlign w:val="bottom"/>
            <w:gridSpan w:val="2"/>
          </w:tcPr>
          <w:p>
            <w:pPr>
              <w:ind w:left="2060"/>
              <w:spacing w:after="0"/>
              <w:rPr>
                <w:sz w:val="20"/>
                <w:szCs w:val="20"/>
                <w:color w:val="auto"/>
              </w:rPr>
            </w:pPr>
            <w:r>
              <w:rPr>
                <w:rFonts w:ascii="Arial" w:cs="Arial" w:eastAsia="Arial" w:hAnsi="Arial"/>
                <w:sz w:val="18"/>
                <w:szCs w:val="18"/>
                <w:color w:val="auto"/>
              </w:rPr>
              <w:t>By:  /s/ Kim Sinatra</w:t>
            </w:r>
          </w:p>
        </w:tc>
      </w:tr>
      <w:tr>
        <w:trPr>
          <w:trHeight w:val="182"/>
        </w:trPr>
        <w:tc>
          <w:tcPr>
            <w:tcW w:w="3840" w:type="dxa"/>
            <w:vAlign w:val="bottom"/>
          </w:tcPr>
          <w:p>
            <w:pPr>
              <w:spacing w:after="0"/>
              <w:rPr>
                <w:sz w:val="15"/>
                <w:szCs w:val="15"/>
                <w:color w:val="auto"/>
              </w:rPr>
            </w:pPr>
          </w:p>
        </w:tc>
        <w:tc>
          <w:tcPr>
            <w:tcW w:w="2340" w:type="dxa"/>
            <w:vAlign w:val="bottom"/>
          </w:tcPr>
          <w:p>
            <w:pPr>
              <w:ind w:left="2060"/>
              <w:spacing w:after="0" w:line="182" w:lineRule="exact"/>
              <w:rPr>
                <w:sz w:val="20"/>
                <w:szCs w:val="20"/>
                <w:color w:val="auto"/>
              </w:rPr>
            </w:pPr>
            <w:r>
              <w:rPr>
                <w:rFonts w:ascii="Arial" w:cs="Arial" w:eastAsia="Arial" w:hAnsi="Arial"/>
                <w:sz w:val="18"/>
                <w:szCs w:val="18"/>
                <w:color w:val="auto"/>
                <w:w w:val="83"/>
              </w:rPr>
              <w:t>Kim</w:t>
            </w:r>
          </w:p>
        </w:tc>
        <w:tc>
          <w:tcPr>
            <w:tcW w:w="5240" w:type="dxa"/>
            <w:vAlign w:val="bottom"/>
            <w:tcBorders>
              <w:top w:val="single" w:sz="8" w:color="auto"/>
            </w:tcBorders>
          </w:tcPr>
          <w:p>
            <w:pPr>
              <w:ind w:left="100"/>
              <w:spacing w:after="0" w:line="182" w:lineRule="exact"/>
              <w:rPr>
                <w:sz w:val="20"/>
                <w:szCs w:val="20"/>
                <w:color w:val="auto"/>
              </w:rPr>
            </w:pPr>
            <w:r>
              <w:rPr>
                <w:rFonts w:ascii="Arial" w:cs="Arial" w:eastAsia="Arial" w:hAnsi="Arial"/>
                <w:sz w:val="18"/>
                <w:szCs w:val="18"/>
                <w:color w:val="auto"/>
              </w:rPr>
              <w:t>Sinatra</w:t>
            </w:r>
          </w:p>
        </w:tc>
      </w:tr>
      <w:tr>
        <w:trPr>
          <w:trHeight w:val="230"/>
        </w:trPr>
        <w:tc>
          <w:tcPr>
            <w:tcW w:w="3840" w:type="dxa"/>
            <w:vAlign w:val="bottom"/>
          </w:tcPr>
          <w:p>
            <w:pPr>
              <w:spacing w:after="0"/>
              <w:rPr>
                <w:sz w:val="20"/>
                <w:szCs w:val="20"/>
                <w:color w:val="auto"/>
              </w:rPr>
            </w:pPr>
          </w:p>
        </w:tc>
        <w:tc>
          <w:tcPr>
            <w:tcW w:w="7580" w:type="dxa"/>
            <w:vAlign w:val="bottom"/>
            <w:gridSpan w:val="2"/>
          </w:tcPr>
          <w:p>
            <w:pPr>
              <w:ind w:left="2060"/>
              <w:spacing w:after="0"/>
              <w:rPr>
                <w:sz w:val="20"/>
                <w:szCs w:val="20"/>
                <w:color w:val="auto"/>
              </w:rPr>
            </w:pPr>
            <w:r>
              <w:rPr>
                <w:rFonts w:ascii="Arial" w:cs="Arial" w:eastAsia="Arial" w:hAnsi="Arial"/>
                <w:sz w:val="18"/>
                <w:szCs w:val="18"/>
                <w:color w:val="auto"/>
              </w:rPr>
              <w:t>Executive Vice President and General Counsel</w:t>
            </w:r>
          </w:p>
        </w:tc>
      </w:tr>
    </w:tbl>
    <w:p>
      <w:pPr>
        <w:sectPr>
          <w:pgSz w:w="11900" w:h="16838" w:orient="portrait"/>
          <w:cols w:equalWidth="0" w:num="1">
            <w:col w:w="11420"/>
          </w:cols>
          <w:pgMar w:left="240" w:top="270"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00" w:type="dxa"/>
            <w:vAlign w:val="bottom"/>
            <w:gridSpan w:val="2"/>
          </w:tcPr>
          <w:p>
            <w:pPr>
              <w:spacing w:after="0"/>
              <w:rPr>
                <w:sz w:val="20"/>
                <w:szCs w:val="20"/>
                <w:color w:val="auto"/>
              </w:rPr>
            </w:pPr>
            <w:r>
              <w:rPr>
                <w:rFonts w:ascii="Arial" w:cs="Arial" w:eastAsia="Arial" w:hAnsi="Arial"/>
                <w:sz w:val="18"/>
                <w:szCs w:val="18"/>
                <w:color w:val="auto"/>
              </w:rPr>
              <w:t>VIA EMAIL</w:t>
            </w:r>
          </w:p>
        </w:tc>
        <w:tc>
          <w:tcPr>
            <w:tcW w:w="3080" w:type="dxa"/>
            <w:vAlign w:val="bottom"/>
          </w:tcPr>
          <w:p>
            <w:pPr>
              <w:ind w:left="640"/>
              <w:spacing w:after="0"/>
              <w:rPr>
                <w:sz w:val="20"/>
                <w:szCs w:val="20"/>
                <w:color w:val="auto"/>
              </w:rPr>
            </w:pPr>
            <w:r>
              <w:rPr>
                <w:rFonts w:ascii="Arial" w:cs="Arial" w:eastAsia="Arial" w:hAnsi="Arial"/>
                <w:sz w:val="18"/>
                <w:szCs w:val="18"/>
                <w:color w:val="auto"/>
              </w:rPr>
              <w:t>February 9, 2018</w:t>
            </w:r>
          </w:p>
        </w:tc>
      </w:tr>
      <w:tr>
        <w:trPr>
          <w:trHeight w:val="20"/>
        </w:trPr>
        <w:tc>
          <w:tcPr>
            <w:tcW w:w="94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r>
        <w:trPr>
          <w:trHeight w:val="465"/>
        </w:trPr>
        <w:tc>
          <w:tcPr>
            <w:tcW w:w="2900" w:type="dxa"/>
            <w:vAlign w:val="bottom"/>
            <w:gridSpan w:val="2"/>
          </w:tcPr>
          <w:p>
            <w:pPr>
              <w:spacing w:after="0"/>
              <w:rPr>
                <w:sz w:val="20"/>
                <w:szCs w:val="20"/>
                <w:color w:val="auto"/>
              </w:rPr>
            </w:pPr>
            <w:r>
              <w:rPr>
                <w:rFonts w:ascii="Arial" w:cs="Arial" w:eastAsia="Arial" w:hAnsi="Arial"/>
                <w:sz w:val="18"/>
                <w:szCs w:val="18"/>
                <w:color w:val="auto"/>
              </w:rPr>
              <w:t>GREENBERG TRAURIG</w:t>
            </w:r>
          </w:p>
        </w:tc>
        <w:tc>
          <w:tcPr>
            <w:tcW w:w="3080" w:type="dxa"/>
            <w:vAlign w:val="bottom"/>
          </w:tcPr>
          <w:p>
            <w:pPr>
              <w:ind w:left="1120"/>
              <w:spacing w:after="0"/>
              <w:rPr>
                <w:sz w:val="20"/>
                <w:szCs w:val="20"/>
                <w:color w:val="auto"/>
              </w:rPr>
            </w:pPr>
            <w:r>
              <w:rPr>
                <w:rFonts w:ascii="Arial" w:cs="Arial" w:eastAsia="Arial" w:hAnsi="Arial"/>
                <w:sz w:val="18"/>
                <w:szCs w:val="18"/>
                <w:color w:val="auto"/>
              </w:rPr>
              <w:t>SIDLEY AUSTIN, LLP</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Mark E. Ferrario, Esq.</w:t>
            </w:r>
          </w:p>
        </w:tc>
        <w:tc>
          <w:tcPr>
            <w:tcW w:w="3080" w:type="dxa"/>
            <w:vAlign w:val="bottom"/>
          </w:tcPr>
          <w:p>
            <w:pPr>
              <w:ind w:left="1120"/>
              <w:spacing w:after="0"/>
              <w:rPr>
                <w:sz w:val="20"/>
                <w:szCs w:val="20"/>
                <w:color w:val="auto"/>
              </w:rPr>
            </w:pPr>
            <w:r>
              <w:rPr>
                <w:rFonts w:ascii="Arial" w:cs="Arial" w:eastAsia="Arial" w:hAnsi="Arial"/>
                <w:sz w:val="18"/>
                <w:szCs w:val="18"/>
                <w:color w:val="auto"/>
              </w:rPr>
              <w:t>James M. Cole, Esq.</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3773 Howard Hughes Parkway</w:t>
            </w:r>
          </w:p>
        </w:tc>
        <w:tc>
          <w:tcPr>
            <w:tcW w:w="3080" w:type="dxa"/>
            <w:vAlign w:val="bottom"/>
          </w:tcPr>
          <w:p>
            <w:pPr>
              <w:ind w:left="1120"/>
              <w:spacing w:after="0"/>
              <w:rPr>
                <w:sz w:val="20"/>
                <w:szCs w:val="20"/>
                <w:color w:val="auto"/>
              </w:rPr>
            </w:pPr>
            <w:r>
              <w:rPr>
                <w:rFonts w:ascii="Arial" w:cs="Arial" w:eastAsia="Arial" w:hAnsi="Arial"/>
                <w:sz w:val="18"/>
                <w:szCs w:val="18"/>
                <w:color w:val="auto"/>
              </w:rPr>
              <w:t>Scott D. Stein, Esq.</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Suite 400 North</w:t>
            </w:r>
          </w:p>
        </w:tc>
        <w:tc>
          <w:tcPr>
            <w:tcW w:w="3080" w:type="dxa"/>
            <w:vAlign w:val="bottom"/>
          </w:tcPr>
          <w:p>
            <w:pPr>
              <w:ind w:left="1120"/>
              <w:spacing w:after="0"/>
              <w:rPr>
                <w:sz w:val="20"/>
                <w:szCs w:val="20"/>
                <w:color w:val="auto"/>
              </w:rPr>
            </w:pPr>
            <w:r>
              <w:rPr>
                <w:rFonts w:ascii="Arial" w:cs="Arial" w:eastAsia="Arial" w:hAnsi="Arial"/>
                <w:sz w:val="18"/>
                <w:szCs w:val="18"/>
                <w:color w:val="auto"/>
                <w:w w:val="88"/>
              </w:rPr>
              <w:t>One South Dearborn Street</w:t>
            </w:r>
          </w:p>
        </w:tc>
      </w:tr>
      <w:tr>
        <w:trPr>
          <w:trHeight w:val="230"/>
        </w:trPr>
        <w:tc>
          <w:tcPr>
            <w:tcW w:w="2900" w:type="dxa"/>
            <w:vAlign w:val="bottom"/>
            <w:gridSpan w:val="2"/>
          </w:tcPr>
          <w:p>
            <w:pPr>
              <w:spacing w:after="0"/>
              <w:rPr>
                <w:sz w:val="20"/>
                <w:szCs w:val="20"/>
                <w:color w:val="auto"/>
              </w:rPr>
            </w:pPr>
            <w:r>
              <w:rPr>
                <w:rFonts w:ascii="Arial" w:cs="Arial" w:eastAsia="Arial" w:hAnsi="Arial"/>
                <w:sz w:val="18"/>
                <w:szCs w:val="18"/>
                <w:color w:val="auto"/>
              </w:rPr>
              <w:t>Las Vegas, Nevada 89169</w:t>
            </w:r>
          </w:p>
        </w:tc>
        <w:tc>
          <w:tcPr>
            <w:tcW w:w="3080" w:type="dxa"/>
            <w:vAlign w:val="bottom"/>
          </w:tcPr>
          <w:p>
            <w:pPr>
              <w:ind w:left="1120"/>
              <w:spacing w:after="0"/>
              <w:rPr>
                <w:sz w:val="20"/>
                <w:szCs w:val="20"/>
                <w:color w:val="auto"/>
              </w:rPr>
            </w:pPr>
            <w:r>
              <w:rPr>
                <w:rFonts w:ascii="Arial" w:cs="Arial" w:eastAsia="Arial" w:hAnsi="Arial"/>
                <w:sz w:val="18"/>
                <w:szCs w:val="18"/>
                <w:color w:val="auto"/>
              </w:rPr>
              <w:t>Chicago, IL 60603</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JOLLEY URGA WOODBURY LITTLE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William R. Urga, Esq.</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David J. Malley, Esq.</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330 South Rampart Blvd., #380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89145</w:t>
      </w:r>
    </w:p>
    <w:p>
      <w:pPr>
        <w:spacing w:after="0" w:line="116"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i w:val="1"/>
          <w:iCs w:val="1"/>
          <w:color w:val="auto"/>
        </w:rPr>
        <w:t>Wynn Resorts, Limited vs. Kazuo Okada, et al., Case No. A-12-656710-B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Counsel:</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As you now know, Stephen A. Wynn (“Mr. Wynn”) has resigned as the Chief Executive Officer and Chairman of the Board of Wynn Resorts, Limited and Wynn Macau, Limited effective February 6, 2018. As you also know, Elaine P. Wynn (“Ms. Wynn”) has asserted multiple claims against Mr. Wynn in the above-referenced litigation seeking a judicial declaration that the Amended and Restated Stockholders Agreement dated January 6, 2010 (the “2010 Stockholders Agreement”) “is invalid and unenforceable as a matter of law.” </w:t>
      </w:r>
      <w:r>
        <w:rPr>
          <w:rFonts w:ascii="Arial" w:cs="Arial" w:eastAsia="Arial" w:hAnsi="Arial"/>
          <w:sz w:val="18"/>
          <w:szCs w:val="18"/>
          <w:i w:val="1"/>
          <w:iCs w:val="1"/>
          <w:color w:val="auto"/>
        </w:rPr>
        <w:t>See</w:t>
      </w:r>
      <w:r>
        <w:rPr>
          <w:rFonts w:ascii="Arial" w:cs="Arial" w:eastAsia="Arial" w:hAnsi="Arial"/>
          <w:sz w:val="18"/>
          <w:szCs w:val="18"/>
          <w:color w:val="auto"/>
        </w:rPr>
        <w:t xml:space="preserve"> 6ACC ¶ 1. Each of the subject claims is premised on the allegation that “[a]n actual controversy exists among Mr. Wynn, Ms. Wynn and Aruze with respect to the validity and/or enforceability of the January 2010 Stockholders Agreement.” </w:t>
      </w:r>
      <w:r>
        <w:rPr>
          <w:rFonts w:ascii="Arial" w:cs="Arial" w:eastAsia="Arial" w:hAnsi="Arial"/>
          <w:sz w:val="18"/>
          <w:szCs w:val="18"/>
          <w:i w:val="1"/>
          <w:iCs w:val="1"/>
          <w:color w:val="auto"/>
        </w:rPr>
        <w:t>See</w:t>
      </w:r>
      <w:r>
        <w:rPr>
          <w:rFonts w:ascii="Arial" w:cs="Arial" w:eastAsia="Arial" w:hAnsi="Arial"/>
          <w:sz w:val="18"/>
          <w:szCs w:val="18"/>
          <w:color w:val="auto"/>
        </w:rPr>
        <w:t xml:space="preserve"> 6ACC ¶¶ 68, 76, 82, 87, 93, and 114 (Claims 1-5; 7).</w:t>
      </w:r>
    </w:p>
    <w:p>
      <w:pPr>
        <w:spacing w:after="0" w:line="193"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In light of the significant changed circumstances triggered by Mr. Wynn’s resignation, this letter hereby constitutes formal notice that Mr. Wynn no longer contests Ms. Wynn’s judicial admission that the 2010 Stockholders Agreement is invalid and unenforceable. Accordingly, while Mr. Wynn does not agree with Ms. Wynn’s bases for claiming the 2010 Stockholders Agreement is now invalid and unenforceable, he does agree that it no longer binds either party. As such, it is Mr. Wynn’s position that there is no longer a live controversy between the parties on this issue, and that Claims 1 through 5, 7, and 10 are now moot.</w:t>
      </w:r>
    </w:p>
    <w:p>
      <w:pPr>
        <w:spacing w:after="0" w:line="188"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Mr. Wynn plans to advise the Court of this development so that it may consider the same and streamline its preparation in advance of next week’s summary judgment hearings.</w:t>
      </w:r>
    </w:p>
    <w:p>
      <w:pPr>
        <w:spacing w:after="0" w:line="3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CAMPBELL &amp; WILLIAMS</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Donald J. Campbell, Esq.</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DJC:jyc</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2019-12-29T02:01:57Z</dcterms:created>
  <dcterms:modified xsi:type="dcterms:W3CDTF">2019-12-29T02:01:57Z</dcterms:modified>
</cp:coreProperties>
</file>