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5"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ind w:left="48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74" w:right="1440" w:bottom="68" w:gutter="0" w:footer="0" w:header="0"/>
        </w:sectPr>
      </w:pPr>
    </w:p>
    <w:p>
      <w:pPr>
        <w:spacing w:after="0" w:line="232" w:lineRule="exact"/>
        <w:rPr>
          <w:sz w:val="24"/>
          <w:szCs w:val="24"/>
          <w:color w:val="auto"/>
        </w:rPr>
      </w:pPr>
    </w:p>
    <w:p>
      <w:pPr>
        <w:ind w:left="4160"/>
        <w:spacing w:after="0"/>
        <w:rPr>
          <w:sz w:val="20"/>
          <w:szCs w:val="20"/>
          <w:color w:val="auto"/>
        </w:rPr>
      </w:pPr>
      <w:r>
        <w:rPr>
          <w:rFonts w:ascii="Arial" w:cs="Arial" w:eastAsia="Arial" w:hAnsi="Arial"/>
          <w:sz w:val="15"/>
          <w:szCs w:val="15"/>
          <w:color w:val="auto"/>
        </w:rPr>
        <w:t>Proxy Statement Pursuant to Section 14(a) of</w:t>
      </w:r>
    </w:p>
    <w:p>
      <w:pPr>
        <w:spacing w:after="0" w:line="45" w:lineRule="exact"/>
        <w:rPr>
          <w:sz w:val="24"/>
          <w:szCs w:val="24"/>
          <w:color w:val="auto"/>
        </w:rPr>
      </w:pPr>
    </w:p>
    <w:p>
      <w:pPr>
        <w:ind w:left="358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4"/>
          <w:szCs w:val="24"/>
          <w:color w:val="auto"/>
        </w:rPr>
      </w:pPr>
    </w:p>
    <w:p>
      <w:pPr>
        <w:sectPr>
          <w:pgSz w:w="11900" w:h="16838" w:orient="portrait"/>
          <w:cols w:equalWidth="0" w:num="2">
            <w:col w:w="7360" w:space="420"/>
            <w:col w:w="2439"/>
          </w:cols>
          <w:pgMar w:left="240" w:top="674" w:right="1440" w:bottom="68" w:gutter="0" w:footer="0" w:header="0"/>
          <w:type w:val="continuous"/>
        </w:sectPr>
      </w:pPr>
    </w:p>
    <w:p>
      <w:pPr>
        <w:spacing w:after="0" w:line="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Filed by the Registrant o</w:t>
      </w:r>
    </w:p>
    <w:p>
      <w:pPr>
        <w:spacing w:after="0" w:line="222" w:lineRule="exact"/>
        <w:rPr>
          <w:sz w:val="24"/>
          <w:szCs w:val="24"/>
          <w:color w:val="auto"/>
        </w:rPr>
      </w:pPr>
    </w:p>
    <w:p>
      <w:pPr>
        <w:ind w:left="116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84"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74" w:right="1440" w:bottom="68" w:gutter="0" w:footer="0" w:header="0"/>
          <w:type w:val="continuous"/>
        </w:sectPr>
      </w:pPr>
    </w:p>
    <w:p>
      <w:pPr>
        <w:spacing w:after="0" w:line="222" w:lineRule="exact"/>
        <w:rPr>
          <w:sz w:val="24"/>
          <w:szCs w:val="24"/>
          <w:color w:val="auto"/>
        </w:rPr>
      </w:pPr>
    </w:p>
    <w:p>
      <w:pPr>
        <w:ind w:left="1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00" w:lineRule="exact"/>
        <w:rPr>
          <w:sz w:val="24"/>
          <w:szCs w:val="24"/>
          <w:color w:val="auto"/>
        </w:rPr>
      </w:pPr>
    </w:p>
    <w:p>
      <w:pPr>
        <w:sectPr>
          <w:pgSz w:w="11900" w:h="16838" w:orient="portrait"/>
          <w:cols w:equalWidth="0" w:num="2">
            <w:col w:w="1300" w:space="240"/>
            <w:col w:w="8679"/>
          </w:cols>
          <w:pgMar w:left="240" w:top="674" w:right="1440" w:bottom="68" w:gutter="0" w:footer="0" w:header="0"/>
          <w:type w:val="continuous"/>
        </w:sectPr>
      </w:pPr>
    </w:p>
    <w:p>
      <w:pPr>
        <w:spacing w:after="0" w:line="78"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84"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78"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66"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200" w:lineRule="exact"/>
        <w:rPr>
          <w:sz w:val="24"/>
          <w:szCs w:val="24"/>
          <w:color w:val="auto"/>
        </w:rPr>
      </w:pP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(Name of Registrant as Specified In Its Charter)</w:t>
      </w:r>
    </w:p>
    <w:p>
      <w:pPr>
        <w:spacing w:after="0" w:line="24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-3314065</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-3019425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-2590800</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-2296160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-715010</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-421005</wp:posOffset>
            </wp:positionV>
            <wp:extent cx="5281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68"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Elaine P. Wynn</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 Wynn Resorts, Limited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3131 Las Vegas Boulevard South</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Las Vegas, NV 89109</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March</w:t>
        <w:tab/>
        <w:t>, 2015</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My Fellow Wynn Resorts, Limited Stockholders:</w:t>
      </w:r>
    </w:p>
    <w:p>
      <w:pPr>
        <w:spacing w:after="0" w:line="222" w:lineRule="exact"/>
        <w:rPr>
          <w:sz w:val="20"/>
          <w:szCs w:val="20"/>
          <w:color w:val="auto"/>
        </w:rPr>
      </w:pPr>
    </w:p>
    <w:p>
      <w:pPr>
        <w:ind w:firstLine="344"/>
        <w:spacing w:after="0" w:line="293" w:lineRule="auto"/>
        <w:rPr>
          <w:sz w:val="20"/>
          <w:szCs w:val="20"/>
          <w:color w:val="auto"/>
        </w:rPr>
      </w:pPr>
      <w:r>
        <w:rPr>
          <w:rFonts w:ascii="Arial" w:cs="Arial" w:eastAsia="Arial" w:hAnsi="Arial"/>
          <w:sz w:val="16"/>
          <w:szCs w:val="16"/>
          <w:color w:val="auto"/>
        </w:rPr>
        <w:t xml:space="preserve">I am furnishing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Wynn Resorts, Limited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my solicitation of proxies to be used at the Company's 2015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The Annual Meeting is scheduled to be held on Friday, April 24, 2015, at 9:00 a.m. local time, at the Encore Theater at Wynn Las Vegas, 3131 Las Vegas Boulevard South, Las Vegas, Nevada.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stockholders on or about March , 2015.</w:t>
      </w:r>
    </w:p>
    <w:p>
      <w:pPr>
        <w:spacing w:after="0" w:line="167" w:lineRule="exact"/>
        <w:rPr>
          <w:sz w:val="20"/>
          <w:szCs w:val="20"/>
          <w:color w:val="auto"/>
        </w:rPr>
      </w:pPr>
    </w:p>
    <w:p>
      <w:pPr>
        <w:ind w:right="40" w:firstLine="335"/>
        <w:spacing w:after="0" w:line="266" w:lineRule="auto"/>
        <w:rPr>
          <w:sz w:val="20"/>
          <w:szCs w:val="20"/>
          <w:color w:val="auto"/>
        </w:rPr>
      </w:pPr>
      <w:r>
        <w:rPr>
          <w:rFonts w:ascii="Arial" w:cs="Arial" w:eastAsia="Arial" w:hAnsi="Arial"/>
          <w:sz w:val="17"/>
          <w:szCs w:val="17"/>
          <w:color w:val="auto"/>
        </w:rPr>
        <w:t>At the Annual Meeting, I am seeking re-election to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 I am using this proxy statement to solicit proxies from holders of the Company's common stock, par value $0.01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xml:space="preserve">"), to vote for my re-election to the Board, and to vote on the other proposals identified in this proxy statement. As one of the Company's original founders and its third largest stockholder, I have a unique history with the Company and I represent a strong, independent voice on the Board. As a director, I am committed to acting in the best interests of all of the stockholders of the Company, and I urge you to vote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re-elect me to the Board.</w:t>
      </w:r>
    </w:p>
    <w:p>
      <w:pPr>
        <w:spacing w:after="0" w:line="18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Only stockholders of record at the close of business on March 5, 2015 (the "</w:t>
      </w:r>
      <w:r>
        <w:rPr>
          <w:rFonts w:ascii="Arial" w:cs="Arial" w:eastAsia="Arial" w:hAnsi="Arial"/>
          <w:sz w:val="17"/>
          <w:szCs w:val="17"/>
          <w:i w:val="1"/>
          <w:iCs w:val="1"/>
          <w:color w:val="auto"/>
        </w:rPr>
        <w:t>Record Date</w:t>
      </w:r>
      <w:r>
        <w:rPr>
          <w:rFonts w:ascii="Arial" w:cs="Arial" w:eastAsia="Arial" w:hAnsi="Arial"/>
          <w:sz w:val="17"/>
          <w:szCs w:val="17"/>
          <w:color w:val="auto"/>
        </w:rPr>
        <w:t>") are entitled to attend and vote at the Annual Meeting and any adjournments or postponements thereof. Stockholders of record at the close of business on the Record Date will be entitled to one vote at the Annual Meeting for each share of Common Stock held on the Record Date.</w:t>
      </w:r>
    </w:p>
    <w:p>
      <w:pPr>
        <w:spacing w:after="0" w:line="17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7"/>
          <w:szCs w:val="17"/>
          <w:color w:val="auto"/>
        </w:rPr>
        <w:t xml:space="preserve">Whether or not you plan to attend the Annual Meeting, I urge you to vote for my re-election to the Board by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postage-paid envelope, or by voting via the Internet or telephone. I URGE YOU </w:t>
      </w:r>
      <w:r>
        <w:rPr>
          <w:rFonts w:ascii="Arial" w:cs="Arial" w:eastAsia="Arial" w:hAnsi="Arial"/>
          <w:sz w:val="17"/>
          <w:szCs w:val="17"/>
          <w:i w:val="1"/>
          <w:iCs w:val="1"/>
          <w:color w:val="auto"/>
        </w:rPr>
        <w:t>NOT</w:t>
      </w:r>
      <w:r>
        <w:rPr>
          <w:rFonts w:ascii="Arial" w:cs="Arial" w:eastAsia="Arial" w:hAnsi="Arial"/>
          <w:sz w:val="17"/>
          <w:szCs w:val="17"/>
          <w:color w:val="auto"/>
        </w:rPr>
        <w:t xml:space="preserve"> TO RETURN ANY WHITE PROXY CARD SENT TO YOU BY THE COMPANY. Please note that if you submit a WHITE proxy card to </w:t>
      </w:r>
      <w:r>
        <w:rPr>
          <w:rFonts w:ascii="Arial" w:cs="Arial" w:eastAsia="Arial" w:hAnsi="Arial"/>
          <w:sz w:val="17"/>
          <w:szCs w:val="17"/>
          <w:b w:val="1"/>
          <w:bCs w:val="1"/>
          <w:i w:val="1"/>
          <w:iCs w:val="1"/>
          <w:color w:val="auto"/>
        </w:rPr>
        <w:t>WITHHOLD</w:t>
      </w:r>
      <w:r>
        <w:rPr>
          <w:rFonts w:ascii="Arial" w:cs="Arial" w:eastAsia="Arial" w:hAnsi="Arial"/>
          <w:sz w:val="17"/>
          <w:szCs w:val="17"/>
          <w:color w:val="auto"/>
        </w:rPr>
        <w:t xml:space="preserve"> your vote with respect to any of the Company's nominees, that submission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cause your shares to be counted as a vote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me, and will revoke any prior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you may have submitted. If you want to vote for me, use only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w:t>
      </w:r>
    </w:p>
    <w:p>
      <w:pPr>
        <w:spacing w:after="0" w:line="186" w:lineRule="exact"/>
        <w:rPr>
          <w:sz w:val="20"/>
          <w:szCs w:val="20"/>
          <w:color w:val="auto"/>
        </w:rPr>
      </w:pPr>
    </w:p>
    <w:p>
      <w:pPr>
        <w:ind w:right="220" w:firstLine="335"/>
        <w:spacing w:after="0" w:line="273" w:lineRule="auto"/>
        <w:rPr>
          <w:sz w:val="20"/>
          <w:szCs w:val="20"/>
          <w:color w:val="auto"/>
        </w:rPr>
      </w:pPr>
      <w:r>
        <w:rPr>
          <w:rFonts w:ascii="Arial" w:cs="Arial" w:eastAsia="Arial" w:hAnsi="Arial"/>
          <w:sz w:val="17"/>
          <w:szCs w:val="17"/>
          <w:color w:val="auto"/>
        </w:rPr>
        <w:t xml:space="preserve">Also, if you hold your shares of Common Stock through a brokerage firm or bank, only they can exercise voting rights with respect to your shares and only upon receipt of your specific instructions. Accordingly, it is critical that you promptly contact the person responsible for your account and give instructions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you have any questions or require any assistance in executing your proxy, please call my proxy solicitor, Okapi Partners LLC, at (877) 629-6355.</w:t>
      </w: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167005</wp:posOffset>
            </wp:positionV>
            <wp:extent cx="2480945" cy="386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094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2015 ANNUAL MEETING OF STOCKHOLDERS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Held on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150495</wp:posOffset>
            </wp:positionV>
            <wp:extent cx="1833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OF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149860</wp:posOffset>
            </wp:positionV>
            <wp:extent cx="18332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firstLine="344"/>
        <w:spacing w:after="0" w:line="268" w:lineRule="auto"/>
        <w:rPr>
          <w:sz w:val="20"/>
          <w:szCs w:val="20"/>
          <w:color w:val="auto"/>
        </w:rPr>
      </w:pPr>
      <w:r>
        <w:rPr>
          <w:rFonts w:ascii="Arial" w:cs="Arial" w:eastAsia="Arial" w:hAnsi="Arial"/>
          <w:sz w:val="17"/>
          <w:szCs w:val="17"/>
          <w:color w:val="auto"/>
        </w:rPr>
        <w:t xml:space="preserve">I am furnishing this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stockholders of Wynn Resorts, Limited (the "</w:t>
      </w:r>
      <w:r>
        <w:rPr>
          <w:rFonts w:ascii="Arial" w:cs="Arial" w:eastAsia="Arial" w:hAnsi="Arial"/>
          <w:sz w:val="17"/>
          <w:szCs w:val="17"/>
          <w:i w:val="1"/>
          <w:iCs w:val="1"/>
          <w:color w:val="auto"/>
        </w:rPr>
        <w:t>Company</w:t>
      </w:r>
      <w:r>
        <w:rPr>
          <w:rFonts w:ascii="Arial" w:cs="Arial" w:eastAsia="Arial" w:hAnsi="Arial"/>
          <w:sz w:val="17"/>
          <w:szCs w:val="17"/>
          <w:color w:val="auto"/>
        </w:rPr>
        <w:t>") in connection with my solicitation of proxies to be used at the Company's 2015 annual meeting of stockholders (the "</w:t>
      </w:r>
      <w:r>
        <w:rPr>
          <w:rFonts w:ascii="Arial" w:cs="Arial" w:eastAsia="Arial" w:hAnsi="Arial"/>
          <w:sz w:val="17"/>
          <w:szCs w:val="17"/>
          <w:i w:val="1"/>
          <w:iCs w:val="1"/>
          <w:color w:val="auto"/>
        </w:rPr>
        <w:t>Annual Meeting</w:t>
      </w:r>
      <w:r>
        <w:rPr>
          <w:rFonts w:ascii="Arial" w:cs="Arial" w:eastAsia="Arial" w:hAnsi="Arial"/>
          <w:sz w:val="17"/>
          <w:szCs w:val="17"/>
          <w:color w:val="auto"/>
        </w:rPr>
        <w:t>"). The Annual Meeting is scheduled to be held on Friday, April 24, 2015, at 9:00 a.m. local time, at the Encore Theater at Wynn Las Vegas, 3131 Las Vegas Boulevard South, Las Vegas, Nevada. Only stockholders of record at the close of business on March 5, 2015 (the "</w:t>
      </w:r>
      <w:r>
        <w:rPr>
          <w:rFonts w:ascii="Arial" w:cs="Arial" w:eastAsia="Arial" w:hAnsi="Arial"/>
          <w:sz w:val="17"/>
          <w:szCs w:val="17"/>
          <w:i w:val="1"/>
          <w:iCs w:val="1"/>
          <w:color w:val="auto"/>
        </w:rPr>
        <w:t>Record Date</w:t>
      </w:r>
      <w:r>
        <w:rPr>
          <w:rFonts w:ascii="Arial" w:cs="Arial" w:eastAsia="Arial" w:hAnsi="Arial"/>
          <w:sz w:val="17"/>
          <w:szCs w:val="17"/>
          <w:color w:val="auto"/>
        </w:rPr>
        <w:t>") are entitled to attend and vote at the Annual Meeting and any adjournments or postponements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am soliciting your proxy for the Annual Meeting (and any adjournments or postponements thereof) for the following purposes:</w:t>
      </w:r>
    </w:p>
    <w:p>
      <w:pPr>
        <w:spacing w:after="0" w:line="242" w:lineRule="exact"/>
        <w:rPr>
          <w:sz w:val="20"/>
          <w:szCs w:val="20"/>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vote FOR my re-election to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vote FOR the ratification of the appointment of Ernst &amp; Young LLP as the Company's independent public accountants for the fiscal year ending December 31, 2015;</w:t>
      </w:r>
    </w:p>
    <w:p>
      <w:pPr>
        <w:spacing w:after="0" w:line="181"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vote FOR a proposal to amend the Company's Second Amended and Restated Articles of Incorporation to provide the Company with additional flexibility in making distributions to its stockholders;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vote AGAINST a stockholder proposal asking the Company to provide a report regarding the Company's political contributions;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(and any adjournments or postponements thereof).</w:t>
      </w:r>
    </w:p>
    <w:p>
      <w:pPr>
        <w:spacing w:after="0" w:line="228"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 xml:space="preserve">I am not aware of any other matters to be brought before the Annual Meeting other than as set forth in this proxy statement. Should any other matters be brought before the Annual Meeting, the proxies identified in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the shares that they have been authorized to represent in accordance with their discretion. I am making this solicitation on behalf of myself, and not on behalf of the Board or management of the Company.</w:t>
      </w:r>
    </w:p>
    <w:p>
      <w:pPr>
        <w:spacing w:after="0" w:line="162" w:lineRule="exact"/>
        <w:rPr>
          <w:sz w:val="20"/>
          <w:szCs w:val="20"/>
          <w:color w:val="auto"/>
        </w:rPr>
      </w:pPr>
    </w:p>
    <w:p>
      <w:pPr>
        <w:ind w:right="200" w:firstLine="344"/>
        <w:spacing w:after="0" w:line="269" w:lineRule="auto"/>
        <w:rPr>
          <w:sz w:val="20"/>
          <w:szCs w:val="20"/>
          <w:color w:val="auto"/>
        </w:rPr>
      </w:pPr>
      <w:r>
        <w:rPr>
          <w:rFonts w:ascii="Arial" w:cs="Arial" w:eastAsia="Arial" w:hAnsi="Arial"/>
          <w:sz w:val="17"/>
          <w:szCs w:val="17"/>
          <w:color w:val="auto"/>
        </w:rPr>
        <w:t xml:space="preserve">I am not seeking the authority to vote for, and will not vote for, the election of John J. Hagenbuch as a director of the Company. Stockholders who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have the opportunity to vote for the other candidate nominated by the Company for the two seats on the Board that are up for election at the Annual Meeting. This gives stockholders who want to vote for me the ability to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vote for an additional candidate to fill the second seat.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For your information, the mailing address of the principal executive office of the Company is 3131 Las Vegas Boulevard South, Las Vegas, Nevada 89109.</w:t>
      </w:r>
    </w:p>
    <w:p>
      <w:pPr>
        <w:spacing w:after="0" w:line="33" w:lineRule="exact"/>
        <w:rPr>
          <w:sz w:val="20"/>
          <w:szCs w:val="20"/>
          <w:color w:val="auto"/>
        </w:rPr>
      </w:pPr>
    </w:p>
    <w:p>
      <w:pPr>
        <w:spacing w:after="0"/>
        <w:tabs>
          <w:tab w:leader="none" w:pos="4740" w:val="left"/>
        </w:tabs>
        <w:rPr>
          <w:sz w:val="20"/>
          <w:szCs w:val="20"/>
          <w:color w:val="auto"/>
        </w:rPr>
      </w:pPr>
      <w:r>
        <w:rPr>
          <w:rFonts w:ascii="Arial" w:cs="Arial" w:eastAsia="Arial" w:hAnsi="Arial"/>
          <w:sz w:val="17"/>
          <w:szCs w:val="17"/>
          <w:color w:val="auto"/>
        </w:rPr>
        <w:t>According to the Company, as of the Record Date, there were</w:t>
      </w:r>
      <w:r>
        <w:rPr>
          <w:sz w:val="20"/>
          <w:szCs w:val="20"/>
          <w:color w:val="auto"/>
        </w:rPr>
        <w:tab/>
      </w:r>
      <w:r>
        <w:rPr>
          <w:rFonts w:ascii="Arial" w:cs="Arial" w:eastAsia="Arial" w:hAnsi="Arial"/>
          <w:sz w:val="15"/>
          <w:szCs w:val="15"/>
          <w:color w:val="auto"/>
        </w:rPr>
        <w:t>shares of common stock outstanding. I am the beneficial owner of 9,539,077 of those shares.</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I URGE YOU TO 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FAVOR OF MY RE-ELECTION TO THE BOARD.</w:t>
      </w:r>
    </w:p>
    <w:p>
      <w:pPr>
        <w:spacing w:after="0" w:line="234" w:lineRule="exact"/>
        <w:rPr>
          <w:sz w:val="20"/>
          <w:szCs w:val="20"/>
          <w:color w:val="auto"/>
        </w:rPr>
      </w:pPr>
    </w:p>
    <w:p>
      <w:pPr>
        <w:ind w:right="460" w:firstLine="344"/>
        <w:spacing w:after="0" w:line="273" w:lineRule="auto"/>
        <w:rPr>
          <w:sz w:val="20"/>
          <w:szCs w:val="20"/>
          <w:color w:val="auto"/>
        </w:rPr>
      </w:pPr>
      <w:r>
        <w:rPr>
          <w:rFonts w:ascii="Arial" w:cs="Arial" w:eastAsia="Arial" w:hAnsi="Arial"/>
          <w:sz w:val="17"/>
          <w:szCs w:val="17"/>
          <w:color w:val="auto"/>
        </w:rPr>
        <w:t xml:space="preserve">I URGE YOU </w:t>
      </w:r>
      <w:r>
        <w:rPr>
          <w:rFonts w:ascii="Arial" w:cs="Arial" w:eastAsia="Arial" w:hAnsi="Arial"/>
          <w:sz w:val="17"/>
          <w:szCs w:val="17"/>
          <w:i w:val="1"/>
          <w:iCs w:val="1"/>
          <w:color w:val="auto"/>
        </w:rPr>
        <w:t>NOT</w:t>
      </w:r>
      <w:r>
        <w:rPr>
          <w:rFonts w:ascii="Arial" w:cs="Arial" w:eastAsia="Arial" w:hAnsi="Arial"/>
          <w:sz w:val="17"/>
          <w:szCs w:val="17"/>
          <w:color w:val="auto"/>
        </w:rPr>
        <w:t xml:space="preserve"> TO SIGN ANY WHITE PROXY CARD SENT TO YOU BY THE COMPANY. IF YOU HAVE ALREADY DONE SO, YOU MAY REVOKE YOUR PROXY BY DELIVERING A LATER-DATED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ENCLOSED POSTAGE-PREPAID ENVELOPE, BY EXECUTING A VOTE VIA THE INTERNET OR TELEPHONE, OR BY VOTING IN PERSON AT THE ANNUAL MEETING.</w:t>
      </w:r>
    </w:p>
    <w:p>
      <w:pPr>
        <w:spacing w:after="0" w:line="181" w:lineRule="exact"/>
        <w:rPr>
          <w:sz w:val="20"/>
          <w:szCs w:val="20"/>
          <w:color w:val="auto"/>
        </w:rPr>
      </w:pPr>
    </w:p>
    <w:p>
      <w:pPr>
        <w:ind w:right="340" w:firstLine="344"/>
        <w:spacing w:after="0" w:line="298" w:lineRule="auto"/>
        <w:rPr>
          <w:sz w:val="20"/>
          <w:szCs w:val="20"/>
          <w:color w:val="auto"/>
        </w:rPr>
      </w:pPr>
      <w:r>
        <w:rPr>
          <w:rFonts w:ascii="Arial" w:cs="Arial" w:eastAsia="Arial" w:hAnsi="Arial"/>
          <w:sz w:val="16"/>
          <w:szCs w:val="16"/>
          <w:color w:val="auto"/>
        </w:rPr>
        <w:t xml:space="preserve">IF YOU HOLD YOUR SHARES OF COMMON STOCK THROUGH A BROKERAGE FIRM OR BANK, ONLY THEY CAN EXERCISE VOTING RIGHTS WITH RESPECT TO YOUR SHARES AND ONLY UPON RECEIPT OF YOUR SPECIFIC INSTRUCTIONS. ACCORDINGLY, I URGE YOU TO PROMPTLY CONTACT THE PERSON RESPONSIBLE FOR YOUR ACCOUNT AND GIVE INSTRUCTIONS TO VOTE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Stockholder Meeting to Be Held on April 24, 2015</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This proxy statement and the GOLD proxy card are available at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https://okapivote.com/wynnresorts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IMPORTANT</w:t>
      </w:r>
    </w:p>
    <w:p>
      <w:pPr>
        <w:spacing w:after="0" w:line="228" w:lineRule="exact"/>
        <w:rPr>
          <w:sz w:val="20"/>
          <w:szCs w:val="20"/>
          <w:color w:val="auto"/>
        </w:rPr>
      </w:pPr>
    </w:p>
    <w:p>
      <w:pPr>
        <w:ind w:right="120" w:firstLine="344"/>
        <w:spacing w:after="0" w:line="294" w:lineRule="auto"/>
        <w:rPr>
          <w:sz w:val="20"/>
          <w:szCs w:val="20"/>
          <w:color w:val="auto"/>
        </w:rPr>
      </w:pPr>
      <w:r>
        <w:rPr>
          <w:rFonts w:ascii="Arial" w:cs="Arial" w:eastAsia="Arial" w:hAnsi="Arial"/>
          <w:sz w:val="17"/>
          <w:szCs w:val="17"/>
          <w:b w:val="1"/>
          <w:bCs w:val="1"/>
          <w:color w:val="auto"/>
        </w:rPr>
        <w:t>Your vote is important, no matter how many shares you own. I urge you to sign, date and return the enclosed GOLD proxy card today to vote FOR my re-election to the Board.</w:t>
      </w:r>
    </w:p>
    <w:p>
      <w:pPr>
        <w:spacing w:after="0" w:line="170" w:lineRule="exact"/>
        <w:rPr>
          <w:sz w:val="20"/>
          <w:szCs w:val="20"/>
          <w:color w:val="auto"/>
        </w:rPr>
      </w:pPr>
    </w:p>
    <w:p>
      <w:pPr>
        <w:ind w:left="1060" w:right="300" w:hanging="524"/>
        <w:spacing w:after="0" w:line="29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own name, please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vote by signing and dating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returning it in the enclosed postage-paid envelope today.</w:t>
      </w:r>
    </w:p>
    <w:p>
      <w:pPr>
        <w:spacing w:after="0" w:line="189" w:lineRule="exact"/>
        <w:rPr>
          <w:rFonts w:ascii="Arial" w:cs="Arial" w:eastAsia="Arial" w:hAnsi="Arial"/>
          <w:sz w:val="17"/>
          <w:szCs w:val="17"/>
          <w:color w:val="auto"/>
        </w:rPr>
      </w:pPr>
    </w:p>
    <w:p>
      <w:pPr>
        <w:ind w:left="1060" w:right="300" w:hanging="524"/>
        <w:spacing w:after="0" w:line="320"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If your shares are held through a brokerage firm or bank, you are considered the beneficial owner of the shares, and these proxy materials are being forwarded to you by your broker or bank. If you have received a </w:t>
      </w:r>
      <w:r>
        <w:rPr>
          <w:rFonts w:ascii="Arial" w:cs="Arial" w:eastAsia="Arial" w:hAnsi="Arial"/>
          <w:sz w:val="16"/>
          <w:szCs w:val="16"/>
          <w:b w:val="1"/>
          <w:bCs w:val="1"/>
          <w:color w:val="auto"/>
        </w:rPr>
        <w:t>GOLD</w:t>
      </w:r>
      <w:r>
        <w:rPr>
          <w:rFonts w:ascii="Arial" w:cs="Arial" w:eastAsia="Arial" w:hAnsi="Arial"/>
          <w:sz w:val="16"/>
          <w:szCs w:val="16"/>
          <w:color w:val="auto"/>
        </w:rPr>
        <w:t xml:space="preserve"> voting instruction form, you can vote in one of the following ways:</w:t>
      </w:r>
    </w:p>
    <w:p>
      <w:pPr>
        <w:spacing w:after="0" w:line="370" w:lineRule="exact"/>
        <w:rPr>
          <w:rFonts w:ascii="Arial" w:cs="Arial" w:eastAsia="Arial" w:hAnsi="Arial"/>
          <w:sz w:val="16"/>
          <w:szCs w:val="16"/>
          <w:color w:val="auto"/>
        </w:rPr>
      </w:pPr>
    </w:p>
    <w:p>
      <w:pPr>
        <w:ind w:left="1600" w:hanging="535"/>
        <w:spacing w:after="0"/>
        <w:tabs>
          <w:tab w:leader="none" w:pos="1600" w:val="left"/>
        </w:tabs>
        <w:numPr>
          <w:ilvl w:val="1"/>
          <w:numId w:val="4"/>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41" w:lineRule="exact"/>
        <w:rPr>
          <w:rFonts w:ascii="Arial" w:cs="Arial" w:eastAsia="Arial" w:hAnsi="Arial"/>
          <w:sz w:val="17"/>
          <w:szCs w:val="17"/>
          <w:color w:val="auto"/>
        </w:rPr>
      </w:pPr>
    </w:p>
    <w:p>
      <w:pPr>
        <w:ind w:left="1600" w:hanging="535"/>
        <w:spacing w:after="0"/>
        <w:tabs>
          <w:tab w:leader="none" w:pos="1600" w:val="left"/>
        </w:tabs>
        <w:numPr>
          <w:ilvl w:val="1"/>
          <w:numId w:val="4"/>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54" w:lineRule="exact"/>
        <w:rPr>
          <w:rFonts w:ascii="Arial" w:cs="Arial" w:eastAsia="Arial" w:hAnsi="Arial"/>
          <w:sz w:val="17"/>
          <w:szCs w:val="17"/>
          <w:color w:val="auto"/>
        </w:rPr>
      </w:pPr>
    </w:p>
    <w:p>
      <w:pPr>
        <w:ind w:left="1600" w:hanging="535"/>
        <w:spacing w:after="0"/>
        <w:tabs>
          <w:tab w:leader="none" w:pos="1600" w:val="left"/>
        </w:tabs>
        <w:numPr>
          <w:ilvl w:val="1"/>
          <w:numId w:val="4"/>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52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jc w:val="both"/>
        <w:ind w:right="320" w:firstLine="344"/>
        <w:spacing w:after="0" w:line="273" w:lineRule="auto"/>
        <w:rPr>
          <w:sz w:val="20"/>
          <w:szCs w:val="20"/>
          <w:color w:val="auto"/>
        </w:rPr>
      </w:pPr>
      <w:r>
        <w:rPr>
          <w:rFonts w:ascii="Arial" w:cs="Arial" w:eastAsia="Arial" w:hAnsi="Arial"/>
          <w:sz w:val="17"/>
          <w:szCs w:val="17"/>
          <w:color w:val="auto"/>
        </w:rPr>
        <w:t xml:space="preserve">Because only your latest dated proxy card will count, we urge you not to return any proxy card you receive from the Company. Even if you return a WHITE proxy card marked "WITHHOLD" as a protest, it will revoke any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you may have previously sent to us. Remember, you can vote for me only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So please make certain that the latest dated proxy card you return is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313295" cy="2056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205613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left="480"/>
        <w:spacing w:after="0" w:line="294" w:lineRule="auto"/>
        <w:rPr>
          <w:sz w:val="20"/>
          <w:szCs w:val="20"/>
          <w:color w:val="auto"/>
        </w:rPr>
      </w:pPr>
      <w:r>
        <w:rPr>
          <w:rFonts w:ascii="Arial" w:cs="Arial" w:eastAsia="Arial" w:hAnsi="Arial"/>
          <w:sz w:val="17"/>
          <w:szCs w:val="17"/>
          <w:color w:val="auto"/>
        </w:rPr>
        <w:t xml:space="preserve">If you have any questions, require assistance in voting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need additional copies of my proxy materials, please contact Okapi Partners LLC at the telephone number or email address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437 Madison Avenue,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jc w:val="center"/>
        <w:ind w:left="360"/>
        <w:spacing w:after="0"/>
        <w:rPr>
          <w:sz w:val="20"/>
          <w:szCs w:val="20"/>
          <w:color w:val="auto"/>
        </w:rPr>
      </w:pPr>
      <w:r>
        <w:rPr>
          <w:rFonts w:ascii="Arial" w:cs="Arial" w:eastAsia="Arial" w:hAnsi="Arial"/>
          <w:sz w:val="17"/>
          <w:szCs w:val="17"/>
          <w:color w:val="auto"/>
        </w:rPr>
        <w:t>New York, New York 10022</w:t>
      </w:r>
    </w:p>
    <w:p>
      <w:pPr>
        <w:spacing w:after="0" w:line="214"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Stockholders Call Toll-Free at: (877) 629-6355</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9400" w:type="dxa"/>
            <w:vAlign w:val="bottom"/>
            <w:gridSpan w:val="13"/>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gridSpan w:val="5"/>
          </w:tcPr>
          <w:p>
            <w:pPr>
              <w:ind w:left="8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8240" w:type="dxa"/>
            <w:vAlign w:val="bottom"/>
            <w:gridSpan w:val="12"/>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Reasons for the Solicitation and Information About Elaine P. Wynn</w:t>
              </w:r>
            </w:hyperlink>
          </w:p>
        </w:tc>
        <w:tc>
          <w:tcPr>
            <w:tcW w:w="880" w:type="dxa"/>
            <w:vAlign w:val="bottom"/>
            <w:gridSpan w:val="5"/>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1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2260" w:type="dxa"/>
            <w:vAlign w:val="bottom"/>
            <w:gridSpan w:val="5"/>
          </w:tcPr>
          <w:p>
            <w:pPr>
              <w:spacing w:after="0"/>
              <w:rPr>
                <w:rFonts w:ascii="Arial" w:cs="Arial" w:eastAsia="Arial" w:hAnsi="Arial"/>
                <w:sz w:val="17"/>
                <w:szCs w:val="17"/>
                <w:color w:val="0000EE"/>
                <w:w w:val="92"/>
              </w:rPr>
            </w:pPr>
            <w:hyperlink w:anchor="page9">
              <w:r>
                <w:rPr>
                  <w:rFonts w:ascii="Arial" w:cs="Arial" w:eastAsia="Arial" w:hAnsi="Arial"/>
                  <w:sz w:val="17"/>
                  <w:szCs w:val="17"/>
                  <w:color w:val="0000EE"/>
                  <w:w w:val="92"/>
                </w:rPr>
                <w:t>Proposal 1: Election of Directors</w:t>
              </w:r>
            </w:hyperlink>
          </w:p>
        </w:tc>
        <w:tc>
          <w:tcPr>
            <w:tcW w:w="2360" w:type="dxa"/>
            <w:vAlign w:val="bottom"/>
            <w:gridSpan w:val="4"/>
          </w:tcPr>
          <w:p>
            <w:pPr>
              <w:spacing w:after="0"/>
              <w:rPr>
                <w:sz w:val="24"/>
                <w:szCs w:val="24"/>
                <w:color w:val="auto"/>
              </w:rPr>
            </w:pPr>
          </w:p>
        </w:tc>
        <w:tc>
          <w:tcPr>
            <w:tcW w:w="3620" w:type="dxa"/>
            <w:vAlign w:val="bottom"/>
            <w:gridSpan w:val="3"/>
          </w:tcPr>
          <w:p>
            <w:pPr>
              <w:spacing w:after="0"/>
              <w:rPr>
                <w:sz w:val="24"/>
                <w:szCs w:val="24"/>
                <w:color w:val="auto"/>
              </w:rPr>
            </w:pPr>
          </w:p>
        </w:tc>
        <w:tc>
          <w:tcPr>
            <w:tcW w:w="880" w:type="dxa"/>
            <w:vAlign w:val="bottom"/>
            <w:gridSpan w:val="5"/>
          </w:tcPr>
          <w:p>
            <w:pPr>
              <w:jc w:val="right"/>
              <w:spacing w:after="0"/>
              <w:rPr>
                <w:rFonts w:ascii="Arial" w:cs="Arial" w:eastAsia="Arial" w:hAnsi="Arial"/>
                <w:sz w:val="17"/>
                <w:szCs w:val="17"/>
                <w:color w:val="0000EE"/>
              </w:rPr>
            </w:pPr>
            <w:hyperlink w:anchor="page9">
              <w:r>
                <w:rPr>
                  <w:rFonts w:ascii="Arial" w:cs="Arial" w:eastAsia="Arial" w:hAnsi="Arial"/>
                  <w:sz w:val="17"/>
                  <w:szCs w:val="17"/>
                  <w:color w:val="0000EE"/>
                </w:rPr>
                <w:t>4</w:t>
              </w:r>
            </w:hyperlink>
          </w:p>
        </w:tc>
        <w:tc>
          <w:tcPr>
            <w:tcW w:w="1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240" w:type="dxa"/>
            <w:vAlign w:val="bottom"/>
            <w:gridSpan w:val="12"/>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Proposal 2: Ratification of Appointment of Independent Auditors</w:t>
              </w:r>
            </w:hyperlink>
          </w:p>
        </w:tc>
        <w:tc>
          <w:tcPr>
            <w:tcW w:w="880" w:type="dxa"/>
            <w:vAlign w:val="bottom"/>
            <w:gridSpan w:val="5"/>
          </w:tcPr>
          <w:p>
            <w:pPr>
              <w:jc w:val="right"/>
              <w:spacing w:after="0"/>
              <w:rPr>
                <w:rFonts w:ascii="Arial" w:cs="Arial" w:eastAsia="Arial" w:hAnsi="Arial"/>
                <w:sz w:val="17"/>
                <w:szCs w:val="17"/>
                <w:color w:val="0000EE"/>
              </w:rPr>
            </w:pPr>
            <w:hyperlink w:anchor="page11">
              <w:r>
                <w:rPr>
                  <w:rFonts w:ascii="Arial" w:cs="Arial" w:eastAsia="Arial" w:hAnsi="Arial"/>
                  <w:sz w:val="17"/>
                  <w:szCs w:val="17"/>
                  <w:color w:val="0000EE"/>
                </w:rPr>
                <w:t>6</w:t>
              </w:r>
            </w:hyperlink>
          </w:p>
        </w:tc>
        <w:tc>
          <w:tcPr>
            <w:tcW w:w="1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3140" w:type="dxa"/>
            <w:vAlign w:val="bottom"/>
            <w:gridSpan w:val="6"/>
          </w:tcPr>
          <w:p>
            <w:pPr>
              <w:spacing w:after="0"/>
              <w:rPr>
                <w:rFonts w:ascii="Arial" w:cs="Arial" w:eastAsia="Arial" w:hAnsi="Arial"/>
                <w:sz w:val="17"/>
                <w:szCs w:val="17"/>
                <w:color w:val="0000EE"/>
                <w:w w:val="93"/>
              </w:rPr>
            </w:pPr>
            <w:hyperlink w:anchor="page12">
              <w:r>
                <w:rPr>
                  <w:rFonts w:ascii="Arial" w:cs="Arial" w:eastAsia="Arial" w:hAnsi="Arial"/>
                  <w:sz w:val="17"/>
                  <w:szCs w:val="17"/>
                  <w:color w:val="0000EE"/>
                  <w:w w:val="93"/>
                </w:rPr>
                <w:t>Proposal 3: Approval of Articles Amendment</w:t>
              </w:r>
            </w:hyperlink>
          </w:p>
        </w:tc>
        <w:tc>
          <w:tcPr>
            <w:tcW w:w="1340" w:type="dxa"/>
            <w:vAlign w:val="bottom"/>
            <w:gridSpan w:val="2"/>
          </w:tcPr>
          <w:p>
            <w:pPr>
              <w:spacing w:after="0"/>
              <w:rPr>
                <w:sz w:val="24"/>
                <w:szCs w:val="24"/>
                <w:color w:val="auto"/>
              </w:rPr>
            </w:pPr>
          </w:p>
        </w:tc>
        <w:tc>
          <w:tcPr>
            <w:tcW w:w="3760" w:type="dxa"/>
            <w:vAlign w:val="bottom"/>
            <w:gridSpan w:val="4"/>
          </w:tcPr>
          <w:p>
            <w:pPr>
              <w:spacing w:after="0"/>
              <w:rPr>
                <w:sz w:val="24"/>
                <w:szCs w:val="24"/>
                <w:color w:val="auto"/>
              </w:rPr>
            </w:pPr>
          </w:p>
        </w:tc>
        <w:tc>
          <w:tcPr>
            <w:tcW w:w="880" w:type="dxa"/>
            <w:vAlign w:val="bottom"/>
            <w:gridSpan w:val="5"/>
          </w:tcPr>
          <w:p>
            <w:pPr>
              <w:jc w:val="right"/>
              <w:spacing w:after="0"/>
              <w:rPr>
                <w:rFonts w:ascii="Arial" w:cs="Arial" w:eastAsia="Arial" w:hAnsi="Arial"/>
                <w:sz w:val="17"/>
                <w:szCs w:val="17"/>
                <w:color w:val="0000EE"/>
              </w:rPr>
            </w:pPr>
            <w:hyperlink w:anchor="page12">
              <w:r>
                <w:rPr>
                  <w:rFonts w:ascii="Arial" w:cs="Arial" w:eastAsia="Arial" w:hAnsi="Arial"/>
                  <w:sz w:val="17"/>
                  <w:szCs w:val="17"/>
                  <w:color w:val="0000EE"/>
                </w:rPr>
                <w:t>7</w:t>
              </w:r>
            </w:hyperlink>
          </w:p>
        </w:tc>
        <w:tc>
          <w:tcPr>
            <w:tcW w:w="1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240" w:type="dxa"/>
            <w:vAlign w:val="bottom"/>
            <w:gridSpan w:val="12"/>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Proposal 4: Stockholder Proposal Regarding a Political Contributions Report</w:t>
              </w:r>
            </w:hyperlink>
          </w:p>
        </w:tc>
        <w:tc>
          <w:tcPr>
            <w:tcW w:w="880" w:type="dxa"/>
            <w:vAlign w:val="bottom"/>
            <w:gridSpan w:val="5"/>
          </w:tcPr>
          <w:p>
            <w:pPr>
              <w:jc w:val="right"/>
              <w:spacing w:after="0"/>
              <w:rPr>
                <w:rFonts w:ascii="Arial" w:cs="Arial" w:eastAsia="Arial" w:hAnsi="Arial"/>
                <w:sz w:val="17"/>
                <w:szCs w:val="17"/>
                <w:color w:val="0000EE"/>
              </w:rPr>
            </w:pPr>
            <w:hyperlink w:anchor="page14">
              <w:r>
                <w:rPr>
                  <w:rFonts w:ascii="Arial" w:cs="Arial" w:eastAsia="Arial" w:hAnsi="Arial"/>
                  <w:sz w:val="17"/>
                  <w:szCs w:val="17"/>
                  <w:color w:val="0000EE"/>
                </w:rPr>
                <w:t>9</w:t>
              </w:r>
            </w:hyperlink>
          </w:p>
        </w:tc>
        <w:tc>
          <w:tcPr>
            <w:tcW w:w="1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1260" w:type="dxa"/>
            <w:vAlign w:val="bottom"/>
            <w:tcBorders>
              <w:bottom w:val="single" w:sz="8" w:color="0000EE"/>
            </w:tcBorders>
            <w:gridSpan w:val="2"/>
          </w:tcPr>
          <w:p>
            <w:pPr>
              <w:spacing w:after="0"/>
              <w:rPr>
                <w:rFonts w:ascii="Arial" w:cs="Arial" w:eastAsia="Arial" w:hAnsi="Arial"/>
                <w:sz w:val="17"/>
                <w:szCs w:val="17"/>
                <w:color w:val="0000EE"/>
                <w:w w:val="88"/>
              </w:rPr>
            </w:pPr>
            <w:hyperlink w:anchor="page17">
              <w:r>
                <w:rPr>
                  <w:rFonts w:ascii="Arial" w:cs="Arial" w:eastAsia="Arial" w:hAnsi="Arial"/>
                  <w:sz w:val="17"/>
                  <w:szCs w:val="17"/>
                  <w:color w:val="0000EE"/>
                  <w:w w:val="88"/>
                </w:rPr>
                <w:t>Voting Procedures</w:t>
              </w:r>
            </w:hyperlink>
          </w:p>
        </w:tc>
        <w:tc>
          <w:tcPr>
            <w:tcW w:w="4020" w:type="dxa"/>
            <w:vAlign w:val="bottom"/>
            <w:gridSpan w:val="8"/>
          </w:tcPr>
          <w:p>
            <w:pPr>
              <w:spacing w:after="0"/>
              <w:rPr>
                <w:sz w:val="24"/>
                <w:szCs w:val="24"/>
                <w:color w:val="auto"/>
              </w:rPr>
            </w:pPr>
          </w:p>
        </w:tc>
        <w:tc>
          <w:tcPr>
            <w:tcW w:w="2960" w:type="dxa"/>
            <w:vAlign w:val="bottom"/>
            <w:gridSpan w:val="2"/>
          </w:tcPr>
          <w:p>
            <w:pPr>
              <w:spacing w:after="0"/>
              <w:rPr>
                <w:sz w:val="24"/>
                <w:szCs w:val="24"/>
                <w:color w:val="auto"/>
              </w:rPr>
            </w:pPr>
          </w:p>
        </w:tc>
        <w:tc>
          <w:tcPr>
            <w:tcW w:w="7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17">
              <w:r>
                <w:rPr>
                  <w:rFonts w:ascii="Arial" w:cs="Arial" w:eastAsia="Arial" w:hAnsi="Arial"/>
                  <w:sz w:val="17"/>
                  <w:szCs w:val="17"/>
                  <w:color w:val="0000EE"/>
                  <w:w w:val="84"/>
                </w:rPr>
                <w:t>12</w:t>
              </w:r>
            </w:hyperlink>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54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19">
              <w:r>
                <w:rPr>
                  <w:rFonts w:ascii="Arial" w:cs="Arial" w:eastAsia="Arial" w:hAnsi="Arial"/>
                  <w:sz w:val="17"/>
                  <w:szCs w:val="17"/>
                  <w:color w:val="0000EE"/>
                  <w:w w:val="93"/>
                </w:rPr>
                <w:t>Solicitation of Proxies</w:t>
              </w:r>
            </w:hyperlink>
          </w:p>
        </w:tc>
        <w:tc>
          <w:tcPr>
            <w:tcW w:w="6700" w:type="dxa"/>
            <w:vAlign w:val="bottom"/>
            <w:gridSpan w:val="9"/>
          </w:tcPr>
          <w:p>
            <w:pPr>
              <w:spacing w:after="0"/>
              <w:rPr>
                <w:sz w:val="24"/>
                <w:szCs w:val="24"/>
                <w:color w:val="auto"/>
              </w:rPr>
            </w:pPr>
          </w:p>
        </w:tc>
        <w:tc>
          <w:tcPr>
            <w:tcW w:w="7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19">
              <w:r>
                <w:rPr>
                  <w:rFonts w:ascii="Arial" w:cs="Arial" w:eastAsia="Arial" w:hAnsi="Arial"/>
                  <w:sz w:val="17"/>
                  <w:szCs w:val="17"/>
                  <w:color w:val="0000EE"/>
                  <w:w w:val="84"/>
                </w:rPr>
                <w:t>14</w:t>
              </w:r>
            </w:hyperlink>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19">
              <w:r>
                <w:rPr>
                  <w:rFonts w:ascii="Arial" w:cs="Arial" w:eastAsia="Arial" w:hAnsi="Arial"/>
                  <w:sz w:val="17"/>
                  <w:szCs w:val="17"/>
                  <w:color w:val="0000EE"/>
                  <w:w w:val="96"/>
                </w:rPr>
                <w:t>Additional Information</w:t>
              </w:r>
            </w:hyperlink>
          </w:p>
        </w:tc>
        <w:tc>
          <w:tcPr>
            <w:tcW w:w="6640" w:type="dxa"/>
            <w:vAlign w:val="bottom"/>
            <w:gridSpan w:val="8"/>
          </w:tcPr>
          <w:p>
            <w:pPr>
              <w:spacing w:after="0"/>
              <w:rPr>
                <w:sz w:val="24"/>
                <w:szCs w:val="24"/>
                <w:color w:val="auto"/>
              </w:rPr>
            </w:pPr>
          </w:p>
        </w:tc>
        <w:tc>
          <w:tcPr>
            <w:tcW w:w="7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19">
              <w:r>
                <w:rPr>
                  <w:rFonts w:ascii="Arial" w:cs="Arial" w:eastAsia="Arial" w:hAnsi="Arial"/>
                  <w:sz w:val="17"/>
                  <w:szCs w:val="17"/>
                  <w:color w:val="0000EE"/>
                  <w:w w:val="84"/>
                </w:rPr>
                <w:t>14</w:t>
              </w:r>
            </w:hyperlink>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540" w:type="dxa"/>
            <w:vAlign w:val="bottom"/>
            <w:tcBorders>
              <w:bottom w:val="single" w:sz="8" w:color="0000EE"/>
            </w:tcBorders>
            <w:gridSpan w:val="7"/>
          </w:tcPr>
          <w:p>
            <w:pPr>
              <w:spacing w:after="0"/>
              <w:rPr>
                <w:rFonts w:ascii="Arial" w:cs="Arial" w:eastAsia="Arial" w:hAnsi="Arial"/>
                <w:sz w:val="17"/>
                <w:szCs w:val="17"/>
                <w:color w:val="0000EE"/>
                <w:w w:val="95"/>
              </w:rPr>
            </w:pPr>
            <w:hyperlink w:anchor="page20">
              <w:r>
                <w:rPr>
                  <w:rFonts w:ascii="Arial" w:cs="Arial" w:eastAsia="Arial" w:hAnsi="Arial"/>
                  <w:sz w:val="17"/>
                  <w:szCs w:val="17"/>
                  <w:color w:val="0000EE"/>
                  <w:w w:val="95"/>
                </w:rPr>
                <w:t>Annex A: Additional Information About Ms. Wynn</w:t>
              </w:r>
            </w:hyperlink>
          </w:p>
        </w:tc>
        <w:tc>
          <w:tcPr>
            <w:tcW w:w="470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7"/>
                <w:szCs w:val="17"/>
                <w:color w:val="0000EE"/>
                <w:w w:val="98"/>
              </w:rPr>
            </w:pPr>
            <w:hyperlink w:anchor="page20">
              <w:r>
                <w:rPr>
                  <w:rFonts w:ascii="Arial" w:cs="Arial" w:eastAsia="Arial" w:hAnsi="Arial"/>
                  <w:sz w:val="17"/>
                  <w:szCs w:val="17"/>
                  <w:color w:val="0000EE"/>
                  <w:w w:val="98"/>
                </w:rPr>
                <w:t>A-1</w:t>
              </w:r>
            </w:hyperlink>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240" w:type="dxa"/>
            <w:vAlign w:val="bottom"/>
            <w:gridSpan w:val="12"/>
          </w:tcPr>
          <w:p>
            <w:pPr>
              <w:spacing w:after="0"/>
              <w:rPr>
                <w:rFonts w:ascii="Arial" w:cs="Arial" w:eastAsia="Arial" w:hAnsi="Arial"/>
                <w:sz w:val="17"/>
                <w:szCs w:val="17"/>
                <w:color w:val="0000EE"/>
                <w:w w:val="99"/>
              </w:rPr>
            </w:pPr>
            <w:hyperlink w:anchor="page22">
              <w:r>
                <w:rPr>
                  <w:rFonts w:ascii="Arial" w:cs="Arial" w:eastAsia="Arial" w:hAnsi="Arial"/>
                  <w:sz w:val="17"/>
                  <w:szCs w:val="17"/>
                  <w:color w:val="0000EE"/>
                  <w:w w:val="99"/>
                </w:rPr>
                <w:t>Annex B: Beneficial Ownership in, and Transactions in Securities of, the Company During the Past Two Years</w:t>
              </w:r>
            </w:hyperlink>
          </w:p>
        </w:tc>
        <w:tc>
          <w:tcPr>
            <w:tcW w:w="600" w:type="dxa"/>
            <w:vAlign w:val="bottom"/>
          </w:tcPr>
          <w:p>
            <w:pPr>
              <w:spacing w:after="0"/>
              <w:rPr>
                <w:sz w:val="24"/>
                <w:szCs w:val="24"/>
                <w:color w:val="auto"/>
              </w:rPr>
            </w:pPr>
          </w:p>
        </w:tc>
        <w:tc>
          <w:tcPr>
            <w:tcW w:w="1420" w:type="dxa"/>
            <w:vAlign w:val="bottom"/>
            <w:gridSpan w:val="5"/>
          </w:tcPr>
          <w:p>
            <w:pPr>
              <w:jc w:val="right"/>
              <w:ind w:right="1140"/>
              <w:spacing w:after="0"/>
              <w:rPr>
                <w:rFonts w:ascii="Arial" w:cs="Arial" w:eastAsia="Arial" w:hAnsi="Arial"/>
                <w:sz w:val="17"/>
                <w:szCs w:val="17"/>
                <w:color w:val="0000EE"/>
                <w:w w:val="98"/>
              </w:rPr>
            </w:pPr>
            <w:hyperlink w:anchor="page22">
              <w:r>
                <w:rPr>
                  <w:rFonts w:ascii="Arial" w:cs="Arial" w:eastAsia="Arial" w:hAnsi="Arial"/>
                  <w:sz w:val="17"/>
                  <w:szCs w:val="17"/>
                  <w:color w:val="0000EE"/>
                  <w:w w:val="98"/>
                </w:rPr>
                <w:t>B-1</w:t>
              </w:r>
            </w:hyperlink>
          </w:p>
        </w:tc>
      </w:tr>
      <w:tr>
        <w:trPr>
          <w:trHeight w:val="136"/>
        </w:trPr>
        <w:tc>
          <w:tcPr>
            <w:tcW w:w="1160" w:type="dxa"/>
            <w:vAlign w:val="bottom"/>
            <w:tcBorders>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1200" w:type="dxa"/>
            <w:vAlign w:val="bottom"/>
            <w:tcBorders>
              <w:top w:val="single" w:sz="8" w:color="0000EE"/>
              <w:bottom w:val="single" w:sz="8" w:color="808080"/>
            </w:tcBorders>
          </w:tcPr>
          <w:p>
            <w:pPr>
              <w:spacing w:after="0"/>
              <w:rPr>
                <w:sz w:val="11"/>
                <w:szCs w:val="11"/>
                <w:color w:val="auto"/>
              </w:rPr>
            </w:pPr>
          </w:p>
        </w:tc>
        <w:tc>
          <w:tcPr>
            <w:tcW w:w="280" w:type="dxa"/>
            <w:vAlign w:val="bottom"/>
            <w:tcBorders>
              <w:top w:val="single" w:sz="8" w:color="0000EE"/>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660" w:type="dxa"/>
            <w:vAlign w:val="bottom"/>
            <w:tcBorders>
              <w:top w:val="single" w:sz="8" w:color="0000EE"/>
              <w:bottom w:val="single" w:sz="8" w:color="808080"/>
            </w:tcBorders>
          </w:tcPr>
          <w:p>
            <w:pPr>
              <w:spacing w:after="0"/>
              <w:rPr>
                <w:sz w:val="11"/>
                <w:szCs w:val="11"/>
                <w:color w:val="auto"/>
              </w:rPr>
            </w:pPr>
          </w:p>
        </w:tc>
        <w:tc>
          <w:tcPr>
            <w:tcW w:w="880" w:type="dxa"/>
            <w:vAlign w:val="bottom"/>
            <w:tcBorders>
              <w:top w:val="single" w:sz="8" w:color="0000EE"/>
              <w:bottom w:val="single" w:sz="8" w:color="808080"/>
            </w:tcBorders>
          </w:tcPr>
          <w:p>
            <w:pPr>
              <w:spacing w:after="0"/>
              <w:rPr>
                <w:sz w:val="11"/>
                <w:szCs w:val="11"/>
                <w:color w:val="auto"/>
              </w:rPr>
            </w:pPr>
          </w:p>
        </w:tc>
        <w:tc>
          <w:tcPr>
            <w:tcW w:w="400" w:type="dxa"/>
            <w:vAlign w:val="bottom"/>
            <w:tcBorders>
              <w:top w:val="single" w:sz="8" w:color="0000EE"/>
              <w:bottom w:val="single" w:sz="8" w:color="808080"/>
            </w:tcBorders>
          </w:tcPr>
          <w:p>
            <w:pPr>
              <w:spacing w:after="0"/>
              <w:rPr>
                <w:sz w:val="11"/>
                <w:szCs w:val="11"/>
                <w:color w:val="auto"/>
              </w:rPr>
            </w:pPr>
          </w:p>
        </w:tc>
        <w:tc>
          <w:tcPr>
            <w:tcW w:w="940" w:type="dxa"/>
            <w:vAlign w:val="bottom"/>
            <w:tcBorders>
              <w:top w:val="single" w:sz="8" w:color="0000EE"/>
              <w:bottom w:val="single" w:sz="8" w:color="808080"/>
            </w:tcBorders>
          </w:tcPr>
          <w:p>
            <w:pPr>
              <w:spacing w:after="0"/>
              <w:rPr>
                <w:sz w:val="11"/>
                <w:szCs w:val="11"/>
                <w:color w:val="auto"/>
              </w:rPr>
            </w:pPr>
          </w:p>
        </w:tc>
        <w:tc>
          <w:tcPr>
            <w:tcW w:w="140" w:type="dxa"/>
            <w:vAlign w:val="bottom"/>
            <w:tcBorders>
              <w:top w:val="single" w:sz="8" w:color="0000EE"/>
              <w:bottom w:val="single" w:sz="8" w:color="808080"/>
            </w:tcBorders>
          </w:tcPr>
          <w:p>
            <w:pPr>
              <w:spacing w:after="0"/>
              <w:rPr>
                <w:sz w:val="11"/>
                <w:szCs w:val="11"/>
                <w:color w:val="auto"/>
              </w:rPr>
            </w:pPr>
          </w:p>
        </w:tc>
        <w:tc>
          <w:tcPr>
            <w:tcW w:w="660" w:type="dxa"/>
            <w:vAlign w:val="bottom"/>
            <w:tcBorders>
              <w:top w:val="single" w:sz="8" w:color="0000EE"/>
              <w:bottom w:val="single" w:sz="8" w:color="808080"/>
            </w:tcBorders>
          </w:tcPr>
          <w:p>
            <w:pPr>
              <w:spacing w:after="0"/>
              <w:rPr>
                <w:sz w:val="11"/>
                <w:szCs w:val="11"/>
                <w:color w:val="auto"/>
              </w:rPr>
            </w:pPr>
          </w:p>
        </w:tc>
        <w:tc>
          <w:tcPr>
            <w:tcW w:w="2340" w:type="dxa"/>
            <w:vAlign w:val="bottom"/>
            <w:tcBorders>
              <w:top w:val="single" w:sz="8" w:color="0000EE"/>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0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REASONS FOR THE SOLICITATION AND INFORMATION ABOUT ELAINE P. WYNN</w:t>
      </w:r>
    </w:p>
    <w:p>
      <w:pPr>
        <w:spacing w:after="0" w:line="234" w:lineRule="exact"/>
        <w:rPr>
          <w:sz w:val="20"/>
          <w:szCs w:val="20"/>
          <w:color w:val="auto"/>
        </w:rPr>
      </w:pPr>
    </w:p>
    <w:p>
      <w:pPr>
        <w:ind w:right="520" w:firstLine="344"/>
        <w:spacing w:after="0" w:line="287" w:lineRule="auto"/>
        <w:rPr>
          <w:sz w:val="20"/>
          <w:szCs w:val="20"/>
          <w:color w:val="auto"/>
        </w:rPr>
      </w:pPr>
      <w:r>
        <w:rPr>
          <w:rFonts w:ascii="Arial" w:cs="Arial" w:eastAsia="Arial" w:hAnsi="Arial"/>
          <w:sz w:val="17"/>
          <w:szCs w:val="17"/>
          <w:color w:val="auto"/>
        </w:rPr>
        <w:t xml:space="preserve">I have served tirelessly on your behalf for the past 13 years as a director and co-founder of Wynn Resorts. The Board recently refused to re-nominate me, without merit, and I've decided to nominate myself. I urge you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 for my re-election to the Board.</w:t>
      </w:r>
    </w:p>
    <w:p>
      <w:pPr>
        <w:spacing w:after="0" w:line="168" w:lineRule="exact"/>
        <w:rPr>
          <w:sz w:val="20"/>
          <w:szCs w:val="20"/>
          <w:color w:val="auto"/>
        </w:rPr>
      </w:pPr>
    </w:p>
    <w:p>
      <w:pPr>
        <w:ind w:right="40" w:firstLine="344"/>
        <w:spacing w:after="0" w:line="263" w:lineRule="auto"/>
        <w:rPr>
          <w:sz w:val="20"/>
          <w:szCs w:val="20"/>
          <w:color w:val="auto"/>
        </w:rPr>
      </w:pPr>
      <w:r>
        <w:rPr>
          <w:rFonts w:ascii="Arial" w:cs="Arial" w:eastAsia="Arial" w:hAnsi="Arial"/>
          <w:sz w:val="17"/>
          <w:szCs w:val="17"/>
          <w:color w:val="auto"/>
        </w:rPr>
        <w:t>I have served on the Company's Board since its inception in 2002, and I've been an integral part of helping the Company grow into the successful global enterprise it is today. With more than forty years of gaming and hospitality experience, I was shocked and disappointed to learn that the Board decided not to re-nominate me as a director, and the reasons they chose to cite for doing it. Not only because of my long history of effective service to the Company, meaningful contributions to its strategy and the fact that I am its third-largest stockholder, but also because I am the last remaining woman on the Board. Fiduciary responsibilities aside, there will not be a single woman director if the Board succeeds in excluding me. I believe you should support my nomination because I bring a valuable, productive voice to the boardroom, one that is deeply vested in the Company's success. But it is also clear that this appalling lack of diversity would be highly inappropriate at any public company, and would be especially unacceptable at Wynn Resorts. We are a global consumer-oriented company that strives to appeal to both men and women and, as a result, it is vital that the views of 50% of the population be represented on the Board. The exclusion of any diverse voices from the Board is not just a symbolic misstep, it's bad business.</w:t>
      </w:r>
    </w:p>
    <w:p>
      <w:pPr>
        <w:spacing w:after="0" w:line="191" w:lineRule="exact"/>
        <w:rPr>
          <w:sz w:val="20"/>
          <w:szCs w:val="20"/>
          <w:color w:val="auto"/>
        </w:rPr>
      </w:pPr>
    </w:p>
    <w:p>
      <w:pPr>
        <w:ind w:right="20" w:firstLine="344"/>
        <w:spacing w:after="0" w:line="310" w:lineRule="auto"/>
        <w:rPr>
          <w:sz w:val="20"/>
          <w:szCs w:val="20"/>
          <w:color w:val="auto"/>
        </w:rPr>
      </w:pPr>
      <w:r>
        <w:rPr>
          <w:rFonts w:ascii="Arial" w:cs="Arial" w:eastAsia="Arial" w:hAnsi="Arial"/>
          <w:sz w:val="15"/>
          <w:szCs w:val="15"/>
          <w:color w:val="auto"/>
        </w:rPr>
        <w:t>No one else at the Company, other than the Chairman and CEO, is more knowledgeable about its history, its operations, its customers, or its award-winning staff. For me, board membership isn't some professional title; it's a labor of love to which I am whole-heartedly devoted and have the tenure to prove. As stated in the Company's prior proxy statements, my four decades of experience in the gaming and hospitality businesses have been valuable to the Board and important in the continued development of the Wynn brand. The same has been said for my philanthropic and community efforts, which have been important to the Board's strategic and brand vision. The Company's success has been one of my life's main passions, and I bring that attitude to my role as a Director each and every day.</w:t>
      </w:r>
    </w:p>
    <w:p>
      <w:pPr>
        <w:spacing w:after="0" w:line="157" w:lineRule="exact"/>
        <w:rPr>
          <w:sz w:val="20"/>
          <w:szCs w:val="20"/>
          <w:color w:val="auto"/>
        </w:rPr>
      </w:pPr>
    </w:p>
    <w:p>
      <w:pPr>
        <w:jc w:val="both"/>
        <w:ind w:right="440" w:firstLine="344"/>
        <w:spacing w:after="0" w:line="273" w:lineRule="auto"/>
        <w:rPr>
          <w:sz w:val="20"/>
          <w:szCs w:val="20"/>
          <w:color w:val="auto"/>
        </w:rPr>
      </w:pPr>
      <w:r>
        <w:rPr>
          <w:rFonts w:ascii="Arial" w:cs="Arial" w:eastAsia="Arial" w:hAnsi="Arial"/>
          <w:sz w:val="17"/>
          <w:szCs w:val="17"/>
          <w:color w:val="auto"/>
        </w:rPr>
        <w:t>I am also the third-largest stockholder of the Company, with more than 9.5 million shares, representing a 9.4% interest in the Company. It is clear that my interests are very much aligned with the interests of my fellow stockholders. I am keenly focused on viewing every Board action through the lens of generating overall stockholder value.</w:t>
      </w:r>
    </w:p>
    <w:p>
      <w:pPr>
        <w:spacing w:after="0" w:line="181"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My unique history with the Company has afforded me a strong, independent voice on the Board. While I value collegiality and am generally supportive of management efforts and initiatives, I am unafraid to question the actions of Company management. I do not simply toe the party line and instead hold our management team, including our Chairman and CEO, accountable to our stockholders. My willingness to offer a different perspective on Board issues can sometimes lead to disagreement with my fellow directors, but I believe providing a forum for differing views and robust discussions is the hallmark of a healthy board, particularly in an environment where a board's duty to act on behalf of all stockholders has come under such scrutiny and led to so many improvements in corporate governance policies. The Board's action to exclude a strong and knowledgeable voice may make for a more homogenous and compliant Board, but that result is not at all in the best interests of our stockholders.</w:t>
      </w:r>
    </w:p>
    <w:p>
      <w:pPr>
        <w:spacing w:after="0" w:line="190" w:lineRule="exact"/>
        <w:rPr>
          <w:sz w:val="20"/>
          <w:szCs w:val="20"/>
          <w:color w:val="auto"/>
        </w:rPr>
      </w:pPr>
    </w:p>
    <w:p>
      <w:pPr>
        <w:ind w:right="460" w:firstLine="341"/>
        <w:spacing w:after="0" w:line="287" w:lineRule="auto"/>
        <w:rPr>
          <w:sz w:val="20"/>
          <w:szCs w:val="20"/>
          <w:color w:val="auto"/>
        </w:rPr>
      </w:pPr>
      <w:r>
        <w:rPr>
          <w:rFonts w:ascii="Arial" w:cs="Arial" w:eastAsia="Arial" w:hAnsi="Arial"/>
          <w:sz w:val="17"/>
          <w:szCs w:val="17"/>
          <w:color w:val="auto"/>
        </w:rPr>
        <w:t>The Board has put forth a confusing and misleading set of reasons for excluding me from the boardroom, as set forth in the Company's Proxy Statement. I address here each one in turn:</w:t>
      </w:r>
    </w:p>
    <w:p>
      <w:pPr>
        <w:spacing w:after="0" w:line="168" w:lineRule="exact"/>
        <w:rPr>
          <w:sz w:val="20"/>
          <w:szCs w:val="20"/>
          <w:color w:val="auto"/>
        </w:rPr>
      </w:pPr>
    </w:p>
    <w:p>
      <w:pPr>
        <w:ind w:right="320" w:firstLine="344"/>
        <w:spacing w:after="0" w:line="273" w:lineRule="auto"/>
        <w:rPr>
          <w:sz w:val="20"/>
          <w:szCs w:val="20"/>
          <w:color w:val="auto"/>
        </w:rPr>
      </w:pPr>
      <w:r>
        <w:rPr>
          <w:rFonts w:ascii="Arial" w:cs="Arial" w:eastAsia="Arial" w:hAnsi="Arial"/>
          <w:sz w:val="17"/>
          <w:szCs w:val="17"/>
          <w:color w:val="auto"/>
        </w:rPr>
        <w:t>First, the Company's Proxy Statement states that the Nominating and Corporate Governance Committee has "concerns over actual or potential conflicts of interest" without specifying what those conflicts might be. The reason the Company's Proxy Statement does not identify any specific reasons is because there are none. Quite to the contrary, as I note above, there is a high degree of alignment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between me and our stockholders as a result of my substantial equity interest in the Company. With the exception of the Company's Chairman, I am the director with the largest amount at stake financially in ensuring the Company's success.</w:t>
      </w:r>
    </w:p>
    <w:p>
      <w:pPr>
        <w:spacing w:after="0" w:line="168" w:lineRule="exact"/>
        <w:rPr>
          <w:sz w:val="20"/>
          <w:szCs w:val="20"/>
          <w:color w:val="auto"/>
        </w:rPr>
      </w:pPr>
    </w:p>
    <w:p>
      <w:pPr>
        <w:ind w:right="140" w:firstLine="344"/>
        <w:spacing w:after="0" w:line="264" w:lineRule="auto"/>
        <w:rPr>
          <w:sz w:val="20"/>
          <w:szCs w:val="20"/>
          <w:color w:val="auto"/>
        </w:rPr>
      </w:pPr>
      <w:r>
        <w:rPr>
          <w:rFonts w:ascii="Arial" w:cs="Arial" w:eastAsia="Arial" w:hAnsi="Arial"/>
          <w:sz w:val="17"/>
          <w:szCs w:val="17"/>
          <w:color w:val="auto"/>
        </w:rPr>
        <w:t>Second, the Company's Proxy Statement states that the Committee did not re-nominate me because of "potential indenture covenant violations triggered by an adverse outcome of [my] cross claims against the Company's CEO." This assertion is without merit. My dispute with Mr. Wynn is one between two stockholders who disagree over the continued validity of a stockholders agreement entered into long ago. It's a stockholder-to-stockholder issue and not a Board issue. This issue will persist whether or not I serve on the Board, and does not impact the ability of either of us to act as effective Board members. Furthermore, this issue existed at the time of my election to the Board in November 2012 and, in that election, the Board had no problem re-nominating me as a director and urging stockholders to vote for me. Moreover, even if I win my cross claim against Mr. Wynn, I could still choose to use my shares to remedy a technical violation of the indenture covenants.</w:t>
      </w:r>
    </w:p>
    <w:p>
      <w:pPr>
        <w:spacing w:after="0" w:line="190" w:lineRule="exact"/>
        <w:rPr>
          <w:sz w:val="20"/>
          <w:szCs w:val="20"/>
          <w:color w:val="auto"/>
        </w:rPr>
      </w:pPr>
    </w:p>
    <w:p>
      <w:pPr>
        <w:ind w:right="100" w:firstLine="341"/>
        <w:spacing w:after="0" w:line="269" w:lineRule="auto"/>
        <w:rPr>
          <w:sz w:val="20"/>
          <w:szCs w:val="20"/>
          <w:color w:val="auto"/>
        </w:rPr>
      </w:pPr>
      <w:r>
        <w:rPr>
          <w:rFonts w:ascii="Arial" w:cs="Arial" w:eastAsia="Arial" w:hAnsi="Arial"/>
          <w:sz w:val="17"/>
          <w:szCs w:val="17"/>
          <w:color w:val="auto"/>
        </w:rPr>
        <w:t>Third, the Company's Proxy Statement states that the Committee was concerned over "the impact of the pendency of that lawsuit and the underlying dispute on the atmosphere in and effectiveness of [my] participation on the Board." This is just a variation of the second point discussed above. I may not be "one of the boys," but I am highly confident that I can work effectively with the other members of the Board, just as I have for the past 13 years, notwithstanding my private disagreement with Mr. Wynn about the shareholders agreement.</w:t>
      </w:r>
    </w:p>
    <w:p>
      <w:pPr>
        <w:spacing w:after="0" w:line="183" w:lineRule="exact"/>
        <w:rPr>
          <w:sz w:val="20"/>
          <w:szCs w:val="20"/>
          <w:color w:val="auto"/>
        </w:rPr>
      </w:pPr>
    </w:p>
    <w:p>
      <w:pPr>
        <w:ind w:right="120" w:firstLine="344"/>
        <w:spacing w:after="0" w:line="264" w:lineRule="auto"/>
        <w:rPr>
          <w:sz w:val="20"/>
          <w:szCs w:val="20"/>
          <w:color w:val="auto"/>
        </w:rPr>
      </w:pPr>
      <w:r>
        <w:rPr>
          <w:rFonts w:ascii="Arial" w:cs="Arial" w:eastAsia="Arial" w:hAnsi="Arial"/>
          <w:sz w:val="17"/>
          <w:szCs w:val="17"/>
          <w:color w:val="auto"/>
        </w:rPr>
        <w:t>Finally, the Company's Proxy Statement states that the Committee is focused on my "lack of independence under NASDAQ listing standards and resulting inability to serve on Key Board committees." This statement is quite puzzling. The Company's determination that I am not an independent director has remained unchanged since the Company's founding in 2002. The same is true for the Company's Chairman and CEO. The Board has never before had an issue with the non-independent status of either me or the Company's Chairman and CEO, and has never raised our non-independence as an issue with respect to board re-nomination. Tellingly, the Board chose to shrink the size of the Board rather than nominate an independent director in my place. As a result, my exclusion from the Board has absolutely no effect on increasing the number of independent directors who can "serve on Key Board committees," which is six either way. All it does is eliminate a strong director from the ranks of the Board.</w:t>
      </w:r>
    </w:p>
    <w:p>
      <w:pPr>
        <w:spacing w:after="0" w:line="190"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There are two seats up for election. I intend to use the proxies given to me to vote for myself and for the one candidate nominated by the Board other than John J. Hagenbuch. Also, as I discuss in more detail later in this proxy statement, if the stockholders agreement between Mr. Wynn and me is valid, as Mr. Wynn contends, he is obligated to endorse and vote for me as a director.</w:t>
      </w:r>
    </w:p>
    <w:p>
      <w:pPr>
        <w:spacing w:after="0" w:line="181"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For the reasons described in detail above, I represent the superior candidate when compared with Mr. Hagenbuch, who has little, if any, experience in the highly regulated gaming industry. In contrast, I have spent more than four decades in the resort, hospitality and gaming industries. Because of my substantial ownership of the Company, my interests are aligned with yours. Moreover, I am fully committed to continuing my efforts to hold Company management accountable to our stockholders and to represent the views of women on a Board otherwise composed entirely of men.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For these reasons, I urge you to vote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re-elect me to the Board.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p>
      <w:pPr>
        <w:spacing w:after="0" w:line="228" w:lineRule="exact"/>
        <w:rPr>
          <w:sz w:val="20"/>
          <w:szCs w:val="20"/>
          <w:color w:val="auto"/>
        </w:rPr>
      </w:pPr>
    </w:p>
    <w:p>
      <w:pPr>
        <w:ind w:right="180" w:firstLine="335"/>
        <w:spacing w:after="0" w:line="320" w:lineRule="auto"/>
        <w:rPr>
          <w:sz w:val="20"/>
          <w:szCs w:val="20"/>
          <w:color w:val="auto"/>
        </w:rPr>
      </w:pPr>
      <w:r>
        <w:rPr>
          <w:rFonts w:ascii="Arial" w:cs="Arial" w:eastAsia="Arial" w:hAnsi="Arial"/>
          <w:sz w:val="16"/>
          <w:szCs w:val="16"/>
          <w:color w:val="auto"/>
        </w:rPr>
        <w:t xml:space="preserve">Additional information about me, including information about my background and my beneficial ownership of the Company's securities, is set forth under the section of this proxy statement titled "Proposal 1: Election of Directors" and in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and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to this proxy statement, each of which</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is incorporated herein by reference. Except as set forth in this proxy statement (including in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or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242" w:lineRule="exact"/>
        <w:rPr>
          <w:sz w:val="20"/>
          <w:szCs w:val="20"/>
          <w:color w:val="auto"/>
        </w:rPr>
      </w:pPr>
    </w:p>
    <w:p>
      <w:pPr>
        <w:ind w:left="1060" w:hanging="524"/>
        <w:spacing w:after="0" w:line="273"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not, nor within the past year have I been, a party to any contract, arrangement or understanding with any persons with respect to any securities of the Company, including, but not limited to, joint ventures, loan or option arrangements, puts or calls, guarantees against loss or guarantees of profits, divisions of losses or profits, or the giving or withholding of proxies;</w:t>
      </w:r>
    </w:p>
    <w:p>
      <w:pPr>
        <w:spacing w:after="0" w:line="207" w:lineRule="exact"/>
        <w:rPr>
          <w:rFonts w:ascii="Arial" w:cs="Arial" w:eastAsia="Arial" w:hAnsi="Arial"/>
          <w:sz w:val="17"/>
          <w:szCs w:val="17"/>
          <w:color w:val="auto"/>
        </w:rPr>
      </w:pPr>
    </w:p>
    <w:p>
      <w:pPr>
        <w:ind w:left="1060" w:right="200" w:hanging="524"/>
        <w:spacing w:after="0" w:line="273"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not, nor within the past year have I been, a party to, and neither I nor my family members have had a direct or indirect material interest with respect to, any transaction or series of similar transactions since the beginning of the Company's last fiscal year to which the Company or any of its subsidiaries was or is a party, in which the amount involved exceeds $120,000;</w:t>
      </w:r>
    </w:p>
    <w:p>
      <w:pPr>
        <w:spacing w:after="0" w:line="193" w:lineRule="exact"/>
        <w:rPr>
          <w:rFonts w:ascii="Arial" w:cs="Arial" w:eastAsia="Arial" w:hAnsi="Arial"/>
          <w:sz w:val="17"/>
          <w:szCs w:val="17"/>
          <w:color w:val="auto"/>
        </w:rPr>
      </w:pPr>
    </w:p>
    <w:p>
      <w:pPr>
        <w:ind w:left="1060" w:right="480" w:hanging="524"/>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not been convicted in a criminal proceeding nor am I a named subject of a pending criminal proceeding (excluding traffic violations and similar misdemeanors) during the past ten years; and</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do not have any arrangement or understanding with any person with respect to any future employment by the Company or its affiliates or with respect to any future transactions to which the Company or any of its affiliates will or may be a party.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1: ELECTION OF DIRECTORS</w:t>
      </w:r>
    </w:p>
    <w:p>
      <w:pPr>
        <w:spacing w:after="0" w:line="234" w:lineRule="exact"/>
        <w:rPr>
          <w:sz w:val="20"/>
          <w:szCs w:val="20"/>
          <w:color w:val="auto"/>
        </w:rPr>
      </w:pPr>
    </w:p>
    <w:p>
      <w:pPr>
        <w:ind w:right="160" w:firstLine="335"/>
        <w:spacing w:after="0" w:line="285" w:lineRule="auto"/>
        <w:rPr>
          <w:sz w:val="20"/>
          <w:szCs w:val="20"/>
          <w:color w:val="auto"/>
        </w:rPr>
      </w:pPr>
      <w:r>
        <w:rPr>
          <w:rFonts w:ascii="Arial" w:cs="Arial" w:eastAsia="Arial" w:hAnsi="Arial"/>
          <w:sz w:val="16"/>
          <w:szCs w:val="16"/>
          <w:color w:val="auto"/>
        </w:rPr>
        <w:t>According to the proxy statement filed by the Company on February 27, 2015 (the "</w:t>
      </w:r>
      <w:r>
        <w:rPr>
          <w:rFonts w:ascii="Arial" w:cs="Arial" w:eastAsia="Arial" w:hAnsi="Arial"/>
          <w:sz w:val="16"/>
          <w:szCs w:val="16"/>
          <w:i w:val="1"/>
          <w:iCs w:val="1"/>
          <w:color w:val="auto"/>
        </w:rPr>
        <w:t>Company Proxy Statement</w:t>
      </w:r>
      <w:r>
        <w:rPr>
          <w:rFonts w:ascii="Arial" w:cs="Arial" w:eastAsia="Arial" w:hAnsi="Arial"/>
          <w:sz w:val="16"/>
          <w:szCs w:val="16"/>
          <w:color w:val="auto"/>
        </w:rPr>
        <w:t>"), the number of directors on the Board is established from time to time by resolution of the Board and must not be less than one nor more than thirteen members. The Board currently has eight directors, divided into three classes, designated as Class I, Class II and Class III. Members of each class serve for a three-year term. At each annual meeting, the term of one class expires. The term of office of the current Class I directors, including me, will expire at the Annual Meeting. The Board has voted to reduce the size of Class I from three to two directors as of the Annual Meeting, resulting in the size of the Board being reduced from eight directors to seven. According to the Company Proxy Statement, the Board has nominated J. Edward Virtue and John J. Hagenbuch to fill these remaining Class I seats.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stated in the Company Proxy Statement, directors of the Company are elected by a plurality of the votes cast in person or by proxy at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Therefore, the two candidates for election to the Board who receive the highest number of votes will be elected as directors.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this Solicitation</w:t>
      </w:r>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Pursuant to this proxy statement, I am soliciting proxies from holders of Common Stock to vote for my election as a Class I director at the Annual Meeting. I intend to use this proxy to vote for myself and for the candidate nominated by the Board other than Mr. Hagenbuch.</w:t>
      </w:r>
    </w:p>
    <w:p>
      <w:pPr>
        <w:spacing w:after="0" w:line="168" w:lineRule="exact"/>
        <w:rPr>
          <w:sz w:val="20"/>
          <w:szCs w:val="20"/>
          <w:color w:val="auto"/>
        </w:rPr>
      </w:pPr>
    </w:p>
    <w:p>
      <w:pPr>
        <w:ind w:right="520" w:firstLine="335"/>
        <w:spacing w:after="0" w:line="287" w:lineRule="auto"/>
        <w:rPr>
          <w:sz w:val="20"/>
          <w:szCs w:val="20"/>
          <w:color w:val="auto"/>
        </w:rPr>
      </w:pPr>
      <w:r>
        <w:rPr>
          <w:rFonts w:ascii="Arial" w:cs="Arial" w:eastAsia="Arial" w:hAnsi="Arial"/>
          <w:sz w:val="17"/>
          <w:szCs w:val="17"/>
          <w:color w:val="auto"/>
        </w:rPr>
        <w:t>As discussed above in the section titled "Reasons for the Solicitation and Information about Ms. Wynn," I believe you should give me your proxy for the following reasons:</w:t>
      </w:r>
    </w:p>
    <w:p>
      <w:pPr>
        <w:spacing w:after="0" w:line="181" w:lineRule="exact"/>
        <w:rPr>
          <w:sz w:val="20"/>
          <w:szCs w:val="20"/>
          <w:color w:val="auto"/>
        </w:rPr>
      </w:pPr>
    </w:p>
    <w:p>
      <w:pPr>
        <w:ind w:left="1060" w:right="20" w:hanging="524"/>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Board is successful in excluding me as a director, there will not be a single woman serving on the Board, leading to a complete lack of diversity that diminishes the Wynn brand and sends the wrong kind of public message to our customers and stockholders;</w:t>
      </w:r>
    </w:p>
    <w:p>
      <w:pPr>
        <w:spacing w:after="0" w:line="194"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than the Company's Chairman and CEO, there is no one else at the Company who is more knowledgeable about its history, its operations, its customers or its workforce;</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my interests are highly aligned with the interests of the Company's stockholders, and that renders me an ideal representative for the stockholders; and</w:t>
      </w:r>
    </w:p>
    <w:p>
      <w:pPr>
        <w:spacing w:after="0" w:line="264" w:lineRule="exact"/>
        <w:rPr>
          <w:rFonts w:ascii="Arial" w:cs="Arial" w:eastAsia="Arial" w:hAnsi="Arial"/>
          <w:sz w:val="15"/>
          <w:szCs w:val="15"/>
          <w:color w:val="auto"/>
        </w:rPr>
      </w:pPr>
    </w:p>
    <w:p>
      <w:pPr>
        <w:ind w:left="1060" w:hanging="524"/>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due to my unique history and position at the Company, I represent a strong, independent voice on the Board, and I am unafraid to question the actions of Company management or the direction of the Company.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Please refer to the Company Proxy Statement for the backgrounds and qualifications of the Company's nominees, and certain other information about them.</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There is no assurance that either of the Company's nominees will serve as a director if I am elected.</w:t>
      </w:r>
    </w:p>
    <w:p>
      <w:pPr>
        <w:spacing w:after="0" w:line="223"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I am not seeking the authority to vote for, and will not vote for, Mr. Hagenbuch. To my knowledge, Mr. Hagenbuch has little, if any, experience in the highly regulated gaming industry, and I am the far more qualified candidate.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Information About Me</w:t>
      </w:r>
    </w:p>
    <w:p>
      <w:pPr>
        <w:spacing w:after="0" w:line="228"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I have served as a director of the Company since October 2002. I have been a strong advocate of programs and services for children at risk of dropping out of school. From 1995 until 2013, I co-chaired the Greater Las Vegas After-School All-Stars, an organization that provides thousands of children with high quality educational, recreational and cultural after-school programs. A past member of the Executive Board of the Consortium for Policy Research in Education, I have served on the State of Nevada Council to Establish Academic Standards and chaired for eight years the UNLV Foundation (the private fundraising arm of University of Nevada, Las Vegas). I am the founding chairman of</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Communities in Schools of Nevada and was appointed in 2009 as chair of the national board of Communities in Schools, among the oldest and most successful stay-in-school organization in America. In 2011, I was appointed by Nevada's governor to co-chair a Blue Ribbon Task Force for education reform that resulted in the enactment of ambitious new reform legislation. In 2013, I was appointed by Governor Brian Sandoval to serve a two-year term on the Nevada State Board of Education and was subsequently elected unanimously by the board to serve as president of that body. I have also been a strong supporter of the arts. I established the Elaine Wynn Studio for Arts Education at The Smith Center for the Performing Arts in Las Vegas and am a member of the Board of the Los Angeles County Museum of Art. In 2012, I was re-appointed to the Kennedy Center for the Performing Arts Board of Trustees. I also serve on the Library of Congress Trust Fund Board, and in 2013, I was elected to the Board of Directors of Activision Blizzard, Inc., an interactive entertainment publishing company. I am 72 years old, and I consent to serving as a director if I am elected.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Stephen A. Wynn's Endorsement</w:t>
      </w:r>
    </w:p>
    <w:p>
      <w:pPr>
        <w:spacing w:after="0" w:line="228" w:lineRule="exact"/>
        <w:rPr>
          <w:sz w:val="20"/>
          <w:szCs w:val="20"/>
          <w:color w:val="auto"/>
        </w:rPr>
      </w:pPr>
    </w:p>
    <w:p>
      <w:pPr>
        <w:ind w:right="20" w:firstLine="335"/>
        <w:spacing w:after="0" w:line="310" w:lineRule="auto"/>
        <w:rPr>
          <w:sz w:val="20"/>
          <w:szCs w:val="20"/>
          <w:color w:val="auto"/>
        </w:rPr>
      </w:pPr>
      <w:r>
        <w:rPr>
          <w:rFonts w:ascii="Arial" w:cs="Arial" w:eastAsia="Arial" w:hAnsi="Arial"/>
          <w:sz w:val="15"/>
          <w:szCs w:val="15"/>
          <w:color w:val="auto"/>
        </w:rPr>
        <w:t xml:space="preserve">As discussed in more detail in </w:t>
      </w:r>
      <w:r>
        <w:rPr>
          <w:rFonts w:ascii="Arial" w:cs="Arial" w:eastAsia="Arial" w:hAnsi="Arial"/>
          <w:sz w:val="15"/>
          <w:szCs w:val="15"/>
          <w:i w:val="1"/>
          <w:iCs w:val="1"/>
          <w:color w:val="auto"/>
        </w:rPr>
        <w:t>Annex A</w:t>
      </w:r>
      <w:r>
        <w:rPr>
          <w:rFonts w:ascii="Arial" w:cs="Arial" w:eastAsia="Arial" w:hAnsi="Arial"/>
          <w:sz w:val="15"/>
          <w:szCs w:val="15"/>
          <w:color w:val="auto"/>
        </w:rPr>
        <w:t>, I entered into an Amended and Restated Stockholders Agreement with Stephen A. Wynn, the Company's Chairman and CEO, on January 6, 2010. As noted in the Company Proxy Statement and in its most recent Annual Report on Form 10-K, Mr. Wynn has taken the position that the Amended and Restated Stockholders Agreement is still in effect, which means he is obligated to include me "as one of his endorsed nominees" in any election of Company directors. It also means that he is required to vote all of the shares that both of us hold in favor of my election to the Board because he is obligated to vote those shares "in a manner so as to elect to Wynn's Board of Directors each of the nominees contained on each and every slate of directors endorsed by [Mr. Wynn]."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Use Your </w:t>
      </w:r>
      <w:r>
        <w:rPr>
          <w:rFonts w:ascii="Arial" w:cs="Arial" w:eastAsia="Arial" w:hAnsi="Arial"/>
          <w:sz w:val="17"/>
          <w:szCs w:val="17"/>
          <w:b w:val="1"/>
          <w:bCs w:val="1"/>
          <w:i w:val="1"/>
          <w:iCs w:val="1"/>
          <w:color w:val="auto"/>
        </w:rPr>
        <w:t>GOLD</w:t>
      </w:r>
      <w:r>
        <w:rPr>
          <w:rFonts w:ascii="Arial" w:cs="Arial" w:eastAsia="Arial" w:hAnsi="Arial"/>
          <w:sz w:val="17"/>
          <w:szCs w:val="17"/>
          <w:i w:val="1"/>
          <w:iCs w:val="1"/>
          <w:color w:val="auto"/>
        </w:rPr>
        <w:t xml:space="preserve"> Card</w:t>
      </w:r>
    </w:p>
    <w:p>
      <w:pPr>
        <w:spacing w:after="0" w:line="222" w:lineRule="exact"/>
        <w:rPr>
          <w:sz w:val="20"/>
          <w:szCs w:val="20"/>
          <w:color w:val="auto"/>
        </w:rPr>
      </w:pPr>
    </w:p>
    <w:p>
      <w:pPr>
        <w:jc w:val="both"/>
        <w:ind w:right="160" w:firstLine="341"/>
        <w:spacing w:after="0" w:line="302" w:lineRule="auto"/>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in accordance with your instructions. You may specify that your shares should be voted FOR me, or you may WITHHOLD authority to vote for me. I am not seeking authority to vote for, and will not vote for, Mr. Hagenbach. If you do not want your shares to be voted for the Company's other nominee either, you may also withhold authority to vote for him by writing his name on the proxy card in the space provided.</w:t>
      </w:r>
    </w:p>
    <w:p>
      <w:pPr>
        <w:spacing w:after="0" w:line="159" w:lineRule="exact"/>
        <w:rPr>
          <w:sz w:val="20"/>
          <w:szCs w:val="20"/>
          <w:color w:val="auto"/>
        </w:rPr>
      </w:pPr>
    </w:p>
    <w:p>
      <w:pPr>
        <w:jc w:val="both"/>
        <w:ind w:right="400" w:firstLine="344"/>
        <w:spacing w:after="0" w:line="273" w:lineRule="auto"/>
        <w:rPr>
          <w:sz w:val="20"/>
          <w:szCs w:val="20"/>
          <w:color w:val="auto"/>
        </w:rPr>
      </w:pPr>
      <w:r>
        <w:rPr>
          <w:rFonts w:ascii="Arial" w:cs="Arial" w:eastAsia="Arial" w:hAnsi="Arial"/>
          <w:sz w:val="17"/>
          <w:szCs w:val="17"/>
          <w:color w:val="auto"/>
        </w:rPr>
        <w:t xml:space="preserve">If you hold your shares of common stock through a brokerage firm or bank, only they can exercise voting rights with respect to your shares and only upon receipt of your specific instructions. Accordingly, I urge you to use your voting instruction form, or otherwise promptly contact the person responsible for your account, and give them instructions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181" w:lineRule="exact"/>
        <w:rPr>
          <w:sz w:val="20"/>
          <w:szCs w:val="20"/>
          <w:color w:val="auto"/>
        </w:rPr>
      </w:pPr>
    </w:p>
    <w:p>
      <w:pPr>
        <w:jc w:val="both"/>
        <w:ind w:right="260" w:firstLine="335"/>
        <w:spacing w:after="0" w:line="269" w:lineRule="auto"/>
        <w:rPr>
          <w:sz w:val="20"/>
          <w:szCs w:val="20"/>
          <w:color w:val="auto"/>
        </w:rPr>
      </w:pPr>
      <w:r>
        <w:rPr>
          <w:rFonts w:ascii="Arial" w:cs="Arial" w:eastAsia="Arial" w:hAnsi="Arial"/>
          <w:sz w:val="17"/>
          <w:szCs w:val="17"/>
          <w:color w:val="auto"/>
        </w:rPr>
        <w:t xml:space="preserve">A plurality of the votes cast in person or by proxy at the Annual Meeting is required for the election of directors. Shares as to which a stockholder withholds voting authority in the election of directors and broker non-votes will not be counted as votes cast and, therefore, will not affect the outcome of the election. If no instructions are given with respect to this proposal and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returned,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me and FOR the Company's nominee other than Mr. Hagenbuch.</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ELECTION OF</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ELAINE P. WYNN TO THE BOARD</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2: RATIFICATION OF APPOINTMENT OF INDEPENDENT AUDITORS</w:t>
      </w:r>
    </w:p>
    <w:p>
      <w:pPr>
        <w:spacing w:after="0" w:line="234" w:lineRule="exact"/>
        <w:rPr>
          <w:sz w:val="20"/>
          <w:szCs w:val="20"/>
          <w:color w:val="auto"/>
        </w:rPr>
      </w:pPr>
    </w:p>
    <w:p>
      <w:pPr>
        <w:ind w:right="220" w:firstLine="335"/>
        <w:spacing w:after="0" w:line="287" w:lineRule="auto"/>
        <w:rPr>
          <w:sz w:val="20"/>
          <w:szCs w:val="20"/>
          <w:color w:val="auto"/>
        </w:rPr>
      </w:pPr>
      <w:r>
        <w:rPr>
          <w:rFonts w:ascii="Arial" w:cs="Arial" w:eastAsia="Arial" w:hAnsi="Arial"/>
          <w:sz w:val="17"/>
          <w:szCs w:val="17"/>
          <w:color w:val="auto"/>
        </w:rPr>
        <w:t>According to the Company Proxy Statement, the Company will solicit proxies to ratify the appointment of Ernst &amp; Young LLP ("</w:t>
      </w:r>
      <w:r>
        <w:rPr>
          <w:rFonts w:ascii="Arial" w:cs="Arial" w:eastAsia="Arial" w:hAnsi="Arial"/>
          <w:sz w:val="17"/>
          <w:szCs w:val="17"/>
          <w:i w:val="1"/>
          <w:iCs w:val="1"/>
          <w:color w:val="auto"/>
        </w:rPr>
        <w:t>Ernst &amp; Young</w:t>
      </w:r>
      <w:r>
        <w:rPr>
          <w:rFonts w:ascii="Arial" w:cs="Arial" w:eastAsia="Arial" w:hAnsi="Arial"/>
          <w:sz w:val="17"/>
          <w:szCs w:val="17"/>
          <w:color w:val="auto"/>
        </w:rPr>
        <w:t>") to serve as the Company's independent public accountants for the fiscal year ending December 31, 2015.</w:t>
      </w:r>
    </w:p>
    <w:p>
      <w:pPr>
        <w:spacing w:after="0" w:line="162" w:lineRule="exact"/>
        <w:rPr>
          <w:sz w:val="20"/>
          <w:szCs w:val="20"/>
          <w:color w:val="auto"/>
        </w:rPr>
      </w:pPr>
    </w:p>
    <w:p>
      <w:pPr>
        <w:ind w:firstLine="344"/>
        <w:spacing w:after="0" w:line="284" w:lineRule="auto"/>
        <w:rPr>
          <w:sz w:val="20"/>
          <w:szCs w:val="20"/>
          <w:color w:val="auto"/>
        </w:rPr>
      </w:pPr>
      <w:r>
        <w:rPr>
          <w:rFonts w:ascii="Arial" w:cs="Arial" w:eastAsia="Arial" w:hAnsi="Arial"/>
          <w:sz w:val="16"/>
          <w:szCs w:val="16"/>
          <w:color w:val="auto"/>
        </w:rPr>
        <w:t xml:space="preserve">I recommend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 You may vote on the ratification of the appointment of Ernst &amp; Young by marking the proper box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hold your shares through a brokerage firm or bank, by using your voting instruction form to instruct them how to vote your shares on the </w:t>
      </w:r>
      <w:r>
        <w:rPr>
          <w:rFonts w:ascii="Arial" w:cs="Arial" w:eastAsia="Arial" w:hAnsi="Arial"/>
          <w:sz w:val="16"/>
          <w:szCs w:val="16"/>
          <w:b w:val="1"/>
          <w:bCs w:val="1"/>
          <w:color w:val="auto"/>
        </w:rPr>
        <w:t xml:space="preserve">GOLD </w:t>
      </w:r>
      <w:r>
        <w:rPr>
          <w:rFonts w:ascii="Arial" w:cs="Arial" w:eastAsia="Arial" w:hAnsi="Arial"/>
          <w:sz w:val="16"/>
          <w:szCs w:val="16"/>
          <w:color w:val="auto"/>
        </w:rPr>
        <w:t>proxy card. If no instructions are given with respect to this proposal and the</w:t>
      </w:r>
      <w:r>
        <w:rPr>
          <w:rFonts w:ascii="Arial" w:cs="Arial" w:eastAsia="Arial" w:hAnsi="Arial"/>
          <w:sz w:val="16"/>
          <w:szCs w:val="16"/>
          <w:b w:val="1"/>
          <w:bCs w:val="1"/>
          <w:color w:val="auto"/>
        </w:rPr>
        <w:t xml:space="preserve"> GOLD </w:t>
      </w:r>
      <w:r>
        <w:rPr>
          <w:rFonts w:ascii="Arial" w:cs="Arial" w:eastAsia="Arial" w:hAnsi="Arial"/>
          <w:sz w:val="16"/>
          <w:szCs w:val="16"/>
          <w:color w:val="auto"/>
        </w:rPr>
        <w:t>proxy card is returned, the</w:t>
      </w:r>
      <w:r>
        <w:rPr>
          <w:rFonts w:ascii="Arial" w:cs="Arial" w:eastAsia="Arial" w:hAnsi="Arial"/>
          <w:sz w:val="16"/>
          <w:szCs w:val="16"/>
          <w:b w:val="1"/>
          <w:bCs w:val="1"/>
          <w:color w:val="auto"/>
        </w:rPr>
        <w:t xml:space="preserve"> GOLD </w:t>
      </w:r>
      <w:r>
        <w:rPr>
          <w:rFonts w:ascii="Arial" w:cs="Arial" w:eastAsia="Arial" w:hAnsi="Arial"/>
          <w:sz w:val="16"/>
          <w:szCs w:val="16"/>
          <w:color w:val="auto"/>
        </w:rPr>
        <w:t>proxy card will be voted</w:t>
      </w:r>
      <w:r>
        <w:rPr>
          <w:rFonts w:ascii="Arial" w:cs="Arial" w:eastAsia="Arial" w:hAnsi="Arial"/>
          <w:sz w:val="16"/>
          <w:szCs w:val="16"/>
          <w:b w:val="1"/>
          <w:bCs w:val="1"/>
          <w:color w:val="auto"/>
        </w:rPr>
        <w:t xml:space="preserve"> FOR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ratification of the appointment of Ernst &amp; Young. According to the Company Proxy Statement, this proposal will be approved if the number of votes cast in favor of the proposal exceeds the number of votes cast in opposition. For purposes of the vote on this proposal, abstentions will not count as votes cast and, therefore, will not affect the outcome of this proposal. Also, I understand that brokers have the authority to vote shares on this proposal even in the absence of specific instructions from their customers, so there should not be any broker non-votes on this proposal.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RATIFICATION OF THE APPOINTMENT OF ERNST &amp; YOUNG.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3: APPROVAL OF ARTICLES AMENDMENT</w:t>
      </w:r>
    </w:p>
    <w:p>
      <w:pPr>
        <w:spacing w:after="0" w:line="234" w:lineRule="exact"/>
        <w:rPr>
          <w:sz w:val="20"/>
          <w:szCs w:val="20"/>
          <w:color w:val="auto"/>
        </w:rPr>
      </w:pPr>
    </w:p>
    <w:p>
      <w:pPr>
        <w:ind w:right="180" w:firstLine="335"/>
        <w:spacing w:after="0" w:line="273" w:lineRule="auto"/>
        <w:rPr>
          <w:sz w:val="20"/>
          <w:szCs w:val="20"/>
          <w:color w:val="auto"/>
        </w:rPr>
      </w:pPr>
      <w:r>
        <w:rPr>
          <w:rFonts w:ascii="Arial" w:cs="Arial" w:eastAsia="Arial" w:hAnsi="Arial"/>
          <w:sz w:val="17"/>
          <w:szCs w:val="17"/>
          <w:color w:val="auto"/>
        </w:rPr>
        <w:t>According to the Company Proxy Statement, it is expected that at the Annual Meeting stockholders will be asked to approve an amendment (the "</w:t>
      </w:r>
      <w:r>
        <w:rPr>
          <w:rFonts w:ascii="Arial" w:cs="Arial" w:eastAsia="Arial" w:hAnsi="Arial"/>
          <w:sz w:val="17"/>
          <w:szCs w:val="17"/>
          <w:i w:val="1"/>
          <w:iCs w:val="1"/>
          <w:color w:val="auto"/>
        </w:rPr>
        <w:t>Articles</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w:t>
      </w:r>
      <w:r>
        <w:rPr>
          <w:rFonts w:ascii="Arial" w:cs="Arial" w:eastAsia="Arial" w:hAnsi="Arial"/>
          <w:sz w:val="17"/>
          <w:szCs w:val="17"/>
          <w:color w:val="auto"/>
        </w:rPr>
        <w:t>") to the Company's Second Amended and Restated Articles of Incorporation. The Company Proxy Statement includes the following description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Amendment:</w:t>
      </w:r>
    </w:p>
    <w:p>
      <w:pPr>
        <w:spacing w:after="0" w:line="181" w:lineRule="exact"/>
        <w:rPr>
          <w:sz w:val="20"/>
          <w:szCs w:val="20"/>
          <w:color w:val="auto"/>
        </w:rPr>
      </w:pPr>
    </w:p>
    <w:p>
      <w:pPr>
        <w:ind w:right="280" w:firstLine="344"/>
        <w:spacing w:after="0" w:line="269" w:lineRule="auto"/>
        <w:rPr>
          <w:sz w:val="20"/>
          <w:szCs w:val="20"/>
          <w:color w:val="auto"/>
        </w:rPr>
      </w:pPr>
      <w:r>
        <w:rPr>
          <w:rFonts w:ascii="Arial" w:cs="Arial" w:eastAsia="Arial" w:hAnsi="Arial"/>
          <w:sz w:val="17"/>
          <w:szCs w:val="17"/>
          <w:color w:val="auto"/>
        </w:rPr>
        <w:t>"The Company is incorporated under the laws of the State of Nevada pursuant to Chapter 78 of the Nevada Revised Statutes ("NRS"). In February 2015, the Board approved, subject to stockholder approval, an amendment to the Company's Second Amended and Restated Articles of Incorporation (the "Articles"). This amendment (the "Articles Amendment") would permit the Company to make any distribution to its stockholders that otherwise would be prohibited by NRS 78.288(2)(b).</w:t>
      </w:r>
    </w:p>
    <w:p>
      <w:pPr>
        <w:spacing w:after="0" w:line="183" w:lineRule="exact"/>
        <w:rPr>
          <w:sz w:val="20"/>
          <w:szCs w:val="20"/>
          <w:color w:val="auto"/>
        </w:rPr>
      </w:pPr>
    </w:p>
    <w:p>
      <w:pPr>
        <w:jc w:val="both"/>
        <w:ind w:right="340" w:firstLine="344"/>
        <w:spacing w:after="0" w:line="273" w:lineRule="auto"/>
        <w:rPr>
          <w:sz w:val="20"/>
          <w:szCs w:val="20"/>
          <w:color w:val="auto"/>
        </w:rPr>
      </w:pPr>
      <w:r>
        <w:rPr>
          <w:rFonts w:ascii="Arial" w:cs="Arial" w:eastAsia="Arial" w:hAnsi="Arial"/>
          <w:sz w:val="17"/>
          <w:szCs w:val="17"/>
          <w:color w:val="auto"/>
        </w:rPr>
        <w:t>NRS 78.191 provides that a distribution may be in the form of (i) a declaration or payment of a dividend, (ii) a purchase, redemption or other acquisition of shares, (iii) a distribution of indebtedness, or (iv) otherwise. Under NRS 78.288(2), the directors of a corporation may authorize, and the corporation may make, distributions (including cash dividends) to stockholders, but no such distribution may be made if, after giving it effect:</w:t>
      </w:r>
    </w:p>
    <w:p>
      <w:pPr>
        <w:spacing w:after="0" w:line="194" w:lineRule="exact"/>
        <w:rPr>
          <w:sz w:val="20"/>
          <w:szCs w:val="20"/>
          <w:color w:val="auto"/>
        </w:rPr>
      </w:pPr>
    </w:p>
    <w:p>
      <w:pPr>
        <w:ind w:left="1060" w:hanging="5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corporation would not be able to pay its debts as they become due in the usual course of business (the "Solvency Test"); or</w:t>
      </w:r>
    </w:p>
    <w:p>
      <w:pPr>
        <w:spacing w:after="0" w:line="254" w:lineRule="exact"/>
        <w:rPr>
          <w:rFonts w:ascii="Arial" w:cs="Arial" w:eastAsia="Arial" w:hAnsi="Arial"/>
          <w:sz w:val="17"/>
          <w:szCs w:val="17"/>
          <w:color w:val="auto"/>
        </w:rPr>
      </w:pPr>
    </w:p>
    <w:p>
      <w:pPr>
        <w:ind w:left="1060" w:right="140" w:hanging="524"/>
        <w:spacing w:after="0" w:line="326" w:lineRule="auto"/>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except as otherwise specifically allowed by the corporation's articles of incorporation, the corporation's total assets would be less than the sum of its total liabilities plus the amount that would be needed, if the corporation were to be dissolved at the time of distribution, to satisfy the preferential rights upon dissolution of stockholders whose preferential rights are superior to those receiving the distribution (the "Balance Sheet Test").</w:t>
      </w:r>
    </w:p>
    <w:p>
      <w:pPr>
        <w:spacing w:after="0" w:line="145" w:lineRule="exact"/>
        <w:rPr>
          <w:sz w:val="20"/>
          <w:szCs w:val="20"/>
          <w:color w:val="auto"/>
        </w:rPr>
      </w:pPr>
    </w:p>
    <w:p>
      <w:pPr>
        <w:ind w:firstLine="335"/>
        <w:spacing w:after="0" w:line="269" w:lineRule="auto"/>
        <w:rPr>
          <w:sz w:val="20"/>
          <w:szCs w:val="20"/>
          <w:color w:val="auto"/>
        </w:rPr>
      </w:pPr>
      <w:r>
        <w:rPr>
          <w:rFonts w:ascii="Arial" w:cs="Arial" w:eastAsia="Arial" w:hAnsi="Arial"/>
          <w:sz w:val="17"/>
          <w:szCs w:val="17"/>
          <w:color w:val="auto"/>
        </w:rPr>
        <w:t>As noted above, NRS 78.288(2) affords a corporation the flexibility of exempting distributions from the Balance Sheet Test pursuant to a provision in its articles of incorporation. The Articles Amendment would specifically allow the Company to avail itself of the flexibility permitted under the statute, and thereby authorize the Board, subject to applicable fiduciary duties and the Solvency Test, to approve greater distributions and returns of capital to stockholders than may otherwise be allowed without the Articles Amendment, if and when appropriate in the circumstances.</w:t>
      </w:r>
    </w:p>
    <w:p>
      <w:pPr>
        <w:spacing w:after="0" w:line="183" w:lineRule="exact"/>
        <w:rPr>
          <w:sz w:val="20"/>
          <w:szCs w:val="20"/>
          <w:color w:val="auto"/>
        </w:rPr>
      </w:pPr>
    </w:p>
    <w:p>
      <w:pPr>
        <w:ind w:right="180" w:firstLine="344"/>
        <w:spacing w:after="0" w:line="281" w:lineRule="auto"/>
        <w:rPr>
          <w:sz w:val="20"/>
          <w:szCs w:val="20"/>
          <w:color w:val="auto"/>
        </w:rPr>
      </w:pPr>
      <w:r>
        <w:rPr>
          <w:rFonts w:ascii="Arial" w:cs="Arial" w:eastAsia="Arial" w:hAnsi="Arial"/>
          <w:sz w:val="16"/>
          <w:szCs w:val="16"/>
          <w:color w:val="auto"/>
        </w:rPr>
        <w:t>Declaration and payment of any distribution (including cash dividends or certain share purchases) will remain subject to the discretion of our Board. [The Company has] historically paid periodic cash dividends on our Common Stock. However, the timing and amount of future distributions, if any, will be at the discretion of our Board and will be dependent upon our financial condition, operations, compliance with applicable law, cash requirements and availability, debt repayment obligations, capital expenditure needs and restrictions in any existing or future debt instruments, contractual restrictions, business prospects, industry trends, the provisions of Nevada law affecting the payment of distributions (including the Solvency Test) and any other factors our Board may consider to be relevant. The Board has not made any decision as to whether or when the Company may engage in any distribution that would not otherwise be permissible absent stockholder approval of the Articles Amendment, but the Articles Amendment, if approved, would provide flexibility for the Board in considering the timing and scope of any such distribution. Our ability to pay distributions (including cash dividends) on our Common Stock may depend, in part, on our receipt of cash dividends from our subsidiaries, which may be restricted from paying us dividends as a result of the laws of their jurisdiction of organization, agreements to which they are a party or covenants under any existing or future indebtedness or preferred securities.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Articles Amendment would add a new Article VIII to the Company's Articles as follows: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PROVISION REGARDING DISTRIBUTIONS</w:t>
      </w:r>
    </w:p>
    <w:p>
      <w:pPr>
        <w:spacing w:after="0" w:line="223" w:lineRule="exact"/>
        <w:rPr>
          <w:sz w:val="20"/>
          <w:szCs w:val="20"/>
          <w:color w:val="auto"/>
        </w:rPr>
      </w:pPr>
    </w:p>
    <w:p>
      <w:pPr>
        <w:ind w:right="620" w:firstLine="344"/>
        <w:spacing w:after="0" w:line="287" w:lineRule="auto"/>
        <w:rPr>
          <w:sz w:val="20"/>
          <w:szCs w:val="20"/>
          <w:color w:val="auto"/>
        </w:rPr>
      </w:pPr>
      <w:r>
        <w:rPr>
          <w:rFonts w:ascii="Arial" w:cs="Arial" w:eastAsia="Arial" w:hAnsi="Arial"/>
          <w:sz w:val="17"/>
          <w:szCs w:val="17"/>
          <w:color w:val="auto"/>
        </w:rPr>
        <w:t>Notwithstanding anything to the contrary in these Articles or any bylaw of the Corporation, the Corporation is hereby specifically allowed to make any distribution that otherwise would be prohibited by NRS 78.288(2)(b).'</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If the Articles Proposal is approved by the stockholders, the Company intends to file a certificate of amendment or a certificate of amended and restated articles with the Nevada Secretary of State. The Articles Amendment will be effective upon such filing."</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 *</w:t>
      </w:r>
    </w:p>
    <w:p>
      <w:pPr>
        <w:spacing w:after="0" w:line="222"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 xml:space="preserve">I agree with the arguments in the Company Proxy Statement regarding this proposal. Accordingly, I recommend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approve the Articles Amendment. Stockholders may vote on the Articles Amendment by marking the proper box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if you hold your shares through a brokerage firm or bank, by using your voting instruction form to instruct them how to vote your shares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no instructions are given with respect to this proposal and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returned,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Articles Amendment. According to the Company Proxy Statement, the affirmative vote of the holders of at least a majority of the voting power of the issued and outstanding Common Stock is required to approve the Articles Amendment. Abstentions and broker non-votes, as well as shares not in attendance at the Annual Meeting and not voted by proxy, will have the same effect as a vote against the Articles Amendment.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ARTICLES AMENDMENT.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4: STOCKHOLDER PROPOSAL REGARDING A POLITICAL CONTRIBUTIONS REPORT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According to the Company Proxy Statement, it is expected that at the Annual Meeting stockholders will be asked to vote on a stockholder proposal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Stockholder Proposal</w:t>
      </w:r>
      <w:r>
        <w:rPr>
          <w:rFonts w:ascii="Arial" w:cs="Arial" w:eastAsia="Arial" w:hAnsi="Arial"/>
          <w:sz w:val="15"/>
          <w:szCs w:val="15"/>
          <w:color w:val="auto"/>
        </w:rPr>
        <w:t>"). The Company Proxy Statement contains the following description of the Stockholder Proposal, statement by the stockholder making such</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proposal, and statement of the Board in opposition to such proposal: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Proposal</w:t>
      </w:r>
    </w:p>
    <w:p>
      <w:pPr>
        <w:spacing w:after="0" w:line="22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"The Company has been advised that the New York State Common Retirement Fund, 59 Maiden Lane, 30th Floor, New York, NY 10038, the beneficial owner of 284,854 shares as of November 25, 2014, intends to submit the following proposal for consideration at the Annual Meeting:</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'Resolved, that the shareholders of [the Company] hereby request that the Company provide a report, updated semiannually, disclosing the Company's:</w:t>
      </w:r>
    </w:p>
    <w:p>
      <w:pPr>
        <w:spacing w:after="0" w:line="240" w:lineRule="exact"/>
        <w:rPr>
          <w:sz w:val="20"/>
          <w:szCs w:val="20"/>
          <w:color w:val="auto"/>
        </w:rPr>
      </w:pPr>
    </w:p>
    <w:p>
      <w:pPr>
        <w:ind w:right="80" w:firstLine="350"/>
        <w:spacing w:after="0" w:line="273" w:lineRule="auto"/>
        <w:tabs>
          <w:tab w:leader="none" w:pos="689" w:val="left"/>
        </w:tabs>
        <w:numPr>
          <w:ilvl w:val="0"/>
          <w:numId w:val="8"/>
        </w:numPr>
        <w:rPr>
          <w:rFonts w:ascii="Arial" w:cs="Arial" w:eastAsia="Arial" w:hAnsi="Arial"/>
          <w:sz w:val="17"/>
          <w:szCs w:val="17"/>
          <w:color w:val="auto"/>
        </w:rPr>
      </w:pPr>
      <w:r>
        <w:rPr>
          <w:rFonts w:ascii="Arial" w:cs="Arial" w:eastAsia="Arial" w:hAnsi="Arial"/>
          <w:sz w:val="17"/>
          <w:szCs w:val="17"/>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80" w:lineRule="exact"/>
        <w:rPr>
          <w:rFonts w:ascii="Arial" w:cs="Arial" w:eastAsia="Arial" w:hAnsi="Arial"/>
          <w:sz w:val="17"/>
          <w:szCs w:val="17"/>
          <w:color w:val="auto"/>
        </w:rPr>
      </w:pPr>
    </w:p>
    <w:p>
      <w:pPr>
        <w:ind w:left="700" w:hanging="350"/>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Monetary and non-monetary contributions and expenditures (direct and indirect) used in the manner described in section 1 above, including:</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identity of the recipient as well as the amount paid to each; and</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title(s) of the person(s) in the Company responsible for decision-making.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report shall be presented to the board of directors or relevant board committee and posted on the Company's website."'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Supporting Statement of the New York State Common Retirement Fund in Favor of the Stockholder Proposal</w:t>
      </w:r>
    </w:p>
    <w:p>
      <w:pPr>
        <w:spacing w:after="0" w:line="228"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62"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 xml:space="preserve">Disclosure is in the best interest of the company and its shareholders and critical for compliance with federal ethics laws. Moreover, the Supreme Court's </w:t>
      </w:r>
      <w:r>
        <w:rPr>
          <w:rFonts w:ascii="Arial" w:cs="Arial" w:eastAsia="Arial" w:hAnsi="Arial"/>
          <w:sz w:val="17"/>
          <w:szCs w:val="17"/>
          <w:i w:val="1"/>
          <w:iCs w:val="1"/>
          <w:color w:val="auto"/>
        </w:rPr>
        <w:t xml:space="preserve">Citizens United </w:t>
      </w:r>
      <w:r>
        <w:rPr>
          <w:rFonts w:ascii="Arial" w:cs="Arial" w:eastAsia="Arial" w:hAnsi="Arial"/>
          <w:sz w:val="17"/>
          <w:szCs w:val="17"/>
          <w:color w:val="auto"/>
        </w:rPr>
        <w:t>decision recognized the importance of political spending disclosure for shareholders when it said, "[D]isclosure permits citizens and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Wynn Resorts contributed at least $1,800,053 in corporate funds since the 2004 election cycle. (CQ: http://moneyline.cq.com and National Institute on Money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 State Politics: http://www.followthemoney.org)</w:t>
      </w:r>
    </w:p>
    <w:p>
      <w:pPr>
        <w:spacing w:after="0" w:line="223"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81"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Company's Board and its shareholders need comprehensive disclosure to be able to fully evaluate the political use of corporate assets. We urge your support for this critical governance reform."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 Statement in Opposition to the Stockholder Proposal</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"After careful consideration, the Board of Directors recommends that stockholders vote AGAINST this proposal for the following reasons:</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the 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88"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70"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The Company also believes that it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 In addition, reports regarding the Company's specific political contributions in various jurisdictions are publicly available at each jurisdiction's official website.</w:t>
      </w:r>
    </w:p>
    <w:p>
      <w:pPr>
        <w:spacing w:after="0" w:line="170"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8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firstLine="344"/>
        <w:spacing w:after="0" w:line="286" w:lineRule="auto"/>
        <w:rPr>
          <w:sz w:val="20"/>
          <w:szCs w:val="20"/>
          <w:color w:val="auto"/>
        </w:rPr>
      </w:pPr>
      <w:r>
        <w:rPr>
          <w:rFonts w:ascii="Arial" w:cs="Arial" w:eastAsia="Arial" w:hAnsi="Arial"/>
          <w:sz w:val="16"/>
          <w:szCs w:val="16"/>
          <w:color w:val="auto"/>
        </w:rPr>
        <w:t xml:space="preserve">I agree with the Board's arguments in the Company Proxy Statement regarding this proposal. Accordingly, I recommend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 Stockholders may vote on the Stockholder Proposal by marking the proper box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hold your shares through a brokerage firm or bank, by using your voting instruction form to instruct them how to vote your shares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If no instructions are given with respect to this proposal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is returned,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Stockholder Proposal. According to the Company Proxy Statement, this proposal will be approved if the number of votes cast in favor of the proposal exceeds the number of votes cast in opposition. For purposes of the vote on this proposal, broker non-votes and abstentions will not count as votes cast and, therefore, will not affect the outcome of this proposal.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AGAINST</w:t>
      </w:r>
      <w:r>
        <w:rPr>
          <w:rFonts w:ascii="Arial" w:cs="Arial" w:eastAsia="Arial" w:hAnsi="Arial"/>
          <w:sz w:val="17"/>
          <w:szCs w:val="17"/>
          <w:b w:val="1"/>
          <w:bCs w:val="1"/>
          <w:color w:val="auto"/>
        </w:rPr>
        <w:t xml:space="preserve"> THE STOCKHOLDER PROPOSAL REGARDING POLITICAL CONTRIBUTIONS.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VOTING PROCEDURES</w:t>
      </w:r>
    </w:p>
    <w:p>
      <w:pPr>
        <w:spacing w:after="0" w:line="234" w:lineRule="exact"/>
        <w:rPr>
          <w:sz w:val="20"/>
          <w:szCs w:val="20"/>
          <w:color w:val="auto"/>
        </w:rPr>
      </w:pPr>
    </w:p>
    <w:p>
      <w:pPr>
        <w:ind w:right="40" w:firstLine="335"/>
        <w:spacing w:after="0" w:line="298" w:lineRule="auto"/>
        <w:rPr>
          <w:sz w:val="20"/>
          <w:szCs w:val="20"/>
          <w:color w:val="auto"/>
        </w:rPr>
      </w:pPr>
      <w:r>
        <w:rPr>
          <w:rFonts w:ascii="Arial" w:cs="Arial" w:eastAsia="Arial" w:hAnsi="Arial"/>
          <w:sz w:val="15"/>
          <w:szCs w:val="15"/>
          <w:color w:val="auto"/>
        </w:rPr>
        <w:t>According to the Company Proxy Statement, only holders of record of shares of Common Stock as of the close of business on the Record Date are entitled to notice of, and to vote at, the Annual Meeting and at any adjournments or postponements thereof. According to the Company Proxy Statement, as of the Record Date</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of March 5, 2015, there were shares of Common Stock outstanding, and each stockholder is entitled to one vote for each share of Common Stock held as of the Record Date on all matters presented at the Annual Meeting.</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As explained in the detailed instructions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there are four ways you may vote your shares of Common Stock:</w:t>
      </w:r>
    </w:p>
    <w:p>
      <w:pPr>
        <w:spacing w:after="0" w:line="242" w:lineRule="exact"/>
        <w:rPr>
          <w:sz w:val="20"/>
          <w:szCs w:val="20"/>
          <w:color w:val="auto"/>
        </w:rPr>
      </w:pPr>
    </w:p>
    <w:p>
      <w:pPr>
        <w:ind w:left="1060" w:hanging="524"/>
        <w:spacing w:after="0" w:line="294"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postage-paid envelope. I recommend that you vote using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even if you plan to attend the Annual Meeting in person;</w:t>
      </w:r>
    </w:p>
    <w:p>
      <w:pPr>
        <w:spacing w:after="0" w:line="183" w:lineRule="exact"/>
        <w:rPr>
          <w:rFonts w:ascii="Arial" w:cs="Arial" w:eastAsia="Arial" w:hAnsi="Arial"/>
          <w:sz w:val="17"/>
          <w:szCs w:val="17"/>
          <w:color w:val="auto"/>
        </w:rPr>
      </w:pPr>
    </w:p>
    <w:p>
      <w:pPr>
        <w:ind w:left="1060" w:hanging="524"/>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Vote via the Internet by following the voting instructions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Vote by telephone by following the voting instructions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w:t>
      </w:r>
    </w:p>
    <w:p>
      <w:pPr>
        <w:spacing w:after="0" w:line="247"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Vote in person by attending the Annual Meeting. Note, however, if you hold your shares of Common Stock through a brokerage firm or bank, you must obtain a legal proxy from such custodian in order to vote in person at the Annual Meeting.</w:t>
      </w:r>
    </w:p>
    <w:p>
      <w:pPr>
        <w:spacing w:after="0" w:line="16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 xml:space="preserve">If you are the beneficial owner of shares held through a brokerage firm or bank on the Record Date, such institution should provide you with information regarding the methods by which you can direct such institution to vote your shares. Your brokerage firm or bank should send you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card to be completed, signed, dated and returned by a date in advance of the Annual Meeting, and/or information on how to communicate your voting instructions to them by telephone or over the Internet.</w:t>
      </w:r>
    </w:p>
    <w:p>
      <w:pPr>
        <w:spacing w:after="0" w:line="183"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 xml:space="preserve">If you are the beneficial owner of shares held though a brokerage firm or bank, I encourage you to promptly provide instructions to such institution to vote your shares in accordance with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This ensures that your shares will be voted at the Annual Meeting.</w:t>
      </w:r>
    </w:p>
    <w:p>
      <w:pPr>
        <w:spacing w:after="0" w:line="168" w:lineRule="exact"/>
        <w:rPr>
          <w:sz w:val="20"/>
          <w:szCs w:val="20"/>
          <w:color w:val="auto"/>
        </w:rPr>
      </w:pPr>
    </w:p>
    <w:p>
      <w:pPr>
        <w:ind w:right="40" w:firstLine="344"/>
        <w:spacing w:after="0" w:line="290" w:lineRule="auto"/>
        <w:rPr>
          <w:sz w:val="20"/>
          <w:szCs w:val="20"/>
          <w:color w:val="auto"/>
        </w:rPr>
      </w:pPr>
      <w:r>
        <w:rPr>
          <w:rFonts w:ascii="Arial" w:cs="Arial" w:eastAsia="Arial" w:hAnsi="Arial"/>
          <w:sz w:val="16"/>
          <w:szCs w:val="16"/>
          <w:color w:val="auto"/>
        </w:rPr>
        <w:t xml:space="preserve">If you give me your proxy, your shares will be voted in the manner you indicate. You may specify whether your shares should be voted FOR my election, or whether you WITHHOLD authority for your shares to be voted for my election. You may also indicate that you wish to WITHHOLD authority for your shares to be voted for the Company's nominee other than Mr. Hagenbuch. You may also specify whether your shares should be voted FOR or AGAINST each of the other proposals. If you sign, date and return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without indicating your instructions, your shares will be voted as follows:</w:t>
      </w:r>
    </w:p>
    <w:p>
      <w:pPr>
        <w:spacing w:after="0" w:line="197" w:lineRule="exact"/>
        <w:rPr>
          <w:sz w:val="20"/>
          <w:szCs w:val="20"/>
          <w:color w:val="auto"/>
        </w:rPr>
      </w:pPr>
    </w:p>
    <w:p>
      <w:pPr>
        <w:ind w:left="1060" w:hanging="5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election to the Board of Elaine P. Wynn and the Company's nominee other than Mr. Hagenbuch;</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ratification of the appointment of Ernst &amp; Young as independent public accountants for the fiscal year ending December 31, 2015;</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Articles Amendment;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AGAINST the Stockholder Proposal regarding political contributions.</w:t>
      </w:r>
    </w:p>
    <w:p>
      <w:pPr>
        <w:spacing w:after="0" w:line="228" w:lineRule="exact"/>
        <w:rPr>
          <w:sz w:val="20"/>
          <w:szCs w:val="20"/>
          <w:color w:val="auto"/>
        </w:rPr>
      </w:pPr>
    </w:p>
    <w:p>
      <w:pPr>
        <w:ind w:right="180" w:firstLine="341"/>
        <w:spacing w:after="0" w:line="287" w:lineRule="auto"/>
        <w:rPr>
          <w:sz w:val="20"/>
          <w:szCs w:val="20"/>
          <w:color w:val="auto"/>
        </w:rPr>
      </w:pPr>
      <w:r>
        <w:rPr>
          <w:rFonts w:ascii="Arial" w:cs="Arial" w:eastAsia="Arial" w:hAnsi="Arial"/>
          <w:sz w:val="17"/>
          <w:szCs w:val="17"/>
          <w:color w:val="auto"/>
        </w:rPr>
        <w:t>With respect to matters other than those set forth above that may properly come before the Annual Meeting, or at any postponement or adjournment thereof, I will vote the shares I have been authorized to represent in accordance with my discretion.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Broker Non-Votes and Required Votes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6"/>
          <w:szCs w:val="16"/>
          <w:color w:val="auto"/>
        </w:rPr>
        <w:t>If you hold your shares of Common Stock through a bank, broker or other nominee (commonly referred to as holding your shares in "street name") and do not provide voting instructions to the record holder of the shares, your shares of Common Stock will not be voted on any proposal on which your bank, broker or other nominee does not have discretionary authority, under applicable rules, to vote. Accordingly, if your shares of Common Stock are held in street name, your bank, broker or other nominee has enclosed a voting instruction card with this proxy statement. I strongly encourage you to vote your shares of Common Stock in favor of my election to the Board by following the instructions provided on the voting instruction card.</w:t>
      </w:r>
    </w:p>
    <w:p>
      <w:pPr>
        <w:spacing w:after="0" w:line="171" w:lineRule="exact"/>
        <w:rPr>
          <w:sz w:val="20"/>
          <w:szCs w:val="20"/>
          <w:color w:val="auto"/>
        </w:rPr>
      </w:pPr>
    </w:p>
    <w:p>
      <w:pPr>
        <w:jc w:val="both"/>
        <w:ind w:right="120" w:firstLine="335"/>
        <w:spacing w:after="0" w:line="296" w:lineRule="auto"/>
        <w:rPr>
          <w:sz w:val="20"/>
          <w:szCs w:val="20"/>
          <w:color w:val="auto"/>
        </w:rPr>
      </w:pPr>
      <w:r>
        <w:rPr>
          <w:rFonts w:ascii="Arial" w:cs="Arial" w:eastAsia="Arial" w:hAnsi="Arial"/>
          <w:sz w:val="15"/>
          <w:szCs w:val="15"/>
          <w:color w:val="auto"/>
        </w:rPr>
        <w:t>According to the Company Proxy Statement, a plurality of the votes cast in person or by proxy at the Annual Meeting is required for the election of directors (Proposal 1). Shares as to which a stockholder withholds voting authority in the election of directors and broker non-votes, which are described above, will not be counted as votes cast and, therefore, will not affect the outcome of the election. The Company Proxy Statement indicates that the ratification of the appointment of Ernst &amp; Young (Proposal 2) and approval of the Stockholder Proposal (Proposal 4) each require that the number of votes cast in favor of such proposal exceeds the number of votes cast in opposition. For purposes of the votes on these proposals, broker non-votes (to the extent applicable) and abstentions will not count as votes cast and, therefore, will not affect the outcome of these proposals. As stated in the Company Proxy Statement, approval of the Articles Amendment (Proposal</w:t>
      </w:r>
    </w:p>
    <w:p>
      <w:pPr>
        <w:spacing w:after="0" w:line="1" w:lineRule="exact"/>
        <w:rPr>
          <w:sz w:val="20"/>
          <w:szCs w:val="20"/>
          <w:color w:val="auto"/>
        </w:rPr>
      </w:pPr>
    </w:p>
    <w:p>
      <w:pPr>
        <w:jc w:val="both"/>
        <w:ind w:right="160" w:firstLine="6"/>
        <w:spacing w:after="0" w:line="270" w:lineRule="auto"/>
        <w:tabs>
          <w:tab w:leader="none" w:pos="1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requires the affirmative vote of the holders of at least a majority of the voting power of the issued and outstanding Common Stock of the Company. Abstentions and broker non-votes, as well as shares not in attendance at the Annual Meeting and not voted by proxy, will have the same effect as a vote against the proposal to adopt the Articles Amendment.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Revocation of Proxies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may revoke or change your proxy instructions at any time prior to the vote at the Annual Meeting by:</w:t>
      </w:r>
    </w:p>
    <w:p>
      <w:pPr>
        <w:spacing w:after="0" w:line="236" w:lineRule="exact"/>
        <w:rPr>
          <w:sz w:val="20"/>
          <w:szCs w:val="20"/>
          <w:color w:val="auto"/>
        </w:rPr>
      </w:pPr>
    </w:p>
    <w:p>
      <w:pPr>
        <w:ind w:left="1060" w:right="80" w:hanging="524"/>
        <w:spacing w:after="0" w:line="294"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submitting a properly executed, subsequently 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will revoke all prior proxy cards, including any WHITE proxy cards that you may have submitted to the Company;</w:t>
      </w:r>
    </w:p>
    <w:p>
      <w:pPr>
        <w:spacing w:after="0" w:line="189" w:lineRule="exact"/>
        <w:rPr>
          <w:rFonts w:ascii="Arial" w:cs="Arial" w:eastAsia="Arial" w:hAnsi="Arial"/>
          <w:sz w:val="17"/>
          <w:szCs w:val="17"/>
          <w:color w:val="auto"/>
        </w:rPr>
      </w:pPr>
    </w:p>
    <w:p>
      <w:pPr>
        <w:ind w:left="1060" w:hanging="5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providing instructions by telephone or via the Internet as to how you would like your shares of Common Stock voted;</w:t>
      </w:r>
    </w:p>
    <w:p>
      <w:pPr>
        <w:spacing w:after="0" w:line="241" w:lineRule="exact"/>
        <w:rPr>
          <w:rFonts w:ascii="Arial" w:cs="Arial" w:eastAsia="Arial" w:hAnsi="Arial"/>
          <w:sz w:val="17"/>
          <w:szCs w:val="17"/>
          <w:color w:val="auto"/>
        </w:rPr>
      </w:pPr>
    </w:p>
    <w:p>
      <w:pPr>
        <w:ind w:left="1060" w:right="160" w:hanging="524"/>
        <w:spacing w:after="0" w:line="287"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attending the Annual Meeting and withdrawing your proxy by voting in person (although attendance at the Annual Meeting will not in and of itself constitute revocation of a proxy); or</w:t>
      </w:r>
    </w:p>
    <w:p>
      <w:pPr>
        <w:spacing w:after="0" w:line="181" w:lineRule="exact"/>
        <w:rPr>
          <w:rFonts w:ascii="Arial" w:cs="Arial" w:eastAsia="Arial" w:hAnsi="Arial"/>
          <w:sz w:val="17"/>
          <w:szCs w:val="17"/>
          <w:color w:val="auto"/>
        </w:rPr>
      </w:pPr>
    </w:p>
    <w:p>
      <w:pPr>
        <w:ind w:left="1060" w:right="1120" w:hanging="524"/>
        <w:spacing w:after="0" w:line="357" w:lineRule="auto"/>
        <w:tabs>
          <w:tab w:leader="none" w:pos="10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delivering written notice of revocation either to Elaine P. Wynn c/o Okapi Partners LLC, 437 Madison Avenue 28th Floor, New York, New York 10022, or the Corporate Secretary of the Company at 3131 Las Vegas Boulevard South, Las Vegas, Nevada 89109.</w:t>
      </w:r>
    </w:p>
    <w:p>
      <w:pPr>
        <w:spacing w:after="0" w:line="123" w:lineRule="exact"/>
        <w:rPr>
          <w:sz w:val="20"/>
          <w:szCs w:val="20"/>
          <w:color w:val="auto"/>
        </w:rPr>
      </w:pPr>
    </w:p>
    <w:p>
      <w:pPr>
        <w:jc w:val="both"/>
        <w:ind w:firstLine="335"/>
        <w:spacing w:after="0" w:line="273" w:lineRule="auto"/>
        <w:rPr>
          <w:sz w:val="20"/>
          <w:szCs w:val="20"/>
          <w:color w:val="auto"/>
        </w:rPr>
      </w:pPr>
      <w:r>
        <w:rPr>
          <w:rFonts w:ascii="Arial" w:cs="Arial" w:eastAsia="Arial" w:hAnsi="Arial"/>
          <w:sz w:val="17"/>
          <w:szCs w:val="17"/>
          <w:color w:val="auto"/>
        </w:rPr>
        <w:t>Although a revocation is effective if delivered to the Company, I request that either the original or a copy of any revocation be faxed to me at (212) 297-1710 or mailed to Elaine P. Wynn c/o Okapi Partners LLC, 437 Madison Avenue 28th Floor, New York, New York 10022, so that I will be aware of all revocations. You may also call Okapi Partners at (877) 629-6355 and they will assist you with sending a copy of the revocation.</w:t>
      </w:r>
    </w:p>
    <w:p>
      <w:pPr>
        <w:spacing w:after="0" w:line="181" w:lineRule="exact"/>
        <w:rPr>
          <w:sz w:val="20"/>
          <w:szCs w:val="20"/>
          <w:color w:val="auto"/>
        </w:rPr>
      </w:pPr>
    </w:p>
    <w:p>
      <w:pPr>
        <w:jc w:val="both"/>
        <w:ind w:right="80" w:firstLine="344"/>
        <w:spacing w:after="0" w:line="298" w:lineRule="auto"/>
        <w:rPr>
          <w:sz w:val="20"/>
          <w:szCs w:val="20"/>
          <w:color w:val="auto"/>
        </w:rPr>
      </w:pPr>
      <w:r>
        <w:rPr>
          <w:rFonts w:ascii="Arial" w:cs="Arial" w:eastAsia="Arial" w:hAnsi="Arial"/>
          <w:sz w:val="16"/>
          <w:szCs w:val="16"/>
          <w:color w:val="auto"/>
        </w:rPr>
        <w:t xml:space="preserve">IF YOU PREVIOUSLY SIGNED AND RETURNED A WHITE PROXY CARD TO THE COMPANY, I URGE YOU TO REVOKE IT BY (1) MARKING, SIGNING, DATING AND RETURNING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(2) PROVIDING INSTRUCTIONS BY TELEPHONE OR VIA THE INTERNET AS TO HOW YOU WOULD LIKE YOUR SHARES OF COMMON STOCK VOTED IN ACCORDANCE WITH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(3) ATTENDING THE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AND VOTING IN PERSON OR (4) DELIVERING A WRITTEN NOTICE OF REVOCATION TO ME.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Other Matters to be Considered at the Annual Meeting</w:t>
      </w:r>
    </w:p>
    <w:p>
      <w:pPr>
        <w:spacing w:after="0" w:line="228" w:lineRule="exact"/>
        <w:rPr>
          <w:sz w:val="20"/>
          <w:szCs w:val="20"/>
          <w:color w:val="auto"/>
        </w:rPr>
      </w:pPr>
    </w:p>
    <w:p>
      <w:pPr>
        <w:ind w:right="100" w:firstLine="344"/>
        <w:spacing w:after="0" w:line="266" w:lineRule="auto"/>
        <w:rPr>
          <w:sz w:val="20"/>
          <w:szCs w:val="20"/>
          <w:color w:val="auto"/>
        </w:rPr>
      </w:pPr>
      <w:r>
        <w:rPr>
          <w:rFonts w:ascii="Arial" w:cs="Arial" w:eastAsia="Arial" w:hAnsi="Arial"/>
          <w:sz w:val="17"/>
          <w:szCs w:val="17"/>
          <w:color w:val="auto"/>
        </w:rPr>
        <w:t xml:space="preserve">Except as set forth above, I am not aware of any other matters to be brought before the Annual Meeting. Should other matters properly be brought before the Annual Meeting, the attached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when duly executed, will give me discretionary authority to vote on all such other matters and on all matters incident to the conduct of the Annual Meeting. In furtherance of the foregoing, should the Board, management or any other stockholder bring before the Annual Meeting any proposal to adjourn the Annual Meeting, the attached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when duly executed, will give me the discretionary authority to vote on such adjournment proposal.</w:t>
      </w:r>
    </w:p>
    <w:p>
      <w:pPr>
        <w:spacing w:after="0" w:line="188"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Execution and delivery of a proxy by a record holder of shares of Common Stock will be presumed to be a proxy with respect to all shares held by such record holder unless the proxy specifies otherwise.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SOLICITATION OF PROXIES</w:t>
      </w:r>
    </w:p>
    <w:p>
      <w:pPr>
        <w:spacing w:after="0" w:line="234" w:lineRule="exact"/>
        <w:rPr>
          <w:sz w:val="20"/>
          <w:szCs w:val="20"/>
          <w:color w:val="auto"/>
        </w:rPr>
      </w:pPr>
    </w:p>
    <w:p>
      <w:pPr>
        <w:ind w:right="40" w:firstLine="344"/>
        <w:spacing w:after="0" w:line="296" w:lineRule="auto"/>
        <w:rPr>
          <w:sz w:val="20"/>
          <w:szCs w:val="20"/>
          <w:color w:val="auto"/>
        </w:rPr>
      </w:pPr>
      <w:r>
        <w:rPr>
          <w:rFonts w:ascii="Arial" w:cs="Arial" w:eastAsia="Arial" w:hAnsi="Arial"/>
          <w:sz w:val="15"/>
          <w:szCs w:val="15"/>
          <w:color w:val="auto"/>
        </w:rPr>
        <w:t>I have entered into an agreement with Okapi Partners LLC to help conduct my proxy solicitation, for which Okapi Partners will receive a retainer not to exceed $300,000 applicable toward the final fee to be mutually agreed upon by me and Okapi Partners, together with reimbursement for its reasonable out-of-pocket expenses, and will be indemnified against certain liabilities and expenses. Proxies may be solicited from individuals, banks, brokers, custodians, nominees, other institutional holders and other fiduciaries in person and by mail, phone, publication and electronic means. I will request such individuals and institutions to forward all solicitation materials to the beneficial owners of the shares of Common Stock they hold of record. I will reimburse these record holders for their reasonable out-</w:t>
      </w:r>
    </w:p>
    <w:p>
      <w:pPr>
        <w:spacing w:after="0" w:line="1" w:lineRule="exact"/>
        <w:rPr>
          <w:sz w:val="20"/>
          <w:szCs w:val="20"/>
          <w:color w:val="auto"/>
        </w:rPr>
      </w:pPr>
    </w:p>
    <w:p>
      <w:pPr>
        <w:spacing w:after="0"/>
        <w:tabs>
          <w:tab w:leader="none" w:pos="6240" w:val="left"/>
        </w:tabs>
        <w:rPr>
          <w:sz w:val="20"/>
          <w:szCs w:val="20"/>
          <w:color w:val="auto"/>
        </w:rPr>
      </w:pPr>
      <w:r>
        <w:rPr>
          <w:rFonts w:ascii="Arial" w:cs="Arial" w:eastAsia="Arial" w:hAnsi="Arial"/>
          <w:sz w:val="17"/>
          <w:szCs w:val="17"/>
          <w:color w:val="auto"/>
        </w:rPr>
        <w:t>of-pocket expenses in so doing. It is anticipated that Okapi Partners will employ up to</w:t>
      </w:r>
      <w:r>
        <w:rPr>
          <w:sz w:val="20"/>
          <w:szCs w:val="20"/>
          <w:color w:val="auto"/>
        </w:rPr>
        <w:tab/>
      </w:r>
      <w:r>
        <w:rPr>
          <w:rFonts w:ascii="Arial" w:cs="Arial" w:eastAsia="Arial" w:hAnsi="Arial"/>
          <w:sz w:val="15"/>
          <w:szCs w:val="15"/>
          <w:color w:val="auto"/>
        </w:rPr>
        <w:t>persons to solicit the Company's stockholders for the Annual Meeting.</w:t>
      </w:r>
    </w:p>
    <w:p>
      <w:pPr>
        <w:spacing w:after="0" w:line="223" w:lineRule="exact"/>
        <w:rPr>
          <w:sz w:val="20"/>
          <w:szCs w:val="20"/>
          <w:color w:val="auto"/>
        </w:rPr>
      </w:pPr>
    </w:p>
    <w:p>
      <w:pPr>
        <w:ind w:left="340"/>
        <w:spacing w:after="0"/>
        <w:tabs>
          <w:tab w:leader="none" w:pos="6820" w:val="left"/>
          <w:tab w:leader="none" w:pos="9460" w:val="left"/>
        </w:tabs>
        <w:rPr>
          <w:sz w:val="20"/>
          <w:szCs w:val="20"/>
          <w:color w:val="auto"/>
        </w:rPr>
      </w:pPr>
      <w:r>
        <w:rPr>
          <w:rFonts w:ascii="Arial" w:cs="Arial" w:eastAsia="Arial" w:hAnsi="Arial"/>
          <w:sz w:val="17"/>
          <w:szCs w:val="17"/>
          <w:color w:val="auto"/>
        </w:rPr>
        <w:t>Total costs related to this solicitation of proxies are expected to be approximately $</w:t>
      </w:r>
      <w:r>
        <w:rPr>
          <w:sz w:val="20"/>
          <w:szCs w:val="20"/>
          <w:color w:val="auto"/>
        </w:rPr>
        <w:tab/>
      </w:r>
      <w:r>
        <w:rPr>
          <w:rFonts w:ascii="Arial" w:cs="Arial" w:eastAsia="Arial" w:hAnsi="Arial"/>
          <w:sz w:val="17"/>
          <w:szCs w:val="17"/>
          <w:color w:val="auto"/>
        </w:rPr>
        <w:t>, of which approximately $</w:t>
      </w:r>
      <w:r>
        <w:rPr>
          <w:sz w:val="20"/>
          <w:szCs w:val="20"/>
          <w:color w:val="auto"/>
        </w:rPr>
        <w:tab/>
      </w:r>
      <w:r>
        <w:rPr>
          <w:rFonts w:ascii="Arial" w:cs="Arial" w:eastAsia="Arial" w:hAnsi="Arial"/>
          <w:sz w:val="14"/>
          <w:szCs w:val="14"/>
          <w:color w:val="auto"/>
        </w:rPr>
        <w:t>has been expended to date.</w:t>
      </w:r>
    </w:p>
    <w:p>
      <w:pPr>
        <w:spacing w:after="0" w:line="22"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I will pay the costs of this solicitation of proxies, including the cost of preparing, assembling and mailing this proxy material to stockholders. I do not intend to seek reimbursement of these costs from the Company.</w:t>
      </w:r>
    </w:p>
    <w:p>
      <w:pPr>
        <w:spacing w:after="0" w:line="38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ADDITIONAL INFORMATION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Please refer to the Company Proxy Statement for the following information:</w:t>
      </w:r>
    </w:p>
    <w:p>
      <w:pPr>
        <w:spacing w:after="0" w:line="242" w:lineRule="exact"/>
        <w:rPr>
          <w:sz w:val="20"/>
          <w:szCs w:val="20"/>
          <w:color w:val="auto"/>
        </w:rPr>
      </w:pPr>
    </w:p>
    <w:p>
      <w:pPr>
        <w:ind w:left="1060" w:hanging="524"/>
        <w:spacing w:after="0" w:line="287"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 by which proposals of stockholders intended to be presented at the 2016 annual meeting of stockholders must be received by the Company in order to be included in the Company's proxy materials for that meeting;</w:t>
      </w:r>
    </w:p>
    <w:p>
      <w:pPr>
        <w:spacing w:after="0" w:line="19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 by which the submission of nominees of stockholders intended to be nominated as directors at the 2016 annual meeting of stockholders must be received by the Company in order to be included in the Company's proxy materials for that meeting;</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information regarding the securities of the Company held by the Company's directors, nominees, executive officers and beneficial holders of more than five percent of the Common Stock (although information about my ownership is also included on </w:t>
      </w:r>
      <w:r>
        <w:rPr>
          <w:rFonts w:ascii="Arial" w:cs="Arial" w:eastAsia="Arial" w:hAnsi="Arial"/>
          <w:sz w:val="17"/>
          <w:szCs w:val="17"/>
          <w:i w:val="1"/>
          <w:iCs w:val="1"/>
          <w:color w:val="auto"/>
        </w:rPr>
        <w:t>Annex B</w:t>
      </w:r>
      <w:r>
        <w:rPr>
          <w:rFonts w:ascii="Arial" w:cs="Arial" w:eastAsia="Arial" w:hAnsi="Arial"/>
          <w:sz w:val="17"/>
          <w:szCs w:val="17"/>
          <w:color w:val="auto"/>
        </w:rPr>
        <w:t>), and</w:t>
      </w:r>
    </w:p>
    <w:p>
      <w:pPr>
        <w:spacing w:after="0" w:line="181"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information concerning the Company's compensation policies and compensation paid or payable to the Company's executive officers and directors (although information about my ownership is also included on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16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I take no responsibility for the accuracy or completeness of any information or statements contained in the Company Proxy Statement, including any such information or statements appearing herein.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A</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ADDITIONAL INFORMATION ABOUT MS. WYNN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Certain Payments and Interests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I am currently a director of the Company, and I have served as a director since 2002. In fiscal 2014, I received $72,000 from the Company for my service on the Board and for my attendance at Board meetings. I did not receive any stock options or any other equity compensation.</w:t>
      </w:r>
    </w:p>
    <w:p>
      <w:pPr>
        <w:spacing w:after="0" w:line="168" w:lineRule="exact"/>
        <w:rPr>
          <w:sz w:val="20"/>
          <w:szCs w:val="20"/>
          <w:color w:val="auto"/>
        </w:rPr>
      </w:pPr>
    </w:p>
    <w:p>
      <w:pPr>
        <w:ind w:right="100" w:firstLine="344"/>
        <w:spacing w:after="0" w:line="269" w:lineRule="auto"/>
        <w:rPr>
          <w:sz w:val="20"/>
          <w:szCs w:val="20"/>
          <w:color w:val="auto"/>
        </w:rPr>
      </w:pPr>
      <w:r>
        <w:rPr>
          <w:rFonts w:ascii="Arial" w:cs="Arial" w:eastAsia="Arial" w:hAnsi="Arial"/>
          <w:sz w:val="17"/>
          <w:szCs w:val="17"/>
          <w:color w:val="auto"/>
        </w:rPr>
        <w:t>I believe that, if elected, I will be entitled to receive the cash compensation currently paid by the Company to its non-executive directors, all subject to required approvals and applicable law, and I will forego any stock options or other equity compensation, as I have in the past. I expect that, if elected, I will be indemnified for service as a director of the Company and covered by director and officer liability insurance to the same extent that indemnification and insurance coverage is provided to the current directors of the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Agreement with Respect to Securities of the Company</w:t>
      </w:r>
    </w:p>
    <w:p>
      <w:pPr>
        <w:spacing w:after="0" w:line="22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On January 6, 2010, I entered into an amended and restated stockholders agreement (the "</w:t>
      </w:r>
      <w:r>
        <w:rPr>
          <w:rFonts w:ascii="Arial" w:cs="Arial" w:eastAsia="Arial" w:hAnsi="Arial"/>
          <w:sz w:val="17"/>
          <w:szCs w:val="17"/>
          <w:i w:val="1"/>
          <w:iCs w:val="1"/>
          <w:color w:val="auto"/>
        </w:rPr>
        <w:t>Amended and Restated Stockholders Agreement</w:t>
      </w:r>
      <w:r>
        <w:rPr>
          <w:rFonts w:ascii="Arial" w:cs="Arial" w:eastAsia="Arial" w:hAnsi="Arial"/>
          <w:sz w:val="17"/>
          <w:szCs w:val="17"/>
          <w:color w:val="auto"/>
        </w:rPr>
        <w:t>") with Stephen A. Wynn, the Chairman of the Board and CEO of the Company, and Aruze USA, Inc. ("</w:t>
      </w:r>
      <w:r>
        <w:rPr>
          <w:rFonts w:ascii="Arial" w:cs="Arial" w:eastAsia="Arial" w:hAnsi="Arial"/>
          <w:sz w:val="17"/>
          <w:szCs w:val="17"/>
          <w:i w:val="1"/>
          <w:iCs w:val="1"/>
          <w:color w:val="auto"/>
        </w:rPr>
        <w:t>Aruze</w:t>
      </w:r>
      <w:r>
        <w:rPr>
          <w:rFonts w:ascii="Arial" w:cs="Arial" w:eastAsia="Arial" w:hAnsi="Arial"/>
          <w:sz w:val="17"/>
          <w:szCs w:val="17"/>
          <w:color w:val="auto"/>
        </w:rPr>
        <w:t>"). On February 18, 2012, the Company redeemed all of the shares previously owned by Aruze (the "</w:t>
      </w:r>
      <w:r>
        <w:rPr>
          <w:rFonts w:ascii="Arial" w:cs="Arial" w:eastAsia="Arial" w:hAnsi="Arial"/>
          <w:sz w:val="17"/>
          <w:szCs w:val="17"/>
          <w:i w:val="1"/>
          <w:iCs w:val="1"/>
          <w:color w:val="auto"/>
        </w:rPr>
        <w:t>Aruze Share Redemption</w:t>
      </w:r>
      <w:r>
        <w:rPr>
          <w:rFonts w:ascii="Arial" w:cs="Arial" w:eastAsia="Arial" w:hAnsi="Arial"/>
          <w:sz w:val="17"/>
          <w:szCs w:val="17"/>
          <w:color w:val="auto"/>
        </w:rPr>
        <w:t>"), and Aruze is no longer a stockholder of the Company.</w:t>
      </w:r>
    </w:p>
    <w:p>
      <w:pPr>
        <w:spacing w:after="0" w:line="181" w:lineRule="exact"/>
        <w:rPr>
          <w:sz w:val="20"/>
          <w:szCs w:val="20"/>
          <w:color w:val="auto"/>
        </w:rPr>
      </w:pPr>
    </w:p>
    <w:p>
      <w:pPr>
        <w:ind w:right="20" w:firstLine="335"/>
        <w:spacing w:after="0" w:line="310" w:lineRule="auto"/>
        <w:rPr>
          <w:sz w:val="20"/>
          <w:szCs w:val="20"/>
          <w:color w:val="auto"/>
        </w:rPr>
      </w:pPr>
      <w:r>
        <w:rPr>
          <w:rFonts w:ascii="Arial" w:cs="Arial" w:eastAsia="Arial" w:hAnsi="Arial"/>
          <w:sz w:val="15"/>
          <w:szCs w:val="15"/>
          <w:color w:val="auto"/>
        </w:rPr>
        <w:t>As noted in the Company Proxy Statement and in its most recent Annual Report on Form 10-K, Mr. Wynn has taken the position that the Amended and Restated Stockholders Agreement is still in effect, which if true would mean, among other things, that he is obligated to include me "as one of his endorsed nominees" in any election of Company directors. Under the Amended and Restated Stockholders Agreement, he is also required to vote all of the shares that both of us hold in favor of my election to the Board because he is obligated to vote those shares "in a manner so as to elect to Wynn's Board of Directors each of the nominees contained on each and every slate of directors endorsed by [Mr. Wynn]." For more information, please see the section below titled "Legal Proceedings."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Related Person Transactions</w:t>
      </w:r>
    </w:p>
    <w:p>
      <w:pPr>
        <w:spacing w:after="0" w:line="228" w:lineRule="exact"/>
        <w:rPr>
          <w:sz w:val="20"/>
          <w:szCs w:val="20"/>
          <w:color w:val="auto"/>
        </w:rPr>
      </w:pPr>
    </w:p>
    <w:p>
      <w:pPr>
        <w:ind w:right="120" w:firstLine="341"/>
        <w:spacing w:after="0" w:line="326" w:lineRule="auto"/>
        <w:rPr>
          <w:sz w:val="20"/>
          <w:szCs w:val="20"/>
          <w:color w:val="auto"/>
        </w:rPr>
      </w:pPr>
      <w:r>
        <w:rPr>
          <w:rFonts w:ascii="Arial" w:cs="Arial" w:eastAsia="Arial" w:hAnsi="Arial"/>
          <w:sz w:val="15"/>
          <w:szCs w:val="15"/>
          <w:color w:val="auto"/>
        </w:rPr>
        <w:t>The Company periodically provides services to certain of its executive officers and directors, including me. The services provided include the personal use of employees, construction work and other personal services. Like other officers and directors who receive such services, I have a deposit with the Company to prepay any such items, and the deposit is replenished on an ongoing basis as needed. At December 31, 2014, I had a net deposit balance with the Company of $178,190.</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My brother, Michael Pascal, who has worked in the gaming industry for 37 years, was employed by the Company as a Senior Executive Host of</w:t>
      </w:r>
    </w:p>
    <w:p>
      <w:pPr>
        <w:spacing w:after="0" w:line="2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Wynn Las Vegas, until the Company terminated his employment on February 27, 2015, the same day it filed the Company Proxy Statement. As of the date hereof, the Company still employed Michael Pascal's wife, Mary Ann Pascal, as Vice President—Player Development at Wynn Las Vegas. The Audit Committee of the Company approved each of these employment arrangements in advance and determined that compensation was at (or below) levels paid to non-family members. Total compensation paid to Michael Pascal for 2014 included base salary and bonus of $142,500 and other compensation of $2,269. Total compensation paid to Mary Ann Pascal for 2014 included base salary and bonus of $200,000, and other compensation of $774. The annual base salary for Michael Pascal was $132,500, and the annual base salary for Mary Ann Pascal is $200,000.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On February 19, 2012, the day after the Aruze Share Redemption, the Company filed a complaint alleging breaches of fiduciary duty and related claims in the Eighth Judicial District Court, Clark County, Nevada against Aruze, Universal Entertainment Corporation (Aruze's parent company) and Kazuo Okada (the majority sstockholder of Universal Entertainment Corporation and a former member of the Board). On June 19, 2012, I asserted a cross claim in this action against Mr. Wynn and Aruze, seeking a declaration that (1) any and all of my duties under the Amended and Restated Stockholders Agreement shall be discharged; (2) the Amended and Restated Stockholders Agreement is subject to rescission and is rescinded; (3) certain restrictions in the Amended and Restated Stockholders Agreement constitute an unreasonable restraint on alienation in violation of public policy; and/or (4) the restrictions on sale of shares shall be construed as inapplicable to sales by me of shares, subject to certain conditions.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B</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BENEFICIAL OWNERSHIP IN, AND TRANSACTIONS IN SECURITIES OF,</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COMPANY DURING THE PAST TWO YEARS</w:t>
      </w:r>
    </w:p>
    <w:p>
      <w:pPr>
        <w:spacing w:after="0" w:line="223" w:lineRule="exact"/>
        <w:rPr>
          <w:sz w:val="20"/>
          <w:szCs w:val="20"/>
          <w:color w:val="auto"/>
        </w:rPr>
      </w:pPr>
    </w:p>
    <w:p>
      <w:pPr>
        <w:ind w:right="180" w:firstLine="335"/>
        <w:spacing w:after="0" w:line="273" w:lineRule="auto"/>
        <w:rPr>
          <w:sz w:val="20"/>
          <w:szCs w:val="20"/>
          <w:color w:val="auto"/>
        </w:rPr>
      </w:pPr>
      <w:r>
        <w:rPr>
          <w:rFonts w:ascii="Arial" w:cs="Arial" w:eastAsia="Arial" w:hAnsi="Arial"/>
          <w:sz w:val="17"/>
          <w:szCs w:val="17"/>
          <w:color w:val="auto"/>
        </w:rPr>
        <w:t>As of March , 2015, I beneficially own 9,539,077 shares of Common Stock, representing approximately 9.4% of the Company's outstanding shares. This number does not include additional shares that I may be deemed to beneficially own by virtue of the Amended and Restated Stockholders Agreement. My business address is c/o Wynn Resorts, Limited, 3131 Las Vegas Boulevard South, Las Vegas, Nevada 89109.</w:t>
      </w:r>
    </w:p>
    <w:p>
      <w:pPr>
        <w:spacing w:after="0" w:line="181"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 have not purchased or sold any shares of Common Stock within the past two years, but I have made two gifts of shares to philanthropic entities, as set forth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95"/>
              </w:rPr>
              <w:t>Number of</w:t>
            </w:r>
          </w:p>
        </w:tc>
      </w:tr>
      <w:tr>
        <w:trPr>
          <w:trHeight w:val="158"/>
        </w:trPr>
        <w:tc>
          <w:tcPr>
            <w:tcW w:w="17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Transaction</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80" w:type="dxa"/>
            <w:vAlign w:val="bottom"/>
            <w:gridSpan w:val="2"/>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26, 2015</w:t>
            </w:r>
          </w:p>
        </w:tc>
        <w:tc>
          <w:tcPr>
            <w:tcW w:w="36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Gift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69,257</w:t>
            </w:r>
          </w:p>
        </w:tc>
        <w:tc>
          <w:tcPr>
            <w:tcW w:w="1720" w:type="dxa"/>
            <w:vAlign w:val="bottom"/>
          </w:tcPr>
          <w:p>
            <w:pPr>
              <w:spacing w:after="0"/>
              <w:rPr>
                <w:sz w:val="17"/>
                <w:szCs w:val="17"/>
                <w:color w:val="auto"/>
              </w:rPr>
            </w:pPr>
          </w:p>
        </w:tc>
      </w:tr>
      <w:tr>
        <w:trPr>
          <w:trHeight w:val="217"/>
        </w:trPr>
        <w:tc>
          <w:tcPr>
            <w:tcW w:w="17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February 3, 2014</w:t>
            </w:r>
          </w:p>
        </w:tc>
        <w:tc>
          <w:tcPr>
            <w:tcW w:w="36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rPr>
              <w:t>Gift</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51,021</w:t>
            </w:r>
          </w:p>
        </w:tc>
        <w:tc>
          <w:tcPr>
            <w:tcW w:w="1720" w:type="dxa"/>
            <w:vAlign w:val="bottom"/>
          </w:tcPr>
          <w:p>
            <w:pPr>
              <w:spacing w:after="0"/>
              <w:rPr>
                <w:sz w:val="18"/>
                <w:szCs w:val="18"/>
                <w:color w:val="auto"/>
              </w:rPr>
            </w:pPr>
          </w:p>
        </w:tc>
      </w:tr>
      <w:tr>
        <w:trPr>
          <w:trHeight w:val="415"/>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80" w:type="dxa"/>
            <w:vAlign w:val="bottom"/>
            <w:gridSpan w:val="2"/>
          </w:tcPr>
          <w:p>
            <w:pPr>
              <w:ind w:left="1340"/>
              <w:spacing w:after="0"/>
              <w:rPr>
                <w:sz w:val="20"/>
                <w:szCs w:val="20"/>
                <w:color w:val="auto"/>
              </w:rPr>
            </w:pPr>
            <w:r>
              <w:rPr>
                <w:rFonts w:ascii="Arial" w:cs="Arial" w:eastAsia="Arial" w:hAnsi="Arial"/>
                <w:sz w:val="17"/>
                <w:szCs w:val="17"/>
                <w:color w:val="auto"/>
              </w:rPr>
              <w:t>B-1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Elaine P. Wynn c/o Okapi Partners LLC</w:t>
      </w:r>
    </w:p>
    <w:p>
      <w:pPr>
        <w:spacing w:after="0" w:line="218" w:lineRule="auto"/>
        <w:rPr>
          <w:sz w:val="20"/>
          <w:szCs w:val="20"/>
          <w:color w:val="auto"/>
        </w:rPr>
      </w:pPr>
      <w:r>
        <w:rPr>
          <w:rFonts w:ascii="Arial" w:cs="Arial" w:eastAsia="Arial" w:hAnsi="Arial"/>
          <w:sz w:val="18"/>
          <w:szCs w:val="18"/>
          <w:b w:val="1"/>
          <w:bCs w:val="1"/>
          <w:i w:val="1"/>
          <w:iCs w:val="1"/>
          <w:color w:val="auto"/>
        </w:rPr>
        <w:t>437 Madison Avenue 28</w:t>
      </w:r>
      <w:r>
        <w:rPr>
          <w:rFonts w:ascii="Arial" w:cs="Arial" w:eastAsia="Arial" w:hAnsi="Arial"/>
          <w:sz w:val="22"/>
          <w:szCs w:val="22"/>
          <w:b w:val="1"/>
          <w:bCs w:val="1"/>
          <w:i w:val="1"/>
          <w:iCs w:val="1"/>
          <w:color w:val="auto"/>
          <w:vertAlign w:val="superscript"/>
        </w:rPr>
        <w:t>th</w:t>
      </w:r>
      <w:r>
        <w:rPr>
          <w:rFonts w:ascii="Arial" w:cs="Arial" w:eastAsia="Arial" w:hAnsi="Arial"/>
          <w:sz w:val="18"/>
          <w:szCs w:val="18"/>
          <w:b w:val="1"/>
          <w:bCs w:val="1"/>
          <w:i w:val="1"/>
          <w:iCs w:val="1"/>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NY 10022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color w:val="auto"/>
        </w:rPr>
        <w:t>[</w:t>
      </w:r>
      <w:r>
        <w:rPr>
          <w:rFonts w:ascii="Arial" w:cs="Arial" w:eastAsia="Arial" w:hAnsi="Arial"/>
          <w:sz w:val="22"/>
          <w:szCs w:val="22"/>
          <w:color w:val="auto"/>
        </w:rPr>
        <w:t>·</w:t>
      </w:r>
      <w:r>
        <w:rPr>
          <w:rFonts w:ascii="Arial" w:cs="Arial" w:eastAsia="Arial" w:hAnsi="Arial"/>
          <w:sz w:val="18"/>
          <w:szCs w:val="18"/>
          <w:color w:val="auto"/>
        </w:rPr>
        <w:t>]</w:t>
      </w:r>
    </w:p>
    <w:p>
      <w:pPr>
        <w:spacing w:after="0" w:line="1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Use the Internet to transmit your voting instructions up until 11:59 p.m, Eastern time, on April 23, 2015. Have your proxy card in hand when you access the web site and follow the instructions to obtain your records and to create an electronic voting instruction form.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w:t>
      </w:r>
      <w:r>
        <w:rPr>
          <w:rFonts w:ascii="Arial" w:cs="Arial" w:eastAsia="Arial" w:hAnsi="Arial"/>
          <w:sz w:val="22"/>
          <w:szCs w:val="22"/>
          <w:color w:val="auto"/>
        </w:rPr>
        <w:t>·</w:t>
      </w:r>
      <w:r>
        <w:rPr>
          <w:rFonts w:ascii="Arial" w:cs="Arial" w:eastAsia="Arial" w:hAnsi="Arial"/>
          <w:sz w:val="18"/>
          <w:szCs w:val="18"/>
          <w:b w:val="1"/>
          <w:bCs w:val="1"/>
          <w:color w:val="auto"/>
        </w:rPr>
        <w:t>]</w:t>
      </w:r>
    </w:p>
    <w:p>
      <w:pPr>
        <w:spacing w:after="0" w:line="14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Use any touch-tone telephone to transmit your voting instructions up until 11:59 p.m, Eastern time, on April 23, 2015. Have your proxy card in hand when you call and then follow the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2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auto"/>
        </w:rPr>
        <w:t>Mark, sign and date your proxy card and return it in the postage-paid envelope that has been provided or return it to Elaine P. Wynn c/o Okapi Partners LLC, 437 Madison Avenue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200" w:lineRule="exact"/>
        <w:rPr>
          <w:sz w:val="20"/>
          <w:szCs w:val="20"/>
          <w:color w:val="auto"/>
        </w:rPr>
      </w:pPr>
    </w:p>
    <w:p>
      <w:pPr>
        <w:spacing w:after="0" w:line="242" w:lineRule="exact"/>
        <w:rPr>
          <w:sz w:val="20"/>
          <w:szCs w:val="20"/>
          <w:color w:val="auto"/>
        </w:rPr>
      </w:pPr>
    </w:p>
    <w:p>
      <w:pPr>
        <w:spacing w:after="0"/>
        <w:tabs>
          <w:tab w:leader="none" w:pos="832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569595</wp:posOffset>
            </wp:positionV>
            <wp:extent cx="724916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800"/>
        <w:spacing w:after="0"/>
        <w:rPr>
          <w:sz w:val="20"/>
          <w:szCs w:val="20"/>
          <w:color w:val="auto"/>
        </w:rPr>
      </w:pPr>
      <w:r>
        <w:rPr>
          <w:rFonts w:ascii="Arial" w:cs="Arial" w:eastAsia="Arial" w:hAnsi="Arial"/>
          <w:sz w:val="15"/>
          <w:szCs w:val="15"/>
          <w:color w:val="auto"/>
        </w:rPr>
        <w:t>DETACH AND RETURN THIS PORTION ONLY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49160" cy="2918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160" cy="291846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GOLD PROXY CARD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Elaine P. Wynn strongly recommends that you vote FOR her election to the Board in Proposal 1:</w:t>
      </w:r>
    </w:p>
    <w:p>
      <w:pPr>
        <w:spacing w:after="0" w:line="217" w:lineRule="exact"/>
        <w:rPr>
          <w:sz w:val="20"/>
          <w:szCs w:val="20"/>
          <w:color w:val="auto"/>
        </w:rPr>
      </w:pPr>
    </w:p>
    <w:p>
      <w:pPr>
        <w:ind w:left="120"/>
        <w:spacing w:after="0"/>
        <w:tabs>
          <w:tab w:leader="none" w:pos="420" w:val="left"/>
          <w:tab w:leader="none" w:pos="9340" w:val="left"/>
          <w:tab w:leader="none" w:pos="10340" w:val="left"/>
        </w:tabs>
        <w:rPr>
          <w:sz w:val="20"/>
          <w:szCs w:val="20"/>
          <w:color w:val="auto"/>
        </w:rPr>
      </w:pPr>
      <w:r>
        <w:rPr>
          <w:rFonts w:ascii="Arial" w:cs="Arial" w:eastAsia="Arial" w:hAnsi="Arial"/>
          <w:sz w:val="18"/>
          <w:szCs w:val="18"/>
          <w:color w:val="auto"/>
        </w:rPr>
        <w:t>1.</w:t>
        <w:tab/>
        <w:t>To elect Elaine P. Wynn to the Board of Directors of the Company.</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5"/>
          <w:szCs w:val="15"/>
          <w:b w:val="1"/>
          <w:bCs w:val="1"/>
          <w:color w:val="auto"/>
        </w:rPr>
        <w:t>Withhold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Nominee: (01) Elaine P. Wynn</w:t>
      </w:r>
    </w:p>
    <w:p>
      <w:pPr>
        <w:spacing w:after="0" w:line="16" w:lineRule="exact"/>
        <w:rPr>
          <w:sz w:val="20"/>
          <w:szCs w:val="20"/>
          <w:color w:val="auto"/>
        </w:rPr>
      </w:pPr>
    </w:p>
    <w:p>
      <w:pPr>
        <w:ind w:left="9440"/>
        <w:spacing w:after="0"/>
        <w:tabs>
          <w:tab w:leader="none" w:pos="106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p>
    <w:p>
      <w:pPr>
        <w:spacing w:after="0" w:line="205" w:lineRule="exact"/>
        <w:rPr>
          <w:sz w:val="20"/>
          <w:szCs w:val="20"/>
          <w:color w:val="auto"/>
        </w:rPr>
      </w:pPr>
    </w:p>
    <w:p>
      <w:pPr>
        <w:jc w:val="both"/>
        <w:ind w:left="120" w:right="180"/>
        <w:spacing w:after="0" w:line="252" w:lineRule="auto"/>
        <w:rPr>
          <w:sz w:val="20"/>
          <w:szCs w:val="20"/>
          <w:color w:val="auto"/>
        </w:rPr>
      </w:pPr>
      <w:r>
        <w:rPr>
          <w:rFonts w:ascii="Arial" w:cs="Arial" w:eastAsia="Arial" w:hAnsi="Arial"/>
          <w:sz w:val="18"/>
          <w:szCs w:val="18"/>
          <w:color w:val="auto"/>
        </w:rPr>
        <w:t>Two directors will be elected at the Annual Meeting. Ms. Wynn intends to use this proxy to vote FOR her election as a director and FOR the election of the candidate who has been nominated by the Company other than John J. Hagenbuch. The names, backgrounds and qualifications of the Company’s nominees, and certain other information about them, can be found in the Company’s proxy statement. There is no assurance that either of the Company’s nominees will serve as a director if Ms. Wynn is elected.</w:t>
      </w:r>
    </w:p>
    <w:p>
      <w:pPr>
        <w:spacing w:after="0" w:line="190" w:lineRule="exact"/>
        <w:rPr>
          <w:sz w:val="20"/>
          <w:szCs w:val="20"/>
          <w:color w:val="auto"/>
        </w:rPr>
      </w:pPr>
    </w:p>
    <w:p>
      <w:pPr>
        <w:jc w:val="both"/>
        <w:ind w:left="120" w:right="200"/>
        <w:spacing w:after="0" w:line="264" w:lineRule="auto"/>
        <w:rPr>
          <w:sz w:val="20"/>
          <w:szCs w:val="20"/>
          <w:color w:val="auto"/>
        </w:rPr>
      </w:pPr>
      <w:r>
        <w:rPr>
          <w:rFonts w:ascii="Arial" w:cs="Arial" w:eastAsia="Arial" w:hAnsi="Arial"/>
          <w:sz w:val="18"/>
          <w:szCs w:val="18"/>
          <w:color w:val="auto"/>
        </w:rPr>
        <w:t>Note: Ms. Wynn is not seeking authority to vote for, and will not vote for, Mr. Hagenbuch. If you do not wish for your shares to be voted for the Company’s other nominee, you may withhold authority to vote for him by writing his name on the line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639445</wp:posOffset>
            </wp:positionV>
            <wp:extent cx="727011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115" cy="292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1020445</wp:posOffset>
            </wp:positionV>
            <wp:extent cx="7249160" cy="2929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tabs>
          <w:tab w:leader="none" w:pos="9000" w:val="left"/>
          <w:tab w:leader="none" w:pos="9800" w:val="left"/>
          <w:tab w:leader="none" w:pos="10780" w:val="left"/>
        </w:tabs>
        <w:rPr>
          <w:sz w:val="20"/>
          <w:szCs w:val="20"/>
          <w:color w:val="auto"/>
        </w:rPr>
      </w:pPr>
      <w:r>
        <w:rPr>
          <w:rFonts w:ascii="Arial" w:cs="Arial" w:eastAsia="Arial" w:hAnsi="Arial"/>
          <w:sz w:val="18"/>
          <w:szCs w:val="18"/>
          <w:b w:val="1"/>
          <w:bCs w:val="1"/>
          <w:color w:val="auto"/>
        </w:rPr>
        <w:t>Elaine P. Wynn recommends that you vote FOR Proposals 2 and 3:</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5"/>
          <w:szCs w:val="15"/>
          <w:b w:val="1"/>
          <w:bCs w:val="1"/>
          <w:color w:val="auto"/>
        </w:rPr>
        <w:t>Abstain</w:t>
      </w:r>
    </w:p>
    <w:p>
      <w:pPr>
        <w:spacing w:after="0" w:line="223" w:lineRule="exact"/>
        <w:rPr>
          <w:sz w:val="20"/>
          <w:szCs w:val="20"/>
          <w:color w:val="auto"/>
        </w:rPr>
      </w:pPr>
    </w:p>
    <w:p>
      <w:pPr>
        <w:ind w:left="440" w:hanging="319"/>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w:t>
      </w:r>
    </w:p>
    <w:p>
      <w:pPr>
        <w:spacing w:after="0" w:line="16" w:lineRule="exact"/>
        <w:rPr>
          <w:sz w:val="20"/>
          <w:szCs w:val="20"/>
          <w:color w:val="auto"/>
        </w:rPr>
      </w:pPr>
    </w:p>
    <w:p>
      <w:pPr>
        <w:ind w:left="440"/>
        <w:spacing w:after="0"/>
        <w:tabs>
          <w:tab w:leader="none" w:pos="9080" w:val="left"/>
          <w:tab w:leader="none" w:pos="10040" w:val="left"/>
          <w:tab w:leader="none" w:pos="1102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5" w:lineRule="exact"/>
        <w:rPr>
          <w:sz w:val="20"/>
          <w:szCs w:val="20"/>
          <w:color w:val="auto"/>
        </w:rPr>
      </w:pPr>
    </w:p>
    <w:p>
      <w:pPr>
        <w:ind w:left="440" w:right="2720" w:hanging="319"/>
        <w:spacing w:after="0" w:line="252"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approve the Articles Amendment to provide the Company with additional flexibility in making distributions to its stockholders.</w:t>
      </w:r>
    </w:p>
    <w:p>
      <w:pPr>
        <w:spacing w:after="0" w:line="1" w:lineRule="exact"/>
        <w:rPr>
          <w:sz w:val="20"/>
          <w:szCs w:val="20"/>
          <w:color w:val="auto"/>
        </w:rPr>
      </w:pPr>
    </w:p>
    <w:p>
      <w:pPr>
        <w:ind w:left="9100"/>
        <w:spacing w:after="0"/>
        <w:tabs>
          <w:tab w:leader="none" w:pos="10040" w:val="left"/>
          <w:tab w:leader="none" w:pos="110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Elaine P. Wynn recommends that you vote AGAINST Proposal 4:</w:t>
      </w:r>
    </w:p>
    <w:p>
      <w:pPr>
        <w:spacing w:after="0" w:line="223" w:lineRule="exact"/>
        <w:rPr>
          <w:sz w:val="20"/>
          <w:szCs w:val="20"/>
          <w:color w:val="auto"/>
        </w:rPr>
      </w:pPr>
    </w:p>
    <w:p>
      <w:pPr>
        <w:ind w:left="440" w:right="3120" w:hanging="319"/>
        <w:spacing w:after="0" w:line="252"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vote on a stockholder proposal regarding a political contributions report, if properly presented at the Annual Meeting.</w:t>
      </w:r>
    </w:p>
    <w:p>
      <w:pPr>
        <w:spacing w:after="0" w:line="1" w:lineRule="exact"/>
        <w:rPr>
          <w:sz w:val="20"/>
          <w:szCs w:val="20"/>
          <w:color w:val="auto"/>
        </w:rPr>
      </w:pPr>
    </w:p>
    <w:p>
      <w:pPr>
        <w:ind w:left="9100"/>
        <w:spacing w:after="0"/>
        <w:tabs>
          <w:tab w:leader="none" w:pos="10040" w:val="left"/>
          <w:tab w:leader="none" w:pos="110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99" w:lineRule="exact"/>
        <w:rPr>
          <w:sz w:val="20"/>
          <w:szCs w:val="20"/>
          <w:color w:val="auto"/>
        </w:rPr>
      </w:pPr>
    </w:p>
    <w:p>
      <w:pPr>
        <w:ind w:left="120" w:right="3180"/>
        <w:spacing w:after="0" w:line="271"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transact such other business as may properly come before the reconvened Annual Meeting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or postponement of the Annual Meeting.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Please sign exactly as your name(s) appear(s) hereon. When signing as attorney, executor, administrator, or other fiduciary, please give full title as such. Joint</w:t>
      </w:r>
    </w:p>
    <w:p>
      <w:pPr>
        <w:sectPr>
          <w:pgSz w:w="11900" w:h="16838" w:orient="portrait"/>
          <w:cols w:equalWidth="0" w:num="1">
            <w:col w:w="11420"/>
          </w:cols>
          <w:pgMar w:left="240" w:top="339" w:right="239" w:bottom="0" w:gutter="0" w:footer="0" w:header="0"/>
        </w:sectPr>
      </w:pPr>
    </w:p>
    <w:bookmarkStart w:id="23" w:name="page24"/>
    <w:bookmarkEnd w:id="23"/>
    <w:p>
      <w:pPr>
        <w:ind w:right="300"/>
        <w:spacing w:after="0" w:line="264" w:lineRule="auto"/>
        <w:rPr>
          <w:sz w:val="20"/>
          <w:szCs w:val="20"/>
          <w:color w:val="auto"/>
        </w:rPr>
      </w:pPr>
      <w:r>
        <w:rPr>
          <w:rFonts w:ascii="Arial" w:cs="Arial" w:eastAsia="Arial" w:hAnsi="Arial"/>
          <w:sz w:val="18"/>
          <w:szCs w:val="18"/>
          <w:color w:val="auto"/>
        </w:rPr>
        <w:t>owners should each sign personally. All holders must sign. If a corporation or partnership, please sign in full corporate or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-280670</wp:posOffset>
            </wp:positionV>
            <wp:extent cx="7249160" cy="883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9160" cy="8832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tabs>
          <w:tab w:leader="none" w:pos="4420" w:val="left"/>
          <w:tab w:leader="none" w:pos="5700" w:val="left"/>
          <w:tab w:leader="none" w:pos="1016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306705</wp:posOffset>
            </wp:positionV>
            <wp:extent cx="72491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951865</wp:posOffset>
            </wp:positionV>
            <wp:extent cx="7270115"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115" cy="2921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1332230</wp:posOffset>
            </wp:positionV>
            <wp:extent cx="7249160" cy="3069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9160" cy="306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WYNN RESORTS, LIMITED</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Annual Meeting of Stockholders</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April 24, 2015 at 9:00 a.m local time</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gold proxy is solicited by Elaine P. Wynn</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of Wynn Resorts, Limited is not soliciting this proxy</w:t>
      </w:r>
    </w:p>
    <w:p>
      <w:pPr>
        <w:spacing w:after="0" w:line="22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undersigned hereby constitutes and appoints Elaine P. Wynn and Bruce H. Goldfarb, and each of them, with full power to act without the other, as attorney, agent and proxy, with full power of substitution, to represent and vote all of the shares of common stock of Wynn Resorts, Limited (the “Company”) which the undersigned is entitled to vote at the annual meeting of stockholders (the “Annual Meeting”) of the Company in such manner as the persons named as proxies herein may determine on any matters which may properly come before the Annual Meeting or any adjournments thereof and to vote on the matters set forth on the reverse side as directed by the undersigned. The Annual Meeting is scheduled to be held on Friday, April 24, 2015, at 9:00 a.m. local time, at the Encore Theater at Wynn Las Vegas, 3131 Las Vegas Boulevard South, Las Vegas, Nevada. The undersigned hereby revokes any proxies previously given.</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PROXY WILL BE VOTED AS DIRECTED OR, IF NO DIRECTION IS GIVEN, WILL BE VOTED “FOR” THE ELECTION OF ELAINE P. WYNN AND “FOR” THE ELECTION OF THE NOMINEE OF THE COMPANY OTHER THAN JOHN J. HAGENBUCH, “FOR” PROPOSALS 2 AND 3, AND “AGAINST” PROPOSAL 4. EACH PERSON NAMED AS A PROXY HEREIN IS AUTHORIZED TO VOTE IN HIS OR HER DISCRETION UPON SUCH OTHER BUSINESS AS MAY PROPERLY COME BEFORE THE ANNUAL MEETING OR ANY ADJOURNMENTS THEREOF.</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370205</wp:posOffset>
            </wp:positionV>
            <wp:extent cx="727011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sectPr>
      <w:pgSz w:w="11900" w:h="16838" w:orient="portrait"/>
      <w:cols w:equalWidth="0" w:num="1">
        <w:col w:w="11140"/>
      </w:cols>
      <w:pgMar w:left="360" w:top="1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lvl w:ilvl="1">
      <w:lvlJc w:val="left"/>
      <w:lvlText w:val="(%2)"/>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lvl w:ilvl="1">
      <w:lvlJc w:val="left"/>
      <w:lvlText w:val="%2."/>
      <w:numFmt w:val="lowerLetter"/>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decimal"/>
      <w:start w:val="3"/>
    </w:lvl>
  </w:abstractNum>
  <w:abstractNum w:abstractNumId="15">
    <w:nsid w:val="6B68079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2019-12-08T01:17:12Z</dcterms:created>
  <dcterms:modified xsi:type="dcterms:W3CDTF">2019-12-08T01:17:12Z</dcterms:modified>
</cp:coreProperties>
</file>