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1"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454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Paul D. Tosetti</w:t>
            </w:r>
          </w:p>
        </w:tc>
        <w:tc>
          <w:tcPr>
            <w:tcW w:w="348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Donald J. Campbell</w:t>
            </w:r>
          </w:p>
        </w:tc>
      </w:tr>
      <w:tr>
        <w:trPr>
          <w:trHeight w:val="216"/>
        </w:trPr>
        <w:tc>
          <w:tcPr>
            <w:tcW w:w="4540" w:type="dxa"/>
            <w:vAlign w:val="bottom"/>
          </w:tcPr>
          <w:p>
            <w:pPr>
              <w:jc w:val="center"/>
              <w:ind w:right="1730"/>
              <w:spacing w:after="0"/>
              <w:rPr>
                <w:sz w:val="20"/>
                <w:szCs w:val="20"/>
                <w:color w:val="auto"/>
              </w:rPr>
            </w:pPr>
            <w:r>
              <w:rPr>
                <w:rFonts w:ascii="Arial" w:cs="Arial" w:eastAsia="Arial" w:hAnsi="Arial"/>
                <w:sz w:val="18"/>
                <w:szCs w:val="18"/>
                <w:b w:val="1"/>
                <w:bCs w:val="1"/>
                <w:color w:val="auto"/>
                <w:w w:val="96"/>
              </w:rPr>
              <w:t>Latham &amp; Watkins LLP</w:t>
            </w:r>
          </w:p>
        </w:tc>
        <w:tc>
          <w:tcPr>
            <w:tcW w:w="348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Campbell &amp; Williams</w:t>
            </w:r>
          </w:p>
        </w:tc>
      </w:tr>
      <w:tr>
        <w:trPr>
          <w:trHeight w:val="216"/>
        </w:trPr>
        <w:tc>
          <w:tcPr>
            <w:tcW w:w="454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355 South Grand Avenue, Suite 100</w:t>
            </w:r>
          </w:p>
        </w:tc>
        <w:tc>
          <w:tcPr>
            <w:tcW w:w="348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4540" w:type="dxa"/>
            <w:vAlign w:val="bottom"/>
          </w:tcPr>
          <w:p>
            <w:pPr>
              <w:jc w:val="center"/>
              <w:ind w:right="1730"/>
              <w:spacing w:after="0"/>
              <w:rPr>
                <w:sz w:val="20"/>
                <w:szCs w:val="20"/>
                <w:color w:val="auto"/>
              </w:rPr>
            </w:pPr>
            <w:r>
              <w:rPr>
                <w:rFonts w:ascii="Arial" w:cs="Arial" w:eastAsia="Arial" w:hAnsi="Arial"/>
                <w:sz w:val="18"/>
                <w:szCs w:val="18"/>
                <w:b w:val="1"/>
                <w:bCs w:val="1"/>
                <w:color w:val="auto"/>
                <w:w w:val="88"/>
              </w:rPr>
              <w:t>Los Angeles, CA 90071</w:t>
            </w:r>
          </w:p>
        </w:tc>
        <w:tc>
          <w:tcPr>
            <w:tcW w:w="348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Las Vegas, NV 89101</w:t>
            </w:r>
          </w:p>
        </w:tc>
      </w:tr>
      <w:tr>
        <w:trPr>
          <w:trHeight w:val="234"/>
        </w:trPr>
        <w:tc>
          <w:tcPr>
            <w:tcW w:w="454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(213) 891-8770</w:t>
            </w:r>
          </w:p>
        </w:tc>
        <w:tc>
          <w:tcPr>
            <w:tcW w:w="348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(702) 382-5222</w:t>
            </w:r>
          </w:p>
        </w:tc>
      </w:tr>
    </w:tbl>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22, 2018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337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33730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Stephen A. Wynn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983134 10 7</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337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33730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Wynn Family Limited Partnership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20" w:type="dxa"/>
            <w:vAlign w:val="bottom"/>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8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ind w:right="223"/>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109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ind w:right="3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19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March 22, 2018, Wynn Family Limited Partnership (“WFLP”) entered into a Stock Purchase Agreement (the “TRP Stock Purchase Agreement”) with T. Rowe Price Associates, Inc. in its capacity as investment advisor, pursuant to which WFLP agreed to sell an aggregate of 3,026,708 shares of Common Stock at a price of $175.00 per share. This description of the TRP Stock Purchase Agreement does not purport to be complete and is qualified in its entirety by reference to the full text of the TRP Purchase Agreement, which is filed as an exhibit to this Schedule 13D and incorporated by reference herein.</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22, 2018, WFLP entered into a Stock Purchase Agreement (the “CG Stock Purchase Agreement” and, together with the TRP Stock Purchase Agreement, the “Stock Purchase Agreements”) with certain funds managed or advised by Capital Research and Management Company, pursuant to which WFLP agreed to sell an aggregate of 5,000,000 shares of Common Stock at a price of $175.00 per share. This description of the CG Stock Purchase Agreement does not purport to be complete and is qualified in its entirety by reference to the full text of the CG Stock Purchase Agreement, which is filed as an exhibit to this Schedule 13D and incorporated by reference herein.</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transactions contemplated by the Stock Purchase Agreements remain subject to certain closing conditions. Closing of each transaction is expected to occur on March 26, 2018.</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Any further actions the Reporting Persons might undertake with respect to the Common Stock may be made at any time and from time to time without prior notice and will be dependent upon Mr. Wynn’s review of numerous factors, including, but not limited to: an ongoing evaluation of the Company’s business, financial condition, operations and prospects; price levels of the Common Stock; general market, industry and economic conditions; regulatory considerations; the relative attractiveness of alternative business and investment opportunities; and other future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After giving effect to the transactions pursuant to the Stock Purchase Agreements, as of the date hereof, none of the Reporting Persons beneficially own any shares of Common Stock of the Company, and none of the Reporting Persons have or share the power to vote or to direct the vote, or the power to dispose or direct the disposition of, any shares of Common Stock of the Company.</w:t>
      </w:r>
    </w:p>
    <w:p>
      <w:pPr>
        <w:sectPr>
          <w:pgSz w:w="11900" w:h="16838" w:orient="portrait"/>
          <w:cols w:equalWidth="0" w:num="1">
            <w:col w:w="11380"/>
          </w:cols>
          <w:pgMar w:left="240" w:top="274" w:right="279" w:bottom="1440" w:gutter="0" w:footer="0" w:header="0"/>
        </w:sectPr>
      </w:pPr>
    </w:p>
    <w:bookmarkStart w:id="4" w:name="page5"/>
    <w:bookmarkEnd w:id="4"/>
    <w:p>
      <w:pPr>
        <w:ind w:right="26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set forth in Item 4 above is incorporated herein by reference. Other than as disclosed in Item 4 above, the Reporting Persons have not affected any transactions in the Common Stock since the most recent filing on Schedule 13D.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March 22, 2018, the Reporting Persons ceased to be beneficial owners of more than five percent of the Common Stock of the Company.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with the following information:</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Item 4 summarizes certain provisions of the Stock Purchase Agreements and is incorporated herein by reference. A copy of each of the Stock Purchase Agreements is attached as an exhibit to this Schedule 13D, and incorporated herein by reference.</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Except as set forth in this Item 6, as amended and supplemented, none of the Reporting Persons has any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Rights Agreement, dated March 20, 2018, between Wynn Resorts, Limited and Wynn Family Limited Partnership.*</w:t>
      </w:r>
    </w:p>
    <w:p>
      <w:pPr>
        <w:spacing w:after="0" w:line="117" w:lineRule="exact"/>
        <w:rPr>
          <w:rFonts w:ascii="Arial" w:cs="Arial" w:eastAsia="Arial" w:hAnsi="Arial"/>
          <w:sz w:val="18"/>
          <w:szCs w:val="18"/>
          <w:color w:val="auto"/>
        </w:rPr>
      </w:pPr>
    </w:p>
    <w:p>
      <w:pPr>
        <w:ind w:left="980" w:right="4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Purchase Agreement, dated March 22, 2018, by and between Wynn Family Limited Partnership and T. Rowe Price Associates, Inc. in its capacity as investment advisor.</w:t>
      </w:r>
    </w:p>
    <w:p>
      <w:pPr>
        <w:spacing w:after="0" w:line="62"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Purchase Agreement, dated March 22, 2018, by and between Wynn Family Limited Partnership and certain funds managed or advised by Capital Research and Management Company.</w:t>
      </w:r>
    </w:p>
    <w:p>
      <w:pPr>
        <w:spacing w:after="0" w:line="197" w:lineRule="exact"/>
        <w:rPr>
          <w:sz w:val="20"/>
          <w:szCs w:val="20"/>
          <w:color w:val="auto"/>
        </w:rPr>
      </w:pPr>
    </w:p>
    <w:p>
      <w:pPr>
        <w:ind w:left="460" w:right="520" w:hanging="452"/>
        <w:spacing w:after="0" w:line="277"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previously filed copy of the Registration Rights Agreement contained an unintentional error. A corrected version of the Registration Rights Agreement is filed herewith.</w:t>
      </w:r>
    </w:p>
    <w:p>
      <w:pPr>
        <w:sectPr>
          <w:pgSz w:w="11900" w:h="16838" w:orient="portrait"/>
          <w:cols w:equalWidth="0" w:num="1">
            <w:col w:w="11320"/>
          </w:cols>
          <w:pgMar w:left="240" w:top="274" w:right="339" w:bottom="1440" w:gutter="0" w:footer="0" w:header="0"/>
        </w:sectPr>
      </w:pPr>
    </w:p>
    <w:bookmarkStart w:id="5" w:name="page6"/>
    <w:bookmarkEnd w:id="5"/>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U/D/T/ Dated June 24, 2010, 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920"/>
          </w:cols>
          <w:pgMar w:left="240" w:top="270"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REGISTRATION RIGHTS AGREEMENT, dated as of March 20, 2018, is entered into by and among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Wynn Family Limited Partnership, a Delaware limited partnership (“</w:t>
      </w:r>
      <w:r>
        <w:rPr>
          <w:rFonts w:ascii="Arial" w:cs="Arial" w:eastAsia="Arial" w:hAnsi="Arial"/>
          <w:sz w:val="18"/>
          <w:szCs w:val="18"/>
          <w:u w:val="single" w:color="auto"/>
          <w:color w:val="auto"/>
        </w:rPr>
        <w:t>WFLP</w:t>
      </w:r>
      <w:r>
        <w:rPr>
          <w:rFonts w:ascii="Arial" w:cs="Arial" w:eastAsia="Arial" w:hAnsi="Arial"/>
          <w:sz w:val="18"/>
          <w:szCs w:val="18"/>
          <w:color w:val="auto"/>
        </w:rPr>
        <w:t>”), and each other Holder from time to time a party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on February 15, 2018, the Company, Stephen A. Wynn and, solely for purposes of Section 3 thereof, Wynn Resorts Holdings, LLC entered into that certain Separation Agreement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Section 9 of the Separation Agreement provides that the Company and Stephen A. Wynn shall enter into a registration rights agreement as provided therein; and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WHEREAS, pursuant to Section 9 of the Separation Agreement, the parties hereto desire to enter into this Agreement for the Company to grant to the Holders the registration rights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to provide for the other matters set forth herein.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herein contained, and for good and valuable consideration, the receipt and sufficiency of which are hereby acknowledged, the parties hereto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definitions set forth above, the following terms, as used herein, have the following meanings: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particular Person means any other Person directly or indirectly controlling, controlled by or under common control with such Person. For purposes of this definition, “control” (including, the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Registration Rights Agreement, as it may be amended, supplemented or restated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means any bought deal or block sale by the applicable Selling Holder to a financial institution.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The City of New York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ectPr>
          <w:pgSz w:w="11900" w:h="16838" w:orient="portrait"/>
          <w:cols w:equalWidth="0" w:num="1">
            <w:col w:w="11420"/>
          </w:cols>
          <w:pgMar w:left="240" w:top="121"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of 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each of WFLP and any Permitted Transferee.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is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Prospectus Supplement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xml:space="preserve">” means an Inspector as defined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Underwritten Offering</w:t>
      </w:r>
      <w:r>
        <w:rPr>
          <w:rFonts w:ascii="Arial" w:cs="Arial" w:eastAsia="Arial" w:hAnsi="Arial"/>
          <w:sz w:val="18"/>
          <w:szCs w:val="18"/>
          <w:color w:val="auto"/>
        </w:rPr>
        <w:t>” means an underwritten offering that is launched after the close of trading on one trading day and priced before the open of trading on the next succeeding trading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any Person to whom a Holder sells, assigns or transfers all or a portion of its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sz w:val="20"/>
          <w:szCs w:val="20"/>
          <w:color w:val="auto"/>
        </w:rPr>
      </w:pPr>
    </w:p>
    <w:p>
      <w:pPr>
        <w:jc w:val="both"/>
        <w:ind w:right="180" w:firstLine="8"/>
        <w:spacing w:after="0" w:line="281"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Person is (A) Stephen A. Wynn, (B) a Wynn Estate Planning Vehicle or (C) a Wynn Family Member and (ii) such Person executes a joinder to this Agreement under which it becomes a “Holder” under this Agreement and agrees to be bound by the provisions of this Agreement applicable to Holders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any Private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consents to the assignment of the rights and obligations of a “Holder” hereunder to such Private</w:t>
      </w:r>
    </w:p>
    <w:p>
      <w:pPr>
        <w:spacing w:after="0" w:line="32" w:lineRule="exact"/>
        <w:rPr>
          <w:rFonts w:ascii="Arial" w:cs="Arial" w:eastAsia="Arial" w:hAnsi="Arial"/>
          <w:sz w:val="16"/>
          <w:szCs w:val="16"/>
          <w:color w:val="auto"/>
        </w:rPr>
      </w:pPr>
    </w:p>
    <w:p>
      <w:pPr>
        <w:ind w:right="60"/>
        <w:spacing w:after="0" w:line="290" w:lineRule="auto"/>
        <w:rPr>
          <w:rFonts w:ascii="Arial" w:cs="Arial" w:eastAsia="Arial" w:hAnsi="Arial"/>
          <w:sz w:val="16"/>
          <w:szCs w:val="16"/>
          <w:color w:val="auto"/>
        </w:rPr>
      </w:pPr>
      <w:r>
        <w:rPr>
          <w:rFonts w:ascii="Arial" w:cs="Arial" w:eastAsia="Arial" w:hAnsi="Arial"/>
          <w:sz w:val="17"/>
          <w:szCs w:val="17"/>
          <w:color w:val="auto"/>
        </w:rPr>
        <w:t>Purchaser (such consent not to be unreasonably withheld, delayed or conditioned) and (ii) such Private Purchaser executes a joinder to this Agreement under which it becomes a Holder under this Agreement and agrees to be bound by the provisions of this Agreement applicable to Holders.</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association, trust, or any other entity or organization, including a government or political subdivision or an agency or instrumentality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Purchaser</w:t>
      </w:r>
      <w:r>
        <w:rPr>
          <w:rFonts w:ascii="Arial" w:cs="Arial" w:eastAsia="Arial" w:hAnsi="Arial"/>
          <w:sz w:val="18"/>
          <w:szCs w:val="18"/>
          <w:color w:val="auto"/>
        </w:rPr>
        <w:t>” means a Person to which WFLP, Stephen A. Wynn, a Wynn Estate Planning Vehicle or a Wynn Family Member sells, assigns or transfers its Registrable Securities in a transaction not registered under the Securities Act.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2.6.</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the Common Stock held by WFLP as of the date of this Agreement (equal to 12,131,707 shares of Common Stock) and any additional securities that may be issued or distributed or be issuable in respect of such Common Stock by way of conversion, dividend, stock-split, distribution or exchange, merger, consolidation, exchange, recapitalization or reclassification or similar transactions until (a) a registration statement covering such shares has been declared effective by the Commission and such shares have been disposed of pursuant to such effective registration statement; (b) such shares have been sold under circumstances in which all of the applicable conditions of Rule 144 are met; or (c) such shares are otherwise transferred to any Person other than a Permitted Transferee.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any of such Person’s officers, directors, employees, agents, attorneys, accountants, actuaries, consultants or financial advisors or other Persons associated with, or acting on behalf of, such Person.</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as amended from time to time, or any similar successor rule thereto that may be promulgated by the Commission.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or may sell Registrable Securities pursuant to a registration statement under the Securities Act pursuant to the terms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is defined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with respect to any underwritten offering under this Agreement, an underwriter for such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Piggy-Back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Offering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Estate Planning Vehicle</w:t>
      </w:r>
      <w:r>
        <w:rPr>
          <w:rFonts w:ascii="Arial" w:cs="Arial" w:eastAsia="Arial" w:hAnsi="Arial"/>
          <w:sz w:val="18"/>
          <w:szCs w:val="18"/>
          <w:color w:val="auto"/>
        </w:rPr>
        <w:t>” means (a) a trust, the beneficiaries of which include only Stephen A. Wynn, Wynn Family Members and/or other Wynn Estate Planning Vehicles, or (b) a corporation, limited liability company or partnership, the shareholders, members or partners of which include only Stephen A. Wynn, Wynn Family Members and/or other Wynn Estate Planning Vehicles.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Family Member</w:t>
      </w:r>
      <w:r>
        <w:rPr>
          <w:rFonts w:ascii="Arial" w:cs="Arial" w:eastAsia="Arial" w:hAnsi="Arial"/>
          <w:sz w:val="18"/>
          <w:szCs w:val="18"/>
          <w:color w:val="auto"/>
        </w:rPr>
        <w:t>” means the spouse or lineal descendants of Stephen A. Wynn, or the lineal descendants of Stephen A. Wynn’s spouse (for purposes of the foregoing, lineal descendants shall be deemed to include children by adoption).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9" w:name="page10"/>
    <w:bookmarkEnd w:id="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8" w:right="60" w:firstLine="464"/>
        <w:spacing w:after="0" w:line="291" w:lineRule="auto"/>
        <w:tabs>
          <w:tab w:leader="none" w:pos="693"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Preparation and Filing of Shelf Registration Statement</w:t>
      </w:r>
      <w:r>
        <w:rPr>
          <w:rFonts w:ascii="Arial" w:cs="Arial" w:eastAsia="Arial" w:hAnsi="Arial"/>
          <w:sz w:val="16"/>
          <w:szCs w:val="16"/>
          <w:color w:val="auto"/>
        </w:rPr>
        <w:t>. At any time when an automatic shelf registration statement on Form S-3 of the Company that provides for the resale of all of the Registrable Securities on a delayed or continuous basis pursuant to Rule 415 under the Securities Act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is not effective, as promptly as practicable following the written request of WFLP (but no later than thirty (30) days after the receipt of such written request), the Company shall (i) prepare and file a Shelf Registration Statement, and (ii) if such Shelf Registration Statement is not automatically effective, use reasonable best efforts to cause the Shelf Registration Statement to be declared effective by the Commission as promptly as reasonably practicable (but no later than sixty (60) days) thereafter. The Company shall use reasonable best efforts to keep such Shelf Registration Statement continuously effective for a period ending when all Registrable Securities covered by such Shelf Registration Statement are no longer Registrable Securities.</w:t>
      </w:r>
    </w:p>
    <w:p>
      <w:pPr>
        <w:spacing w:after="0" w:line="167" w:lineRule="exact"/>
        <w:rPr>
          <w:rFonts w:ascii="Arial" w:cs="Arial" w:eastAsia="Arial" w:hAnsi="Arial"/>
          <w:sz w:val="16"/>
          <w:szCs w:val="16"/>
          <w:color w:val="auto"/>
        </w:rPr>
      </w:pPr>
    </w:p>
    <w:p>
      <w:pPr>
        <w:ind w:left="-8" w:right="140" w:firstLine="464"/>
        <w:spacing w:after="0" w:line="286" w:lineRule="auto"/>
        <w:tabs>
          <w:tab w:leader="none" w:pos="703"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Selling Holders</w:t>
      </w:r>
      <w:r>
        <w:rPr>
          <w:rFonts w:ascii="Arial" w:cs="Arial" w:eastAsia="Arial" w:hAnsi="Arial"/>
          <w:sz w:val="16"/>
          <w:szCs w:val="16"/>
          <w:color w:val="auto"/>
        </w:rPr>
        <w:t>. As soon as reasonably practicable following the date of this Agreement, the Company shall file a prospectus supplement to its existing Shelf Registration Statement (the “</w:t>
      </w:r>
      <w:r>
        <w:rPr>
          <w:rFonts w:ascii="Arial" w:cs="Arial" w:eastAsia="Arial" w:hAnsi="Arial"/>
          <w:sz w:val="16"/>
          <w:szCs w:val="16"/>
          <w:u w:val="single" w:color="auto"/>
          <w:color w:val="auto"/>
        </w:rPr>
        <w:t>Initial Prospectus Supplement</w:t>
      </w:r>
      <w:r>
        <w:rPr>
          <w:rFonts w:ascii="Arial" w:cs="Arial" w:eastAsia="Arial" w:hAnsi="Arial"/>
          <w:sz w:val="16"/>
          <w:szCs w:val="16"/>
          <w:color w:val="auto"/>
        </w:rPr>
        <w:t xml:space="preserve">”) naming WFLP as a Selling Holder under such Shelf Registration Statement in such a manner as to permit WFLP to deliver a prospectus to purchasers of Registrable Securities in accordance with applicable law. In the event that another Shelf Registration Statement is filed after the date of this Agreement as provided under </w:t>
      </w:r>
      <w:r>
        <w:rPr>
          <w:rFonts w:ascii="Arial" w:cs="Arial" w:eastAsia="Arial" w:hAnsi="Arial"/>
          <w:sz w:val="16"/>
          <w:szCs w:val="16"/>
          <w:u w:val="single" w:color="auto"/>
          <w:color w:val="auto"/>
        </w:rPr>
        <w:t>Section 2.1(a)</w:t>
      </w:r>
      <w:r>
        <w:rPr>
          <w:rFonts w:ascii="Arial" w:cs="Arial" w:eastAsia="Arial" w:hAnsi="Arial"/>
          <w:sz w:val="16"/>
          <w:szCs w:val="16"/>
          <w:color w:val="auto"/>
        </w:rPr>
        <w:t>, as promptly as practicable (but no later than thirty</w:t>
      </w:r>
    </w:p>
    <w:p>
      <w:pPr>
        <w:spacing w:after="0" w:line="1" w:lineRule="exact"/>
        <w:rPr>
          <w:rFonts w:ascii="Arial" w:cs="Arial" w:eastAsia="Arial" w:hAnsi="Arial"/>
          <w:sz w:val="16"/>
          <w:szCs w:val="16"/>
          <w:color w:val="auto"/>
        </w:rPr>
      </w:pPr>
    </w:p>
    <w:p>
      <w:pPr>
        <w:ind w:left="-8" w:firstLine="8"/>
        <w:spacing w:after="0" w:line="268" w:lineRule="auto"/>
        <w:tabs>
          <w:tab w:leader="none" w:pos="337" w:val="left"/>
        </w:tabs>
        <w:numPr>
          <w:ilvl w:val="0"/>
          <w:numId w:val="8"/>
        </w:numPr>
        <w:rPr>
          <w:rFonts w:ascii="Arial" w:cs="Arial" w:eastAsia="Arial" w:hAnsi="Arial"/>
          <w:sz w:val="17"/>
          <w:szCs w:val="17"/>
          <w:color w:val="auto"/>
        </w:rPr>
      </w:pPr>
      <w:r>
        <w:rPr>
          <w:rFonts w:ascii="Arial" w:cs="Arial" w:eastAsia="Arial" w:hAnsi="Arial"/>
          <w:sz w:val="17"/>
          <w:szCs w:val="17"/>
          <w:color w:val="auto"/>
        </w:rPr>
        <w:t>days) after the time the Shelf Registration Statement becomes or is declared effective, WFLP (and, if applicable, any other Holder) shall be named as a Selling Holder in the Shelf Registration Statement, or in a prospectus supplement thereto, in such a manner as to permit such Holder to deliver a prospectus to purchasers of Registrable Securities in accordance with applicable law. If required by applicable law, subject to the terms and conditions hereof, after the filing of the Initial Prospectus Supplement or the effectiveness of a new Shelf Registration Statement, upon the written request of any Holder, the Company shall file a supplement to such prospectus or amendment to the Shelf Registration Statement to name such Holder as a Selling Holder therein and shall use reasonable best efforts to cause any post-effective amendment to such Shelf Registration Statement filed for such purpose to be declared effective by the Commission as promptly as reasonably practicable after the filing thereof. Unless the Company and each Holder shall consent in writing, no party, other than a Holder, shall be a Selling Holder under the Shelf Registration Statement.</w:t>
      </w:r>
    </w:p>
    <w:p>
      <w:pPr>
        <w:spacing w:after="0" w:line="184" w:lineRule="exact"/>
        <w:rPr>
          <w:rFonts w:ascii="Arial" w:cs="Arial" w:eastAsia="Arial" w:hAnsi="Arial"/>
          <w:sz w:val="17"/>
          <w:szCs w:val="17"/>
          <w:color w:val="auto"/>
        </w:rPr>
      </w:pPr>
    </w:p>
    <w:p>
      <w:pPr>
        <w:ind w:left="-8" w:right="20" w:firstLine="464"/>
        <w:spacing w:after="0" w:line="288" w:lineRule="auto"/>
        <w:tabs>
          <w:tab w:leader="none" w:pos="69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The Holders may, by written notice to the Company, elect to sell some or all of the Registrable Securities registered pursuant to a Shelf Registration Statement, in an offering amount not to be less than Fifty Million Dollars ($50,000,000) of Registrable Securities, in the form of an underwritten offering under the Shelf Registration Statement (an “</w:t>
      </w:r>
      <w:r>
        <w:rPr>
          <w:rFonts w:ascii="Arial" w:cs="Arial" w:eastAsia="Arial" w:hAnsi="Arial"/>
          <w:sz w:val="16"/>
          <w:szCs w:val="16"/>
          <w:u w:val="single" w:color="auto"/>
          <w:color w:val="auto"/>
        </w:rPr>
        <w:t>Underwritten Shelf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not be obligated to effect more than an aggregate of six (6) underwritten offerings under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(ii) the Company shall not be obligated to effect an underwritten offering more than once per quarter. For the avoidance of doubt, the Holders may make an unlimited number of sales under any Shelf Registration Statement that are not underwritten offerings. Any request for an Underwritten Shelf Offering will specify the number of shares of Registrable Securities proposed to be sold and will also specify the intended method of disposition thereof (which may include a Block Trade or an Overnight Underwritten Offering). The Company shall select the Underwriter or Underwriters in connection with any such Underwritten Shelf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Shelf Offering.</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0" w:right="259" w:bottom="1440" w:gutter="0" w:footer="0" w:header="0"/>
        </w:sectPr>
      </w:pPr>
    </w:p>
    <w:bookmarkStart w:id="10" w:name="page11"/>
    <w:bookmarkEnd w:id="10"/>
    <w:p>
      <w:pPr>
        <w:ind w:right="20" w:firstLine="464"/>
        <w:spacing w:after="0" w:line="290" w:lineRule="auto"/>
        <w:tabs>
          <w:tab w:leader="none" w:pos="71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 of Additional Registration Statements</w:t>
      </w:r>
      <w:r>
        <w:rPr>
          <w:rFonts w:ascii="Arial" w:cs="Arial" w:eastAsia="Arial" w:hAnsi="Arial"/>
          <w:sz w:val="16"/>
          <w:szCs w:val="16"/>
          <w:color w:val="auto"/>
        </w:rPr>
        <w:t xml:space="preserve">. The Company shall prepare and file such additional registration statements or prospectus supplements thereto as may be necessary under the rules and regulations promulgated pursuant to the Securities Act and use reasonable best efforts to cause such registration statements to be declared effective by the Commission so that the registration statement remains continuously effective with respect to resales of Registrable Securities as of and for the period required under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the Holders may sell Registrable Securities as Selling Holders thereunder, such subsequent registration statements to constitute a Shelf Registration Statement hereunder. Each Shelf Registration Statement shall be an automatic shelf registration statement on Form S-3;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Company ceases to be eligible to use an automatic shelf registration statement on Form S-3, the Shelf Registration Statement shall be a non-automatic shelf registration statement on Form S-3 and (ii) if the Company ceases to be eligible to use Form S-3, the Shelf Registration Statement shall be a registration statement on Form S-1.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In the event that the Company fails to file, has not filed or, if filed, fails to maintain the effectiveness of, a Shelf</w:t>
      </w:r>
    </w:p>
    <w:p>
      <w:pPr>
        <w:spacing w:after="0" w:line="34" w:lineRule="exact"/>
        <w:rPr>
          <w:rFonts w:ascii="Arial" w:cs="Arial" w:eastAsia="Arial" w:hAnsi="Arial"/>
          <w:sz w:val="17"/>
          <w:szCs w:val="17"/>
          <w:color w:val="auto"/>
        </w:rPr>
      </w:pPr>
    </w:p>
    <w:p>
      <w:pPr>
        <w:ind w:right="140"/>
        <w:spacing w:after="0" w:line="281" w:lineRule="auto"/>
        <w:rPr>
          <w:rFonts w:ascii="Arial" w:cs="Arial" w:eastAsia="Arial" w:hAnsi="Arial"/>
          <w:sz w:val="17"/>
          <w:szCs w:val="17"/>
          <w:color w:val="auto"/>
        </w:rPr>
      </w:pPr>
      <w:r>
        <w:rPr>
          <w:rFonts w:ascii="Arial" w:cs="Arial" w:eastAsia="Arial" w:hAnsi="Arial"/>
          <w:sz w:val="16"/>
          <w:szCs w:val="16"/>
          <w:color w:val="auto"/>
        </w:rPr>
        <w:t>Registration Statement then, in addition to any other remedies the Holders may have, at law or in equity, one or more Holders may make a written request to the Company for registration under the Securities Act of all or part of their Registrable Securities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offering amount of such Registrable Securities shall not be less than Fifty Million Dollars ($50,000,000). As promptly as practicable (but no later than thirty</w:t>
      </w:r>
    </w:p>
    <w:p>
      <w:pPr>
        <w:spacing w:after="0" w:line="2" w:lineRule="exact"/>
        <w:rPr>
          <w:rFonts w:ascii="Arial" w:cs="Arial" w:eastAsia="Arial" w:hAnsi="Arial"/>
          <w:sz w:val="17"/>
          <w:szCs w:val="17"/>
          <w:color w:val="auto"/>
        </w:rPr>
      </w:pPr>
    </w:p>
    <w:p>
      <w:pPr>
        <w:ind w:right="60" w:firstLine="8"/>
        <w:spacing w:after="0" w:line="281" w:lineRule="auto"/>
        <w:tabs>
          <w:tab w:leader="none" w:pos="3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days) after receipt of the written request for the Demand Registration, the Company shall prepare and file a registration statement on an appropriate form with respect to any Demand Registration (a “</w:t>
      </w:r>
      <w:r>
        <w:rPr>
          <w:rFonts w:ascii="Arial" w:cs="Arial" w:eastAsia="Arial" w:hAnsi="Arial"/>
          <w:sz w:val="16"/>
          <w:szCs w:val="16"/>
          <w:u w:val="single" w:color="auto"/>
          <w:color w:val="auto"/>
        </w:rPr>
        <w:t>Demand Registration Statement</w:t>
      </w:r>
      <w:r>
        <w:rPr>
          <w:rFonts w:ascii="Arial" w:cs="Arial" w:eastAsia="Arial" w:hAnsi="Arial"/>
          <w:sz w:val="16"/>
          <w:szCs w:val="16"/>
          <w:color w:val="auto"/>
        </w:rPr>
        <w:t>”) and shall use reasonable best efforts to cause the Demand Registration Statement to be declared effective by the Commission as promptly as reasonably practicable (but no later than sixty (60) days) after the filing thereof and the Company shall use reasonable best efforts to keep such Demand Registration Statement effective for a period ending when all Registrable Securities covered by the Demand Registration Statement are no longer Registrable Securities. The Company shall not be obligated to effect more than an aggregate of six</w:t>
      </w:r>
    </w:p>
    <w:p>
      <w:pPr>
        <w:spacing w:after="0" w:line="3" w:lineRule="exact"/>
        <w:rPr>
          <w:rFonts w:ascii="Arial" w:cs="Arial" w:eastAsia="Arial" w:hAnsi="Arial"/>
          <w:sz w:val="16"/>
          <w:szCs w:val="16"/>
          <w:color w:val="auto"/>
        </w:rPr>
      </w:pPr>
    </w:p>
    <w:p>
      <w:pPr>
        <w:ind w:firstLine="8"/>
        <w:spacing w:after="0" w:line="288"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underwritten offerings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Any request for a Demand Registration will specify the number of shares of Registrable Securities proposed to be sold and will also specify the intended method of disposition thereof (which may include a Block Trade or an Overnight Underwritten Offering). Unless the Company and each Holder shall consent in writing, no party, other than a Holder, shall be permitted to offer securities in connection with any such Demand Registration. Any Holder that has requested its Registrable Securities be included in a Demand Registration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may withdraw all or any portion of its Registrable Securities from a Demand Registration at any time prior to the effectiveness of the applicable Demand Registration Statement. Upon receipt of a notice to such effect from Holders with respect to all of the Registrable Securities to be included in the Demand Registration, the Company shall cease all efforts to secure effectiveness of the applicable Demand Registration Statement.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applicable Demand Registration Statement has become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w:t>
      </w:r>
    </w:p>
    <w:p>
      <w:pPr>
        <w:spacing w:after="0" w:line="210" w:lineRule="exact"/>
        <w:rPr>
          <w:rFonts w:ascii="Arial" w:cs="Arial" w:eastAsia="Arial" w:hAnsi="Arial"/>
          <w:sz w:val="17"/>
          <w:szCs w:val="17"/>
          <w:color w:val="auto"/>
        </w:rPr>
      </w:pPr>
    </w:p>
    <w:p>
      <w:pPr>
        <w:ind w:right="20" w:firstLine="464"/>
        <w:spacing w:after="0" w:line="255" w:lineRule="auto"/>
        <w:tabs>
          <w:tab w:leader="none" w:pos="70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If a Holder so elects, by written notice to the Company, the offering of Registrable Securities pursuant to a Demand Registration shall be in the form of an underwritten offering (an “</w:t>
      </w:r>
      <w:r>
        <w:rPr>
          <w:rFonts w:ascii="Arial" w:cs="Arial" w:eastAsia="Arial" w:hAnsi="Arial"/>
          <w:sz w:val="18"/>
          <w:szCs w:val="18"/>
          <w:u w:val="single" w:color="auto"/>
          <w:color w:val="auto"/>
        </w:rPr>
        <w:t>Underwritten Demand Offering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to effect an underwritten offering once per quarter. The Company shall select the Underwriter or Underwriters in connection with any such Underwritten Demand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Underwriter or Underwriters must be reasonably satisfactory to the Holders. Unless the Company and each Holder shall consent in writing, no party, other than a Holder, shall be permitted to offer securities in connection with any such Underwritten Demand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ind w:right="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If the Company proposes to file a registration statement under the Securities Act with respect to any offering of its securities for its own account or for the account of any of its securityholders (other than (a) any registration statement filed by the Company under the Securities Act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(b) a registration statement on Form S-4 or Form S-8 (or any related form or substitute form that may be adopted by the Commission), (c) a registration incidental to an issuance of debt securities, (d) in connection with any dividend or distribution reinvestment or similar plan, or (e) a registration of securities solely relating to an offering and sale to employees or directors of the Company pursuant to any employee stock plan or other employee benefit plan arrangement, a dividend reinvestment plan, or a merger or consolidation) (a “</w:t>
      </w:r>
      <w:r>
        <w:rPr>
          <w:rFonts w:ascii="Arial" w:cs="Arial" w:eastAsia="Arial" w:hAnsi="Arial"/>
          <w:sz w:val="16"/>
          <w:szCs w:val="16"/>
          <w:u w:val="single" w:color="auto"/>
          <w:color w:val="auto"/>
        </w:rPr>
        <w:t>Piggy-Back Registration Statement</w:t>
      </w:r>
      <w:r>
        <w:rPr>
          <w:rFonts w:ascii="Arial" w:cs="Arial" w:eastAsia="Arial" w:hAnsi="Arial"/>
          <w:sz w:val="16"/>
          <w:szCs w:val="16"/>
          <w:color w:val="auto"/>
        </w:rPr>
        <w:t>”), then the Company shall give written notice of such proposed filing to the Holders (a “</w:t>
      </w:r>
      <w:r>
        <w:rPr>
          <w:rFonts w:ascii="Arial" w:cs="Arial" w:eastAsia="Arial" w:hAnsi="Arial"/>
          <w:sz w:val="16"/>
          <w:szCs w:val="16"/>
          <w:u w:val="single" w:color="auto"/>
          <w:color w:val="auto"/>
        </w:rPr>
        <w:t>Piggy-Back Notice</w:t>
      </w:r>
      <w:r>
        <w:rPr>
          <w:rFonts w:ascii="Arial" w:cs="Arial" w:eastAsia="Arial" w:hAnsi="Arial"/>
          <w:sz w:val="16"/>
          <w:szCs w:val="16"/>
          <w:color w:val="auto"/>
        </w:rPr>
        <w:t>”) as soon as practicable (but in no event less than fifteen</w:t>
      </w:r>
    </w:p>
    <w:p>
      <w:pPr>
        <w:spacing w:after="0" w:line="3" w:lineRule="exact"/>
        <w:rPr>
          <w:sz w:val="20"/>
          <w:szCs w:val="20"/>
          <w:color w:val="auto"/>
        </w:rPr>
      </w:pPr>
    </w:p>
    <w:p>
      <w:pPr>
        <w:ind w:right="120" w:firstLine="8"/>
        <w:spacing w:after="0" w:line="286" w:lineRule="auto"/>
        <w:tabs>
          <w:tab w:leader="none" w:pos="3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days before the anticipated filing date) (such a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Piggy-Back Notice shall state the intended method of disposition of the securities in the Piggy-Back Registration, and such notice shall offer the Holders the opportunity to register such number of shares of Registrable Securities as each such Holder may request. Any Holder may elect to include its Registrable Securities in such Piggy-Back Registration by delivering written notice of such election (including the number of shares of Registrable Securities it desires to include) within fifteen (15) days of receipt of the Piggy-Back Notice. If the Piggy-Back Registration is in the form of an underwritten offering (an “</w:t>
      </w:r>
      <w:r>
        <w:rPr>
          <w:rFonts w:ascii="Arial" w:cs="Arial" w:eastAsia="Arial" w:hAnsi="Arial"/>
          <w:sz w:val="16"/>
          <w:szCs w:val="16"/>
          <w:u w:val="single" w:color="auto"/>
          <w:color w:val="auto"/>
        </w:rPr>
        <w:t>Underwritten Piggy-Back Offering</w:t>
      </w:r>
      <w:r>
        <w:rPr>
          <w:rFonts w:ascii="Arial" w:cs="Arial" w:eastAsia="Arial" w:hAnsi="Arial"/>
          <w:sz w:val="16"/>
          <w:szCs w:val="16"/>
          <w:color w:val="auto"/>
        </w:rPr>
        <w:t xml:space="preserve">”), the Company shall use reasonable best efforts to cause the managing Underwriter or Underwriters of such Underwritten Piggy-Back Offering to permit the Registrable Securities requested to be included therein to be included on the same terms and conditions as apply to the Company and any other securityholders. Each Holder shall be permitted to withdraw all or part of its Registrable Securities from a Piggy-Back Registration at any time prior to the effectiveness of such Piggy-Back Registration Statement. The Company shall not be obligated to effect more than an aggregate of six (6) registrations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A registration will not count for purposes of the immediately preceding sentence until the applicable Piggy-Back Registration Statement has become effective.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Notwithstanding anything contained herein, if the managing Underwriter or Underwriters of an offering described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advise the Company and the Holders of the Registrable Securities included in such offering in writing that the size of the applicable underwritten offering is such that the success of the offering would be adversely affected by inclusion of the number of securities requested to be included, then the amount of securities to be offered shall be reduced to a number that, in the opinion of such managing Underwriter or Underwriters can be sold without having such an adverse effect, and such number of securities shall be allocated as follows:</w:t>
      </w:r>
    </w:p>
    <w:p>
      <w:pPr>
        <w:spacing w:after="0" w:line="173" w:lineRule="exact"/>
        <w:rPr>
          <w:sz w:val="20"/>
          <w:szCs w:val="20"/>
          <w:color w:val="auto"/>
        </w:rPr>
      </w:pPr>
    </w:p>
    <w:p>
      <w:pPr>
        <w:ind w:right="160" w:firstLine="464"/>
        <w:spacing w:after="0" w:line="286" w:lineRule="auto"/>
        <w:tabs>
          <w:tab w:leader="none" w:pos="701"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in the event of an Underwritten Shelf Offering or an Underwritten Demand Offering, the securities to be included in such Underwritten Shelf Offering or Underwritten Demand Offering shall be allocated solely to the Holders that have requested to participate in such Underwritten Shelf Offering or Underwritten Demand Offering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relative number of Registrable Securities then held by them; and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the event of an Underwritten Piggy-Back Offering, the securities to be included in such Underwritten Piggy-Back Offering shall be allocated,</w:t>
      </w:r>
    </w:p>
    <w:p>
      <w:pPr>
        <w:spacing w:after="0" w:line="34" w:lineRule="exact"/>
        <w:rPr>
          <w:rFonts w:ascii="Arial" w:cs="Arial" w:eastAsia="Arial" w:hAnsi="Arial"/>
          <w:sz w:val="17"/>
          <w:szCs w:val="17"/>
          <w:color w:val="auto"/>
        </w:rPr>
      </w:pPr>
    </w:p>
    <w:p>
      <w:pPr>
        <w:jc w:val="both"/>
        <w:ind w:right="300" w:firstLine="8"/>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first, to the Company and/or any Person (other than a Holder) exercising a contractual right to demand the registration and sale of its securities in such Underwritten Piggy-Back Offering (it being understood there are no such contractual rights in effect as of the date of this Agreement), as the case may be,</w:t>
      </w:r>
    </w:p>
    <w:p>
      <w:pPr>
        <w:spacing w:after="0" w:line="1" w:lineRule="exact"/>
        <w:rPr>
          <w:rFonts w:ascii="Arial" w:cs="Arial" w:eastAsia="Arial" w:hAnsi="Arial"/>
          <w:sz w:val="16"/>
          <w:szCs w:val="16"/>
          <w:color w:val="auto"/>
        </w:rPr>
      </w:pPr>
    </w:p>
    <w:p>
      <w:pPr>
        <w:ind w:right="80" w:firstLine="8"/>
        <w:spacing w:after="0" w:line="254"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second, and only if all the securities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have been included, to the Holders that have requested to participate in such Underwritten Piggy-Back Offering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relative number of Registrable Securities then held by each of them and (iii) third, and only if all of the Registrable Securities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have been included, any other securities eligible for inclusion in such Underwritten Piggy-Back Offering (it being understood there are no such eligible securities as of the date of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 w:name="page13"/>
    <w:bookmarkEnd w:id="1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2.5. </w:t>
      </w: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225" w:lineRule="exact"/>
        <w:rPr>
          <w:sz w:val="20"/>
          <w:szCs w:val="20"/>
          <w:color w:val="auto"/>
        </w:rPr>
      </w:pPr>
    </w:p>
    <w:p>
      <w:pPr>
        <w:ind w:left="-8" w:right="40" w:firstLine="464"/>
        <w:spacing w:after="0" w:line="285" w:lineRule="auto"/>
        <w:tabs>
          <w:tab w:leader="none" w:pos="693"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Company shall be permitted (x) to postpone the filing of any Shelf Registration Statement filed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any Demand Registration Statement filed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(y) to suspend the effectiveness of any Shelf Registration Statement or Demand Registration Statement or (z) to require the Holders not to sell Registrable Securities under any Shelf Registration Statement or Demand Registration Statement, in each case, for such times as the Company reasonably may determine is necessary and advisable, if any of the following events shall occur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(i) the board of directors of the Company determines in good faith that</w:t>
      </w:r>
    </w:p>
    <w:p>
      <w:pPr>
        <w:spacing w:after="0" w:line="2" w:lineRule="exact"/>
        <w:rPr>
          <w:rFonts w:ascii="Arial" w:cs="Arial" w:eastAsia="Arial" w:hAnsi="Arial"/>
          <w:sz w:val="16"/>
          <w:szCs w:val="16"/>
          <w:color w:val="auto"/>
        </w:rPr>
      </w:pPr>
    </w:p>
    <w:p>
      <w:pPr>
        <w:ind w:left="-8" w:firstLine="8"/>
        <w:spacing w:after="0" w:line="266" w:lineRule="auto"/>
        <w:tabs>
          <w:tab w:leader="none" w:pos="28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disclosure of a material transaction that would otherwise be required to be disclosed due to such registration would have an adverse effect on the Company or the Company’s ability to consummate such a material transaction or such a material transaction renders the Company unable to comply with the Securities Act, (B) such registration or continued registration would require premature disclosure of material information that the Company has a bona fide business purpose for preserving as confidential or (C) such registration or continued registration would render the Company unable to comply with the requirements of the Securities Act or Exchange Act; or (ii) solely in the case of foregoing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(z)</w:t>
      </w:r>
      <w:r>
        <w:rPr>
          <w:rFonts w:ascii="Arial" w:cs="Arial" w:eastAsia="Arial" w:hAnsi="Arial"/>
          <w:sz w:val="17"/>
          <w:szCs w:val="17"/>
          <w:color w:val="auto"/>
        </w:rPr>
        <w:t xml:space="preserve">, the board of directors of the Company determines in good faith that the Company is required by law, rule or regulation to supplement or amend a Shelf Registration Statement or Demand Registration Statement in order to ensure that it (or the prospectus contained therein) does not contain an untrue statement of a material fact or omit to state any material fact required to be stated therein or necessary to make the statements therein, in light of the circumstances under which they were made, not misleading. Upon the occurrence of any Suspension Event, the Company shall use reasonable best efforts to resolve the Suspension Event and to file the applicable Shelf Registration Statement or Demand Registration Statement, to cause the applicable Shelf Registration Statement or Demand Registration Statement to become effective and/or to permit resumed use of the Shelf Registration Statement or Demand Registration Statement, as applicable, as soon as reasonably possible. If the Company exercises a suspension under this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then during the period of such suspension, the Company shall not engage in any transaction involving the offer, issuance, sale or purchase of Company equity securities (whether for the benefit of the Company or a third Person), except (A) transactions involving the issuance or purchase of Company equity securities as contemplated by employee benefit plans or employee or director arrangements and (B) the issuance of Company equity securities as acquisition consideration pursuant to any transaction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712" w:hanging="256"/>
        <w:spacing w:after="0"/>
        <w:tabs>
          <w:tab w:leader="none" w:pos="71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Company will provide written notice (a “</w:t>
      </w:r>
      <w:r>
        <w:rPr>
          <w:rFonts w:ascii="Arial" w:cs="Arial" w:eastAsia="Arial" w:hAnsi="Arial"/>
          <w:sz w:val="17"/>
          <w:szCs w:val="17"/>
          <w:u w:val="single" w:color="auto"/>
          <w:color w:val="auto"/>
        </w:rPr>
        <w:t>Suspension Notice</w:t>
      </w:r>
      <w:r>
        <w:rPr>
          <w:rFonts w:ascii="Arial" w:cs="Arial" w:eastAsia="Arial" w:hAnsi="Arial"/>
          <w:sz w:val="17"/>
          <w:szCs w:val="17"/>
          <w:color w:val="auto"/>
        </w:rPr>
        <w:t>”) to the Holders of the occurrence of any Suspension Event within three</w:t>
      </w:r>
    </w:p>
    <w:p>
      <w:pPr>
        <w:spacing w:after="0" w:line="35" w:lineRule="exact"/>
        <w:rPr>
          <w:sz w:val="20"/>
          <w:szCs w:val="20"/>
          <w:color w:val="auto"/>
        </w:rPr>
      </w:pPr>
    </w:p>
    <w:p>
      <w:pPr>
        <w:ind w:left="-8" w:right="40" w:firstLine="8"/>
        <w:spacing w:after="0" w:line="268" w:lineRule="auto"/>
        <w:tabs>
          <w:tab w:leader="none" w:pos="24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Business Days after its occurrence;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permitted to exercise a suspension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more than twice during any twelve (12)-month period, more than once per quarter or for a period exceeding sixty (60) days on any one occasion. Upon receipt of a Suspension Notice, each Holder agrees that it will (i) immediately discontinue offers and sales of Registrable Securities under the applicable Shelf Registration Statement or Demand Registration Statement and (ii) maintain the confidentiality of any information included in the Suspension Notice unless otherwise required by law or subpoena. The Holders may recommence effecting offers and sales of the Registrable Securities pursuant to the applicable Shelf Registration Statement or Demand Registration Statement following further written notice to such effect (an “</w:t>
      </w:r>
      <w:r>
        <w:rPr>
          <w:rFonts w:ascii="Arial" w:cs="Arial" w:eastAsia="Arial" w:hAnsi="Arial"/>
          <w:sz w:val="17"/>
          <w:szCs w:val="17"/>
          <w:u w:val="single" w:color="auto"/>
          <w:color w:val="auto"/>
        </w:rPr>
        <w:t>End of Suspension Notice</w:t>
      </w:r>
      <w:r>
        <w:rPr>
          <w:rFonts w:ascii="Arial" w:cs="Arial" w:eastAsia="Arial" w:hAnsi="Arial"/>
          <w:sz w:val="17"/>
          <w:szCs w:val="17"/>
          <w:color w:val="auto"/>
        </w:rPr>
        <w:t>”) from the Company, which End of Suspension Notice shall be given by the Company to the Holders promptly (and no later than three (3) Business Days) following the conclusion of any Suspension Event and its effect.</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3" w:name="page14"/>
    <w:bookmarkEnd w:id="13"/>
    <w:p>
      <w:pPr>
        <w:ind w:right="80" w:firstLine="464"/>
        <w:spacing w:after="0" w:line="272" w:lineRule="auto"/>
        <w:tabs>
          <w:tab w:leader="none" w:pos="701"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provision herein to the contrary, if the Company shall give a Suspension Notice with respect to any Shelf Registration Statement or Demand Registration Statement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the Company agrees that it shall extend the period of time during which such Shelf Registration Statement or Demand Registration Statement shall be maintained effective (including the period referred to in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by the number of days during the period from the date of receipt by the Holders of the Suspension Notice to and including the date of receipt by the Holders of the End of Suspension Notice and promptly provide copies of the supplemented or amended prospectus necessary to resume offers and sales, with respect to each Suspension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period of time shall not be extended beyond the date that the Registrable Securities covered by such Shelf Registration Statement or Demand Registration Statement are no longer Registrable Securities.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Registration Procedures; Filings; Information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in connection with any Shelf Registration Statement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any Demand Registration Statement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Piggy-Back Registration Statement under </w:t>
      </w:r>
      <w:r>
        <w:rPr>
          <w:rFonts w:ascii="Arial" w:cs="Arial" w:eastAsia="Arial" w:hAnsi="Arial"/>
          <w:sz w:val="18"/>
          <w:szCs w:val="18"/>
          <w:u w:val="single" w:color="auto"/>
          <w:color w:val="auto"/>
        </w:rPr>
        <w:t>Section 2.3</w:t>
      </w:r>
      <w:r>
        <w:rPr>
          <w:rFonts w:ascii="Arial" w:cs="Arial" w:eastAsia="Arial" w:hAnsi="Arial"/>
          <w:sz w:val="18"/>
          <w:szCs w:val="18"/>
          <w:color w:val="auto"/>
        </w:rPr>
        <w:t>, the Company will use reasonable best efforts to effect the registration and the sale of the applicable Registrable Securities in accordance with the intended method of disposition thereof as quickly as possible, and in connection with any such request:</w:t>
      </w:r>
    </w:p>
    <w:p>
      <w:pPr>
        <w:spacing w:after="0" w:line="187" w:lineRule="exact"/>
        <w:rPr>
          <w:sz w:val="20"/>
          <w:szCs w:val="20"/>
          <w:color w:val="auto"/>
        </w:rPr>
      </w:pPr>
    </w:p>
    <w:p>
      <w:pPr>
        <w:ind w:right="80" w:firstLine="464"/>
        <w:spacing w:after="0" w:line="286" w:lineRule="auto"/>
        <w:tabs>
          <w:tab w:leader="none" w:pos="701"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The Company will as expeditiously as possible, pursuant to the timing requirements set forth herein, prepare and file with the Commission the applicable registration statement on the applicable form required under this Agreement (or, if this Agreement does not require a form, any appropriate form permitting for the sale of the Registrable Securities according to the intended method of disposition) and use reasonable best efforts to cause such registration statement to become and remain effective (i) in the case of a Shelf Registration Statement, for the period described in the last sentence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 Demand Registration Statement or Piggy-Back Registration Statement, for a period of not less than 180 days from the effective date of such registration statement.</w:t>
      </w:r>
    </w:p>
    <w:p>
      <w:pPr>
        <w:spacing w:after="0" w:line="183" w:lineRule="exact"/>
        <w:rPr>
          <w:rFonts w:ascii="Arial" w:cs="Arial" w:eastAsia="Arial" w:hAnsi="Arial"/>
          <w:sz w:val="18"/>
          <w:szCs w:val="18"/>
          <w:color w:val="auto"/>
        </w:rPr>
      </w:pPr>
    </w:p>
    <w:p>
      <w:pPr>
        <w:ind w:firstLine="464"/>
        <w:spacing w:after="0" w:line="289" w:lineRule="auto"/>
        <w:tabs>
          <w:tab w:leader="none" w:pos="71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Company will prior to filing a registration statement or prospectus or any amendment or supplement thereto, furnish to each Selling Holder and each Underwriter, if any, of the Registrable Securities covered by such registration statement copies of such registration statement, prospectus, amendment or supplement as proposed to be filed with copies of all documents proposed to be filed, which documents shall be subject to the reasonable review of such Selling Holder and Underwriter, if any, and their respective counsel and not file any such registration statement, prospectus, amendment or supplement to which any Selling Holder or the Underwriter, if any, shall reasonably object;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responsible for any delay in filing due to such objections. The Company shall thereafter furnish or make available to such Selling Holder and Underwriter, if any, such number of conformed copies of such registration statement, each amendment and supplement thereto (and upon request, all exhibits thereto and documents incorporated by reference therein), the prospectus included in such registration statement (including each preliminary prospectus) and such other documents as such Selling Holder or Underwriter may reasonably request in order to facilitate the disposition of the Registrable Securities owned by such Selling Holder.</w:t>
      </w:r>
    </w:p>
    <w:p>
      <w:pPr>
        <w:spacing w:after="0" w:line="166" w:lineRule="exact"/>
        <w:rPr>
          <w:rFonts w:ascii="Arial" w:cs="Arial" w:eastAsia="Arial" w:hAnsi="Arial"/>
          <w:sz w:val="16"/>
          <w:szCs w:val="16"/>
          <w:color w:val="auto"/>
        </w:rPr>
      </w:pPr>
    </w:p>
    <w:p>
      <w:pPr>
        <w:ind w:right="20" w:firstLine="464"/>
        <w:spacing w:after="0" w:line="293" w:lineRule="auto"/>
        <w:tabs>
          <w:tab w:leader="none" w:pos="70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will promptly notify each Selling Holder of Registrable Securities covered by such registration statement of (i) any stop order issued or threatened by the Commission or any order by the Commission or any other regulatory authority preventing or suspending the use of any preliminary or final prospectus or the initiation or threatening of any proceedings for such purposes, (ii) any written comments by the Commission or any request by the Commission or any other federal or state governmental authority for amendments or supplements to such registration statement or for additional information or (iii) the receipt by the Company of any notification with respect to the suspension of the qualification of the Registrable Securities for offering or sale in any jurisdiction or the initiation or threatening of any proceeding for such purpose.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ind w:left="-20" w:right="220" w:firstLine="464"/>
        <w:spacing w:after="0" w:line="277"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promptly take all reasonable actions required to prevent, or obtain the withdrawal of, any stop order or other order suspending the use of any preliminary or final registration statement.</w:t>
      </w:r>
    </w:p>
    <w:p>
      <w:pPr>
        <w:spacing w:after="0" w:line="170" w:lineRule="exact"/>
        <w:rPr>
          <w:rFonts w:ascii="Arial" w:cs="Arial" w:eastAsia="Arial" w:hAnsi="Arial"/>
          <w:sz w:val="18"/>
          <w:szCs w:val="18"/>
          <w:color w:val="auto"/>
        </w:rPr>
      </w:pPr>
    </w:p>
    <w:p>
      <w:pPr>
        <w:ind w:left="-20" w:right="20" w:firstLine="464"/>
        <w:spacing w:after="0" w:line="255" w:lineRule="auto"/>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Company will use reasonable best efforts to (i) register or qualify the Registrable Securities under such other securities or blue sky laws of such jurisdictions in the United States (where an exemption does not apply) as any Selling Holder or managing Underwriter or Underwriters, if any, reasonably (in light of such Selling Holder’s intended method of disposition)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Selling Holder to consummate the disposition of the Registrable Securities owned by such Selling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to qualify generally to do business in any jurisdiction where it would not otherwise be required to qualify but for this </w:t>
      </w:r>
      <w:r>
        <w:rPr>
          <w:rFonts w:ascii="Arial" w:cs="Arial" w:eastAsia="Arial" w:hAnsi="Arial"/>
          <w:sz w:val="18"/>
          <w:szCs w:val="18"/>
          <w:u w:val="single" w:color="auto"/>
          <w:color w:val="auto"/>
        </w:rPr>
        <w:t>clause (e)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0" w:firstLine="464"/>
        <w:spacing w:after="0" w:line="270" w:lineRule="auto"/>
        <w:tabs>
          <w:tab w:leader="none" w:pos="6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will promptly notify each Selling Holder of Registrable Securities, at any time when a prospectus covering the resale of such Registrable Securities is required to be delivered under the Securities Act, of (i) the Company’s receipt of any notification of the suspension of the qualification of such Registrable Securities for sale in any jurisdiction, (ii)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were made, not misleading and promptly make available to each Selling Holder any such supplement or amendment and (iii) make available or deliver to each Selling Holder and each Underwriter, if any, without charge, as many copies of the applicable prospectus (including each preliminary prospectus), any amendment or supplement thereto and such other documents necessary to facilitate the disposition of the Registrable Securities as such Selling Holder or Underwriter may reasonably request.</w:t>
      </w:r>
    </w:p>
    <w:p>
      <w:pPr>
        <w:spacing w:after="0" w:line="181" w:lineRule="exact"/>
        <w:rPr>
          <w:rFonts w:ascii="Arial" w:cs="Arial" w:eastAsia="Arial" w:hAnsi="Arial"/>
          <w:sz w:val="17"/>
          <w:szCs w:val="17"/>
          <w:color w:val="auto"/>
        </w:rPr>
      </w:pPr>
    </w:p>
    <w:p>
      <w:pPr>
        <w:ind w:left="-20" w:firstLine="464"/>
        <w:spacing w:after="0" w:line="269" w:lineRule="auto"/>
        <w:tabs>
          <w:tab w:leader="none" w:pos="6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Company will promptly (i) incorporate in a prospectus supplement or post-effective amendment such information as the Underwriter or the applicable Selling Holders reasonably request be included therein relating to the plan of distribution with respect to such Registrable Securities, and make all required filings of such prospectus supplement or post-effective amendment, (ii) in the case of such a post-effective amendment, use reasonably best efforts to cause such post-effective amendment to be declared effective by the Commission as soon as reasonably possible (if such post-effective amendment is not automatically effective upon filing with the Commission), and (iii) make available or furnish to each Selling Holder and each Underwriter, if any, without charge, as many conformed copies as such Selling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modify any information if the Company reasonably expects that so doing would cause (A) such registration statement, prospectus supplement or post-effective amendment to contain an untrue statement of a material fact or omit to state any material fact required to be stated therein or necessary to make the statements therein not misleading or (B) such filings to contain an untrue statement of a material fact or to omit to state a material fact necessary in order to make the statements made, in light of the circumstances under which they were made, not misleading.</w:t>
      </w:r>
    </w:p>
    <w:p>
      <w:pPr>
        <w:spacing w:after="0" w:line="179" w:lineRule="exact"/>
        <w:rPr>
          <w:rFonts w:ascii="Arial" w:cs="Arial" w:eastAsia="Arial" w:hAnsi="Arial"/>
          <w:sz w:val="17"/>
          <w:szCs w:val="17"/>
          <w:color w:val="auto"/>
        </w:rPr>
      </w:pPr>
    </w:p>
    <w:p>
      <w:pPr>
        <w:ind w:left="-20" w:right="460" w:firstLine="464"/>
        <w:spacing w:after="0" w:line="342" w:lineRule="auto"/>
        <w:tabs>
          <w:tab w:leader="none" w:pos="6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will enter into customary agreements (including an underwriting agreement, if any, in customary form) and use reasonable best efforts to take such other actions as the applicable Selling Holders or Underwriters, if any, reasonably request and that are required for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15" w:name="page16"/>
    <w:bookmarkEnd w:id="1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 of such Registrable Securities, including, without limitation, (A) obtaining for delivery to such Underwriters, with copies to such Selling Holders, an opinion from counsel for the Company dated as of the closing date of the applicable offering, in the form customarily given in opinions of the Company’s counsel to underwriters in underwritten registered offerings, which opinions shall be reasonably satisfactory to such Underwriters and their counsel, (B) in the case of an underwritten offering, obtaining for delivery to such Underwriters, with copies to such Selling Holders, a comfort letter from the Company’s independent certified public accountants in customary form and covering such matters of the type customarily covered by comfort letters as such Underwriters reasonably request, dated the date of the underwriting agreement and brought down to the closing under the underwriting agreement, and</w:t>
      </w:r>
    </w:p>
    <w:p>
      <w:pPr>
        <w:spacing w:after="0" w:line="5" w:lineRule="exact"/>
        <w:rPr>
          <w:sz w:val="20"/>
          <w:szCs w:val="20"/>
          <w:color w:val="auto"/>
        </w:rPr>
      </w:pPr>
    </w:p>
    <w:p>
      <w:pPr>
        <w:ind w:right="560" w:firstLine="8"/>
        <w:spacing w:after="0" w:line="261"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cooperating with such Selling Holders and Underwriters and their respective counsel in connection with any other filings required to be made with FINRA (if any).</w:t>
      </w:r>
    </w:p>
    <w:p>
      <w:pPr>
        <w:spacing w:after="0" w:line="183" w:lineRule="exact"/>
        <w:rPr>
          <w:rFonts w:ascii="Arial" w:cs="Arial" w:eastAsia="Arial" w:hAnsi="Arial"/>
          <w:sz w:val="18"/>
          <w:szCs w:val="18"/>
          <w:color w:val="auto"/>
        </w:rPr>
      </w:pPr>
    </w:p>
    <w:p>
      <w:pPr>
        <w:ind w:firstLine="464"/>
        <w:spacing w:after="0" w:line="269" w:lineRule="auto"/>
        <w:tabs>
          <w:tab w:leader="none" w:pos="67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will make available upon reasonable notice and during normal business hours for inspection by any applicable Underwriter and any attorney, accountant or other professional retained by any such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book and records, pertinent corporate documents and books and records relating to the properties of the Company or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as shall be reasonably necessary to enable them to exercise their due diligence responsibility, and cause the officers, directors and employees of the Company and its subsidiaries to supply all information reasonably requested by any Inspector in connection with such registration statement and related due diligence defense, subject to entry by each such Inspector into a customary confidentiality and non-use agreement in a form reasonably acceptable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disclosure of such Records is necessary to avoid or correct a misstatement or omission in a registration statement or the release of such Records is ordered pursuant to a subpoena or other order from a court of competent jurisdiction, the Company shall not be required to provide any information under this Section 2.6(i) if the Company believes, after consultation with counsel for the Company, that to do so would cause the Company to forfeit an attorney-client privilege that was applicable to such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Inspector agrees that it shall, upon learning that disclosure of such Records is sought in a court of competent jurisdiction, give notice to the Company and allow the Company, at its expense, to undertake appropriate action and to prevent disclosure of the Records deemed confidential.</w:t>
      </w:r>
    </w:p>
    <w:p>
      <w:pPr>
        <w:spacing w:after="0" w:line="179" w:lineRule="exact"/>
        <w:rPr>
          <w:rFonts w:ascii="Arial" w:cs="Arial" w:eastAsia="Arial" w:hAnsi="Arial"/>
          <w:sz w:val="17"/>
          <w:szCs w:val="17"/>
          <w:color w:val="auto"/>
        </w:rPr>
      </w:pPr>
    </w:p>
    <w:p>
      <w:pPr>
        <w:ind w:right="120" w:firstLine="464"/>
        <w:spacing w:after="0" w:line="279" w:lineRule="auto"/>
        <w:tabs>
          <w:tab w:leader="none" w:pos="67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will otherwise use reasonable best efforts to comply with all applicable rules and regulations of the Commission, and make available to its securityholders, as soon as reasonably practicable, an earnings statement covering a period of 12 months, beginning within three months after the effective date of the registration statement, which earnings statement shall satisfy the provisions of Section 11(a) of the Securities Act and Rule 158 of the Commission promulgated thereunder (or any successor rule or regulation hereafter adopted by the Commission).</w:t>
      </w:r>
    </w:p>
    <w:p>
      <w:pPr>
        <w:spacing w:after="0" w:line="171" w:lineRule="exact"/>
        <w:rPr>
          <w:rFonts w:ascii="Arial" w:cs="Arial" w:eastAsia="Arial" w:hAnsi="Arial"/>
          <w:sz w:val="17"/>
          <w:szCs w:val="17"/>
          <w:color w:val="auto"/>
        </w:rPr>
      </w:pPr>
    </w:p>
    <w:p>
      <w:pPr>
        <w:ind w:right="180" w:firstLine="464"/>
        <w:spacing w:after="0" w:line="286" w:lineRule="auto"/>
        <w:tabs>
          <w:tab w:leader="none" w:pos="7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may require each applicable Selling Holder to promptly furnish in writing to the Company such information regarding such Selling Holder, the Registrable Securities held by it and the intended method of disposition of the Registrable Securities as the Company may from time to time reasonably request and such other information as may be legally required in connection with such registration.</w:t>
      </w:r>
    </w:p>
    <w:p>
      <w:pPr>
        <w:spacing w:after="0" w:line="165" w:lineRule="exact"/>
        <w:rPr>
          <w:rFonts w:ascii="Arial" w:cs="Arial" w:eastAsia="Arial" w:hAnsi="Arial"/>
          <w:sz w:val="17"/>
          <w:szCs w:val="17"/>
          <w:color w:val="auto"/>
        </w:rPr>
      </w:pPr>
    </w:p>
    <w:p>
      <w:pPr>
        <w:ind w:right="240" w:firstLine="464"/>
        <w:spacing w:after="0" w:line="302" w:lineRule="auto"/>
        <w:tabs>
          <w:tab w:leader="none" w:pos="6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Selling Holder agrees that it will promptly notify the Company at any time when a prospectus relating to the registration of such Registrable Securities is required to be delivered under the Securities Act of the happening of an event as a result of which information previously furnished by such Selling Holder to the Company in writing for inclusion in such prospectus contains an untrue statement of a material fact or omits to state any material fact required to be stated therein or necessary to make the statements therein not misleading in light of the circumstances in which they were made.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 w:name="page17"/>
    <w:bookmarkEnd w:id="16"/>
    <w:p>
      <w:pPr>
        <w:ind w:right="60" w:firstLine="464"/>
        <w:spacing w:after="0" w:line="257" w:lineRule="auto"/>
        <w:tabs>
          <w:tab w:leader="none" w:pos="761"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underwritten offering, the Company will cooperate with the customary marketing efforts of the Underwriters, including, without limitation, providing information and materials and making appropriate senior executive officers of the Company available to participate in meetings, customary “road show” presentations and/or investor conference calls to market the Registrable Securities that may be reasonably requested by the Underwriters in any such underwritten offering and otherwise to reasonably facilitate, cooperate with, and participate in each proposed offering contemplated herein and customary selling efforts related thereto.</w:t>
      </w:r>
    </w:p>
    <w:p>
      <w:pPr>
        <w:spacing w:after="0" w:line="188"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the case of an Overnight Underwritten Offering, the Company will use its reasonable best efforts to effect the registration and the sale of the applicable Registrable Securities in accordance with the intended method of disposition thereof as quickly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Selling Holders provide the Company with at least three (3) Business Days’ notice of such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9"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connection with any registration statement required to be filed hereunder, the Company shall pay the following registration expenses incurred in connection with the registration hereunder (the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regardless of whether such registration statement is declared effective by the Commission: (i) all registration and filing fees, and any other fees and expenses associated with filings required to be made with the SEC or FINRA, (ii) fees and expenses of compliance with securities or blue sky laws (including reasonable fees and disbursements of counsel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(iv) the fees and expenses incurred in connection with the listing of the Registrable Securities on NASDAQ or other applicable national securities exchange, and (v) reasonable fees and disbursements of counsel for the Company and customary fees and expenses for independent certified public accountants retained by the Company (including the expenses of any comfort letters requested pursuant to </w:t>
      </w:r>
      <w:r>
        <w:rPr>
          <w:rFonts w:ascii="Arial" w:cs="Arial" w:eastAsia="Arial" w:hAnsi="Arial"/>
          <w:sz w:val="17"/>
          <w:szCs w:val="17"/>
          <w:u w:val="single" w:color="auto"/>
          <w:color w:val="auto"/>
        </w:rPr>
        <w:t>Section 2.6(h)</w:t>
      </w:r>
      <w:r>
        <w:rPr>
          <w:rFonts w:ascii="Arial" w:cs="Arial" w:eastAsia="Arial" w:hAnsi="Arial"/>
          <w:sz w:val="17"/>
          <w:szCs w:val="17"/>
          <w:color w:val="auto"/>
        </w:rPr>
        <w:t>). The Company shall have no obligation to pay any underwriting fees, discounts or commissions attributable to the sale of Registrable Securities or any transfer taxes relating to the registration or sale of the Registrable Securities, nor will the Company have any obligation to pay any attorneys’ or other advisors’ fees of the Selling Holders.</w:t>
      </w:r>
    </w:p>
    <w:p>
      <w:pPr>
        <w:spacing w:after="0" w:line="179" w:lineRule="exact"/>
        <w:rPr>
          <w:rFonts w:ascii="Arial" w:cs="Arial" w:eastAsia="Arial" w:hAnsi="Arial"/>
          <w:sz w:val="17"/>
          <w:szCs w:val="17"/>
          <w:color w:val="auto"/>
        </w:rPr>
      </w:pPr>
    </w:p>
    <w:p>
      <w:pPr>
        <w:ind w:right="40" w:firstLine="464"/>
        <w:spacing w:after="0" w:line="279"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Promptly, and in no event more than ten (10) days, following the effectiveness of a Shelf Registration Statement or Demand Registration Statement, the closing of a Underwritten Shelf Offering or Underwritten Demand Offering or the filing at the request of the Holders of any prospectus supplement relating to the Registrable Securities (including the Initial Prospectus Supplement), the Holders shall reimburse the Company for the reasonable Registration Expenses incurred by the Company and directly attributable to such registration statement or offering, as the case may be.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agrees to indemnify and hold harmless, to the full extent permitted by law, each Selling Holder, each member, limited partner or general partner thereof, each member, limited partner or general partner of each such member, limited or general partner, each of their respective Affiliates, officers, directors, stockholders, employees, advisors, and agents and each Person, if any, who controls such Persons within the meaning of Section 15 of the Securities Act or Section 20 of the Exchange Act and each of their respective Representatives from and against any and all losses, penalties, judgments, suits, costs, claims, damages, liabilities and expenses (including reasonable costs of investigation and legal expenses) (each, a “</w:t>
      </w:r>
      <w:r>
        <w:rPr>
          <w:rFonts w:ascii="Arial" w:cs="Arial" w:eastAsia="Arial" w:hAnsi="Arial"/>
          <w:sz w:val="18"/>
          <w:szCs w:val="18"/>
          <w:u w:val="single" w:color="auto"/>
          <w:color w:val="auto"/>
        </w:rPr>
        <w:t>Loss</w:t>
      </w:r>
      <w:r>
        <w:rPr>
          <w:rFonts w:ascii="Arial" w:cs="Arial" w:eastAsia="Arial" w:hAnsi="Arial"/>
          <w:sz w:val="18"/>
          <w:szCs w:val="18"/>
          <w:color w:val="auto"/>
        </w:rPr>
        <w:t>”, and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 out of or are based upon any untrue statement or alleged untrue statement of a material fact contained in any registration statement or prospectus relating to such Registrable Securities, or any amendment or supplement thereto, or any preliminary prospectus, or that arise out of or are based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any omission or alleged omission to state therein a material fact required to be stated therein or necessary to make the statements therein, in light of the circumstances under which they were made, not misleading, except insofar as such Losses arise out of or are based upon any such untrue statement or omission or alleged untrue statement or omission with respect to information relating to such Selling Holder (a) that such Selling Holder knew to be untrue or reasonably should have known to be untrue or knew to be an omission or reasonably should have known to be an omission or (b) was included in reliance upon and in conformity with information furnished in writing to the Company by such Selling Holder or on such Selling Holder’s behalf expressly for inclusion therein or that are due to such Selling Holder’s failure to deliver a copy of such registration statement or prospectus relating to such Registrable Securities, or any amendment or supplement thereto, or any preliminary prospectus after the Company has made available or furnished such Selling Holder with copies of the same prior to any written confirmation of the sale of Registrable Securities. This indemnity shall be in addition to any liability the Company may otherwise have. Such indemnity shall remain in full force and effect regardless of any investigation made by or on behalf of such Selling Holder or any Indemnified Party.</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xml:space="preserve">. Each Selling Holder agrees, severally but not jointly, to indemnify and hold harmless the Company, its officers, directors and agents and each Person, if any, who controls the Company within the meaning of either Section 15 of the Securities Act or Section 20 of the Exchange Act and each of their respective Representatives to the same extent as the foregoing indemnity from the Company to such Selling Holder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only with respect to (a) written information relating to such Selling Holder included in reliance upon and in conformity with information furnished in writing by such Selling Holder or on such Selling Holder’s behalf expressly for use in any registration statement or prospectus relating to the Registrable Securities of such Selling Holder, or any amendment or supplement thereto, or any preliminary prospectus and (b) any untrue statement or alleged untrue statement of a material fact contained in any registration statement or prospectus relating to such Registrable Securities, or any amendment or supplement thereto, or any preliminary prospectus, or that arise out of or are based upon any omission or alleged omission to state therein a material fact required to be stated therein or necessary to make the statements therein, in light of the circumstances under which they were made, not misleading and (i) that such Selling Holder knew to be untrue or knew to be an omission or that such Selling Holder reasonably should have known to be untrue or reasonably should have known to be an omission and (ii) which the Company did not know to be untrue or did not know to be an omission. Notwithstanding the foregoing, in no event will the liability of a Selling Holder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otherwise hereunder exceed the net proceeds actually received by such Selling Holder from the sale of its Registrable Securities hereunder. This indemnity shall be in addition to any liability each Selling Holder may otherwise have.</w:t>
      </w:r>
    </w:p>
    <w:p>
      <w:pPr>
        <w:spacing w:after="0" w:line="18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such Person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Indemnified Party to give such notice will not relieve such Indemnifying Party of its obligations under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w:t>
      </w:r>
      <w:r>
        <w:rPr>
          <w:rFonts w:ascii="Arial" w:cs="Arial" w:eastAsia="Arial" w:hAnsi="Arial"/>
          <w:sz w:val="17"/>
          <w:szCs w:val="17"/>
          <w:color w:val="auto"/>
        </w:rPr>
        <w:t>, as applicable, except to the extent such Indemnifying Party is materially prejudiced by such failure.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or (b) the named parties to any such proceeding (including any impleaded parties) include both the Indemnified Party and the Indemnifying Party and representation of both parties by the same counsel would be inappropriate due to actual or potential differing interests between them. It is understood that the Indemnifying Party shall not, in connection with any proceeding</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related proceedings in the same jurisdiction, be liable for the reasonable fees and expenses of more than one separate firm of attorneys (in addition to any local counsel) at any time for all such Indemnified Parties, and that all such fees and expenses shall be reimbursed as they are incurred. In the case of any such separate firm for the Indemnified Parties, such firm shall be designated in writing by (i) in the case of Persons indemnified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WFLP and</w:t>
      </w:r>
    </w:p>
    <w:p>
      <w:pPr>
        <w:ind w:right="20" w:firstLine="8"/>
        <w:spacing w:after="0" w:line="252"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the case of Persons indemnified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the Company. The Indemnifying Party shall not be liable for any settlement of any proceeding effected without its written consent, which consent shall not be unreasonably withheld. No Indemnifying Party shall, without the prior written consent of the Indemnified Party (which consent shall not be unreasonably withheld, conditioned or delayed), effect any settlement of any pending or threatened proceeding in respect of with any Indemnified Party is or could have been a party and indemnity could have been sought hereunder by such Indemnified Party, unless such settlement includes an unconditional release of such Indemnified Party from all liability arising out of such proceeding without any admission of liability by such Indemnified Party.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90" w:lineRule="auto"/>
        <w:tabs>
          <w:tab w:leader="none" w:pos="7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is held by a court of competent jurisdiction to be unavailable to an Indemnified Party or insufficient in respect of any Losses referred to herein, then each such Indemnifying Party, in lieu of indemnifying such Indemnified Party, shall contribute to the amount paid or payable by such Indemnified Party as a result of such Losses as between the Company on the one hand and each Selling Holder on the other, in such proportion as is appropriate to reflect the relative fault of the Company and of each Selling Holder in connection with such statements or omissions which resulted in such Losses, as well as any other relevant equitable considerations. The relative fault of the Company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66" w:lineRule="exact"/>
        <w:rPr>
          <w:rFonts w:ascii="Arial" w:cs="Arial" w:eastAsia="Arial" w:hAnsi="Arial"/>
          <w:sz w:val="16"/>
          <w:szCs w:val="16"/>
          <w:color w:val="auto"/>
        </w:rPr>
      </w:pPr>
    </w:p>
    <w:p>
      <w:pPr>
        <w:ind w:right="140" w:firstLine="464"/>
        <w:spacing w:after="0" w:line="290" w:lineRule="auto"/>
        <w:tabs>
          <w:tab w:leader="none" w:pos="7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amount paid or payable by an Indemnified Party as a result of the Losses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Selling Holder’s obligations to contribute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are several in such proportion that the proceeds of the offering received by such Selling Holder bears to the total proceeds of the offering received by all the Selling Holders, and not joint.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Participation in Underwritten Offerings</w:t>
      </w:r>
      <w:r>
        <w:rPr>
          <w:rFonts w:ascii="Arial" w:cs="Arial" w:eastAsia="Arial" w:hAnsi="Arial"/>
          <w:sz w:val="17"/>
          <w:szCs w:val="17"/>
          <w:color w:val="auto"/>
        </w:rPr>
        <w:t>. No Person may participate in any underwritten offering hereunder unless such Person</w:t>
      </w:r>
    </w:p>
    <w:p>
      <w:pPr>
        <w:spacing w:after="0" w:line="35" w:lineRule="exact"/>
        <w:rPr>
          <w:sz w:val="20"/>
          <w:szCs w:val="20"/>
          <w:color w:val="auto"/>
        </w:rPr>
      </w:pPr>
    </w:p>
    <w:p>
      <w:pPr>
        <w:ind w:right="120" w:firstLine="8"/>
        <w:spacing w:after="0" w:line="255"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agrees to sell such Person’s securities on the basis provided in any underwriting agreement (which shall be reasonably satisfactory to such Person in form and substance) and (b) completes and executes all customary questionnaires and other documents reasonably required under the terms of such customary underwriting agreement.</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Rule 144</w:t>
      </w:r>
      <w:r>
        <w:rPr>
          <w:rFonts w:ascii="Arial" w:cs="Arial" w:eastAsia="Arial" w:hAnsi="Arial"/>
          <w:sz w:val="18"/>
          <w:szCs w:val="18"/>
          <w:color w:val="auto"/>
        </w:rPr>
        <w:t>. The Company covenants that it will timely file any reports required to be filed by it under the Securities Act and the Exchange Act to the extent required from time to time to enable Holders to sell Registrable Securities without registration under the Securities Act within the limitation of the exemptions provided by Rule 144. Upon the reasonable request of any Holder, the Company will deliver to such Holder a written statement as to whether it has complied with such requirements and, if not, the specific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9" w:name="page20"/>
    <w:bookmarkEnd w:id="19"/>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enter into any agreement with any current or future holder of any securities of the Company that (a) would allow such current or future holder to require the Company to include securities in any Underwritten Shelf Offering or Underwritten Demand Offering or (b) constitute contractual rights of the type described in </w:t>
      </w:r>
      <w:r>
        <w:rPr>
          <w:rFonts w:ascii="Arial" w:cs="Arial" w:eastAsia="Arial" w:hAnsi="Arial"/>
          <w:sz w:val="17"/>
          <w:szCs w:val="17"/>
          <w:u w:val="single" w:color="auto"/>
          <w:color w:val="auto"/>
        </w:rPr>
        <w:t>Section 2.4(b)(i)</w:t>
      </w:r>
      <w:r>
        <w:rPr>
          <w:rFonts w:ascii="Arial" w:cs="Arial" w:eastAsia="Arial" w:hAnsi="Arial"/>
          <w:sz w:val="17"/>
          <w:szCs w:val="17"/>
          <w:color w:val="auto"/>
        </w:rPr>
        <w:t xml:space="preserve"> (i.e., that would allow such current or future holder to require the Company to include securities in any Underwritten Piggy-Back Offering on a basis that has priority over the Registrable Securities of the Selling Holders). The Company hereby represents and warrants to the Holders that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sets forth a correct and complete list of all other currently effective registration rights granted by the Company to other holders of its securities as of the date of this Agreement.</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Restriction on Sales of Common Stock</w:t>
      </w:r>
      <w:r>
        <w:rPr>
          <w:rFonts w:ascii="Arial" w:cs="Arial" w:eastAsia="Arial" w:hAnsi="Arial"/>
          <w:sz w:val="16"/>
          <w:szCs w:val="16"/>
          <w:color w:val="auto"/>
        </w:rPr>
        <w:t>. Without the Company’s prior written consent, the Holders, collectively, shall not be permitted to sell more than an aggregate of 4,043,903 shares of Common Stock (as such number shall be adjusted for any conversion, dividend, stock-split, distribution or exchange, merger, consolidation, exchange, recapitalization or reclassification or similar transactions affecting such shares) pursuant to any Shelf Registration Statement, Demand Registration Statement or Piggy-Back Registration Statement in any quarter ending after the date of this Agreement.</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when there shall be no Registrable Securities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shall survive any such termination.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NASDAQ Listing</w:t>
      </w:r>
      <w:r>
        <w:rPr>
          <w:rFonts w:ascii="Arial" w:cs="Arial" w:eastAsia="Arial" w:hAnsi="Arial"/>
          <w:sz w:val="18"/>
          <w:szCs w:val="18"/>
          <w:color w:val="auto"/>
        </w:rPr>
        <w:t>. For so long as any Common Stock is listed on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 or any other stock exchange, the Company shall use reasonable best efforts to cause any Registrable Securities to be listed on the NASDAQ or such other exchange by the date that the Shelf Registration Statement, Demand Registration Statement or Piggy-Back Registration Statement, as applicable, has been declared effective by the Commission.</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and granted by law, including recovery of damages, the Holders shall be entitled to specific performance of the rights under this Agreement. The Company agrees that monetary damages would not be adequate compensation for any loss incurred by reason of a breach by it of the provisions of this Agreement and hereby agrees to waive the defense in any action for specific performance that a remedy at law would be adequate and any requirement of the Holders to post a bond or provide an indemnity in any such action.</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may not be amended, modified or supplemented without the written consent of the Company and WFLP (on behalf of the Holders). Any waiver of, or consent to the departure from, any provision of this Agreement must be in writing and signed by the party entitled to the benefit of such provision. Any such waiver or consent shall not operate or be construed as a waiver of any subsequent non-compliance with, or as a consent to the departure from, any provision. No failure or delay by any party to insist upon the strict performance of any covenant, duty, agreement or condition of this Agreement or to exercise any right or remedy consequent upon any breach thereof shall constitute waiver of any such breach or any other covenant, duty, agreement or condition.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notices and other communications in connection with this Agreement shall be made in writing by hand delivery, facsimile or air courier guaranteeing overnight delivery:</w:t>
      </w:r>
    </w:p>
    <w:p>
      <w:pPr>
        <w:spacing w:after="0" w:line="62" w:lineRule="exact"/>
        <w:rPr>
          <w:sz w:val="20"/>
          <w:szCs w:val="20"/>
          <w:color w:val="auto"/>
        </w:rPr>
      </w:pPr>
    </w:p>
    <w:p>
      <w:pPr>
        <w:ind w:left="460" w:right="4400"/>
        <w:spacing w:after="0" w:line="439" w:lineRule="auto"/>
        <w:rPr>
          <w:sz w:val="20"/>
          <w:szCs w:val="20"/>
          <w:color w:val="auto"/>
        </w:rPr>
      </w:pPr>
      <w:r>
        <w:rPr>
          <w:rFonts w:ascii="Arial" w:cs="Arial" w:eastAsia="Arial" w:hAnsi="Arial"/>
          <w:sz w:val="18"/>
          <w:szCs w:val="18"/>
          <w:color w:val="auto"/>
        </w:rPr>
        <w:t>if to the Holders: at WFLP’s most recent address on the books and records of the Company with a copy to (which shall not constitute notice): Latham &amp; Watkins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(213) 891-8763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Paul D. Tosetti and David A. Zaheer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Kim Sinatra, Executive Vice President and General Counsel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or to such other address as the Holders or the Company may hereafter specify in writing.</w:t>
      </w:r>
    </w:p>
    <w:p>
      <w:pPr>
        <w:spacing w:after="0" w:line="225" w:lineRule="exact"/>
        <w:rPr>
          <w:sz w:val="20"/>
          <w:szCs w:val="20"/>
          <w:color w:val="auto"/>
        </w:rPr>
      </w:pPr>
    </w:p>
    <w:p>
      <w:pPr>
        <w:ind w:right="12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such notices and communications shall be deemed to have been duly given: at the time delivered by hand, if personally delivered; when receipt is acknowledged, if sent by facsimile; on the next Business Day, if timely delivered to an air courier guaranteeing overnight delivery, and when receipt is acknowledged in writing by addressee or receipt is otherwise confirmed, if by electronic mail.</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expressly provided in this Agreement, the rights and obligations of the Holders under this Agreement shall not be assignable by any Holder to any Person that is not a Holder. The rights and obligations of the Company under this Agreement shall not be assignable by the Company to any other Person. This Agreement shall be binding upon and inure to the benefit of the parties hereto and their respective successors and assigns.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Each party shall become bound by this Agreement immediately upon affixing its signature hereto.</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Nevada without regard to the choice of law provisions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Exclusive Jurisdiction in Nevada</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342" w:lineRule="auto"/>
        <w:tabs>
          <w:tab w:leader="none" w:pos="7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parties hereto submit to the exclusive jurisdiction of the federal courts of the United States sitting in Clark County in the State of Nevada or, if such courts do not have jurisdiction, to the state courts sitting in Clark County in the State of Nevada, and any appellate court from any such federal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court (the “</w:t>
      </w:r>
      <w:r>
        <w:rPr>
          <w:rFonts w:ascii="Arial" w:cs="Arial" w:eastAsia="Arial" w:hAnsi="Arial"/>
          <w:sz w:val="18"/>
          <w:szCs w:val="18"/>
          <w:u w:val="single" w:color="auto"/>
          <w:color w:val="auto"/>
        </w:rPr>
        <w:t>Chosen Courts</w:t>
      </w:r>
      <w:r>
        <w:rPr>
          <w:rFonts w:ascii="Arial" w:cs="Arial" w:eastAsia="Arial" w:hAnsi="Arial"/>
          <w:sz w:val="18"/>
          <w:szCs w:val="18"/>
          <w:color w:val="auto"/>
        </w:rPr>
        <w:t>”), and hereby irrevocably and unconditionally agree that all claims with respect to any such claim shall be heard and determined in the Chosen Courts. The parties agree that a final judgment in any such claim is conclusive and may be enforced in any other jurisdiction by suit on the judgment or in any other manner provided by law.</w:t>
      </w:r>
    </w:p>
    <w:p>
      <w:pPr>
        <w:spacing w:after="0" w:line="181" w:lineRule="exact"/>
        <w:rPr>
          <w:sz w:val="20"/>
          <w:szCs w:val="20"/>
          <w:color w:val="auto"/>
        </w:rPr>
      </w:pPr>
    </w:p>
    <w:p>
      <w:pPr>
        <w:ind w:right="200" w:firstLine="464"/>
        <w:spacing w:after="0" w:line="286" w:lineRule="auto"/>
        <w:tabs>
          <w:tab w:leader="none" w:pos="7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waives, to the fullest extent it may legally and effectively do so, any objection which it may now or hereafter have to the laying of venue of any suit, action or proceeding arising out of or relating to this Agreement or any related matter in the Chosen Courts and the defense of an inconvenient forum to the maintenance of such claim in any such Chosen Court.</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TO THE EXTENT NOT PROHIBITED BY APPLICABLE LAW THAT CANNOT BE WAIVED, EACH PARTY HERETO HEREBY 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WITH ANY COURT AS WRITTEN EVIDENCE OF THE CONSENT OF EACH SUCH PARTY TO THE WAIVER OF ITS RIGHT TO TRIAL BY JURY.</w:t>
      </w:r>
    </w:p>
    <w:p>
      <w:pPr>
        <w:spacing w:after="0" w:line="178"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w:t>
      </w:r>
    </w:p>
    <w:p>
      <w:pPr>
        <w:ind w:firstLine="8"/>
        <w:spacing w:after="0" w:line="267"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wherever used herein, any pronoun or pronouns will be deemed to include both the singular and plural and to cover all genders; (h) this Agreement has been jointly prepared by the parties, and this Agreement will not be construed against any Person as the principal draftsperson hereof or thereof and no consideration may be given to any fact or presumption that any party had a greater or lesser hand in drafting this Agreement; (i) the captions of the articles, sections or subsections appearing in this Agreement are inserted only as a matter of convenience and in no way define, limit, construe or describe the scope or extent of such section, or in any way affect this Agreement; (j) any references herein to a particular Section or Schedule means a Section or Schedule to this Agreement unless otherwise expressly stated herein; and (k) all references to days mean calendar days unless otherwise provided.</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 hereof.</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express or implied herein is intended or shall be construed to confer upon any person or entity, other than the parties hereto and their respective successors and assigns and all Indemnified Parties, any rights, remedies or other benefits under or by reason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 Sinatra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Kim Sinatra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EVP, General Counsel &amp; Secretary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U/D/T Dated June 24, 2010, its manager</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A. Wynn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Stephen A. Wynn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960"/>
          </w:cols>
          <w:pgMar w:left="700" w:top="274" w:right="239" w:bottom="1440" w:gutter="0" w:footer="0" w:header="0"/>
        </w:sectPr>
      </w:pPr>
    </w:p>
    <w:bookmarkStart w:id="24" w:name="page25"/>
    <w:bookmarkEnd w:id="24"/>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This Stock Purchase Agreement, dated as of March 22,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Wynn Family Limited Partnership, a Delaware limited partnership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and each of the purchasers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severally and not jointly (each, a “Purchaser”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 advised by T. Rowe Price Associates, Inc. (“</w:t>
      </w:r>
      <w:r>
        <w:rPr>
          <w:rFonts w:ascii="Arial" w:cs="Arial" w:eastAsia="Arial" w:hAnsi="Arial"/>
          <w:sz w:val="18"/>
          <w:szCs w:val="18"/>
          <w:u w:val="single" w:color="auto"/>
          <w:color w:val="auto"/>
        </w:rPr>
        <w:t>TRPA</w:t>
      </w:r>
      <w:r>
        <w:rPr>
          <w:rFonts w:ascii="Arial" w:cs="Arial" w:eastAsia="Arial" w:hAnsi="Arial"/>
          <w:sz w:val="18"/>
          <w:szCs w:val="18"/>
          <w:color w:val="auto"/>
        </w:rPr>
        <w:t>”).</w:t>
      </w:r>
    </w:p>
    <w:p>
      <w:pPr>
        <w:spacing w:after="0" w:line="177"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holds an aggregate of 8,026,708 shares of common stock of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wishes to sell an aggregate of 3,026,708 shares of Common Stock to the Purchasers, and each Purchaser wishes to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from the Seller as set forth in Appendix A hereto, severally and not jointly (such shares,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on the terms and subject to the conditions set forth in this Agreement.</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and for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w:t>
      </w:r>
    </w:p>
    <w:p>
      <w:pPr>
        <w:spacing w:after="0" w:line="21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Sale and Purchase</w:t>
      </w:r>
      <w:r>
        <w:rPr>
          <w:rFonts w:ascii="Arial" w:cs="Arial" w:eastAsia="Arial" w:hAnsi="Arial"/>
          <w:sz w:val="17"/>
          <w:szCs w:val="17"/>
          <w:color w:val="auto"/>
        </w:rPr>
        <w:t>. On the terms and subject to the conditions set forth in this Agreement, on the Closing Date (as defined below), the Seller shall sell and transfer the Purchased Shares to the Purchasers, and the Purchasers shall purchase the Purchased Shares from the Seller.</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all of the Purchased Shares shall be $529,673,900 in the aggregate (the “Purchase Price”) (or $175.00 per share). The portion of the Purchase Price to be paid by each Purchaser is set forth in Appendix A.</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Company has filed with the Securities and Exchange Commission, under the Securities Act of 1933, as amended (the “Securities Act”), a registration statement on Form S-3 (File No. 333-214505) with respect to the issuance and sale by the Company of certain securities including the Common Stock, and a prospectus supplement, dated March 20, 2018 relating to the resale by the Seller of the Purchased Shares (such registration statement, as amended or supplemented from time to time, the “Registration Statement”). The Registration Statement, including all documents incorporated by reference therein, the prospectus included therein, and the Prospectus Supplement, as from time to time amended or supplemented pursuant to the Securities Act, the Securities Exchange Act of 1934, as amended, or otherwise, are collectively referred to herein as the “Prospectus.” The offering and sale of the Purchased Shares is being made pursuant to the Prospectus.</w:t>
      </w:r>
    </w:p>
    <w:p>
      <w:pPr>
        <w:sectPr>
          <w:pgSz w:w="11900" w:h="16838" w:orient="portrait"/>
          <w:cols w:equalWidth="0" w:num="1">
            <w:col w:w="11420"/>
          </w:cols>
          <w:pgMar w:left="240" w:top="121" w:right="239" w:bottom="1440" w:gutter="0" w:footer="0" w:header="0"/>
        </w:sectPr>
      </w:pPr>
    </w:p>
    <w:bookmarkStart w:id="26" w:name="page27"/>
    <w:bookmarkEnd w:id="26"/>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 </w:t>
      </w:r>
      <w:r>
        <w:rPr>
          <w:rFonts w:ascii="Arial" w:cs="Arial" w:eastAsia="Arial" w:hAnsi="Arial"/>
          <w:sz w:val="16"/>
          <w:szCs w:val="16"/>
          <w:u w:val="single" w:color="auto"/>
          <w:color w:val="auto"/>
        </w:rPr>
        <w:t>Closing; Delivery of and Payment for the Purchased Shares</w:t>
      </w:r>
      <w:r>
        <w:rPr>
          <w:rFonts w:ascii="Arial" w:cs="Arial" w:eastAsia="Arial" w:hAnsi="Arial"/>
          <w:sz w:val="16"/>
          <w:szCs w:val="16"/>
          <w:color w:val="auto"/>
        </w:rPr>
        <w:t>. On the terms and subject to the conditions set forth in this Agreement, 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purchase and sale of the Purchased Shares hereunder shall occur at 10:00 a.m., Eastern time, on March 26, 2018, or on such other date or at such other location, or remotely by facsimile transmission or other electronic means, as the parties may mutually agree (the date on which the Closing occurs, the “</w:t>
      </w:r>
      <w:r>
        <w:rPr>
          <w:rFonts w:ascii="Arial" w:cs="Arial" w:eastAsia="Arial" w:hAnsi="Arial"/>
          <w:sz w:val="16"/>
          <w:szCs w:val="16"/>
          <w:u w:val="single" w:color="auto"/>
          <w:color w:val="auto"/>
        </w:rPr>
        <w:t>Closing Date</w:t>
      </w:r>
      <w:r>
        <w:rPr>
          <w:rFonts w:ascii="Arial" w:cs="Arial" w:eastAsia="Arial" w:hAnsi="Arial"/>
          <w:sz w:val="16"/>
          <w:szCs w:val="16"/>
          <w:color w:val="auto"/>
        </w:rPr>
        <w:t>”), and on the Closing Date (a) each Purchaser shall instruct its agent or custodian, as the case may be, to pay, by wire transfer of immediately available funds to the account specified by the Seller, its portion of the Purchase Price as set forth in Appendix A, and (b) upon confirmation of receipt of the aggregate Purchase Price, the Seller shall immediately instruct the Company’s transfer agent (i) to cause each Purchaser’s portion of the Purchased Shares to be delivered, without restrictive legend, by crediting such Purchaser’s portion of the Purchased Shares to the accounts designated by such Purchaser and (ii) within one business day, to provide a transaction notice to such Purchaser reflecting the Purchased Shares credited in the Direct Registration System (DRS). The obligation of each party hereto to consummate the purchase and sale of the Purchased Shares hereunder at the Closing shall be subject to (A) the accuracy when made and as of the Closing Date of the representations and warranties of the other party or parties (unless such representations and warranties are made as of a specific date, in which case they shall be accurate as of such date), and (B) the performance by the other party or parties of all obligations, covenants and agreements required to be performed by such party or parties on or prior to the Closing.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Seller hereby represents and warrants to the Purchasers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Existence</w:t>
      </w:r>
      <w:r>
        <w:rPr>
          <w:rFonts w:ascii="Arial" w:cs="Arial" w:eastAsia="Arial" w:hAnsi="Arial"/>
          <w:sz w:val="16"/>
          <w:szCs w:val="16"/>
          <w:color w:val="auto"/>
        </w:rPr>
        <w:t>. The Seller has been duly formed and is validly existing as a limited partnership in good standing under the laws of the State of Delaware.</w:t>
      </w:r>
    </w:p>
    <w:p>
      <w:pPr>
        <w:spacing w:after="0" w:line="248"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The Seller has the full right, power and authority to execute and deliver this Agreement and to perform its obligations hereunder; and all action required to be taken by the Seller for the due and proper authorization, execution and delivery by it of this Agreement and the consummation of the transaction contemplated hereby has been duly and validly taken. The person signing this Agreement on behalf of the Seller has been duly and validly authorized and empowered to do so, and has the authority to bind the Seller to effectuate the transactions contemplated by this Agreement.</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Authorization</w:t>
      </w:r>
      <w:r>
        <w:rPr>
          <w:rFonts w:ascii="Arial" w:cs="Arial" w:eastAsia="Arial" w:hAnsi="Arial"/>
          <w:sz w:val="18"/>
          <w:szCs w:val="18"/>
          <w:color w:val="auto"/>
        </w:rPr>
        <w:t>. This Agreement has been duly authorized, executed and delivered by or on behalf of the Seller and constitutes a valid and binding agreement of the Seller enforceable in accordance with its terms, except to the extent enforcement thereof may be limited by bankruptcy, insolvency, reorganization or other laws affecting enforcement of creditors’ rights or by general equitable principles.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Assuming the accuracy of the Purchasers’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all governmental and other consents that are required to have been obtained by the Seller with respect to this Agreement have been obtained and are in full force and effect and all conditions of any such consents have been complied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7" w:name="page28"/>
    <w:bookmarkEnd w:id="27"/>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w:t>
      </w: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The execution, delivery and performance by the Seller of this Agreement will not (a) conflict with or result in a breach or violation of any of the terms or provisions of, or constitute a default under any indenture, mortgage, deed of trust, loan agreement or other agreement or instrument to which the Seller is a party or by which the Seller is bound, (b) result in any violation of the provisions of the organizational documents of the Seller or, to the knowledge of the Seller, the Company or (c) assuming the accuracy of the Purchaser’s representations and warranties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result in the violation of any law or statute or any judgment, order, rule or regulation of any court or arbitrator or governmental or regulatory authority, except, in the case of clauses (a) and (c) above, for any such conflict, breach, violation or default that would not materially and adversely affect the sale of the Purchased Shares and the consummation of any other transaction herein contemplated. No proceedings relating to the Purchased Shares are pending or, to the knowledge of the Seller, threatened, before any court, arbitrator, or administrative or governmental body or authority.</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Title and Delivery</w:t>
      </w:r>
      <w:r>
        <w:rPr>
          <w:rFonts w:ascii="Arial" w:cs="Arial" w:eastAsia="Arial" w:hAnsi="Arial"/>
          <w:sz w:val="18"/>
          <w:szCs w:val="18"/>
          <w:color w:val="auto"/>
        </w:rPr>
        <w:t>. As of the date hereof and immediately prior to the delivery of the Purchased Shares at the Closing, the Seller is, and will be, the sole legal and beneficial owner of, and holds, and will hold, good and valid title to the Purchased Shares and the right to vote the Purchased Shares, free and clear of all liens and encumbrances, other than any liens or encumbrances arising under federal or state securities laws. Other than this Agreement, the Seller is not party to any contract or agreement relating to the Purchased Shares or any rights relating thereto, including, without limitation, any agreement governing the sale, disposition, transfer or voting of the Purchased Shares.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Purchaser hereby represents and warrants to the Seller as follows:</w:t>
      </w:r>
    </w:p>
    <w:p>
      <w:pPr>
        <w:spacing w:after="0" w:line="117"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w:t>
      </w:r>
      <w:r>
        <w:rPr>
          <w:rFonts w:ascii="Arial" w:cs="Arial" w:eastAsia="Arial" w:hAnsi="Arial"/>
          <w:sz w:val="18"/>
          <w:szCs w:val="18"/>
          <w:color w:val="auto"/>
        </w:rPr>
        <w:t>. Such Purchaser has been duly organized and is validly existing and in good standing under the laws of the jurisdiction of its organization.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 and Authority</w:t>
      </w:r>
      <w:r>
        <w:rPr>
          <w:rFonts w:ascii="Arial" w:cs="Arial" w:eastAsia="Arial" w:hAnsi="Arial"/>
          <w:sz w:val="18"/>
          <w:szCs w:val="18"/>
          <w:color w:val="auto"/>
        </w:rPr>
        <w:t>. Such Purchaser has the full right, power and authority to execute and deliver this Agreement and to perform its obligations hereunder; and all action required to be taken for the due and proper authorization, execution and delivery by it of this Agreement and the consummation of the transaction contemplated hereby has been duly and validly taken.</w:t>
      </w:r>
    </w:p>
    <w:p>
      <w:pPr>
        <w:spacing w:after="0" w:line="18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Authorization</w:t>
      </w:r>
      <w:r>
        <w:rPr>
          <w:rFonts w:ascii="Arial" w:cs="Arial" w:eastAsia="Arial" w:hAnsi="Arial"/>
          <w:sz w:val="17"/>
          <w:szCs w:val="17"/>
          <w:color w:val="auto"/>
        </w:rPr>
        <w:t>. This Agreement has been duly authorized, executed and delivered by or on behalf of such Purchaser and constitutes a valid and binding agreement of such Purchaser enforceable in accordance with its terms, except to the extent enforcement thereof may be limited by bankruptcy, insolvency, reorganization or other laws affecting enforcement of creditors’ rights or by general equitable principles.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All governmental and other consents that are required to have been obtained by such Purchaser with respect to this Agreement have been obtained and are in full force and effect and all conditions of any such consents have been complied with.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8" w:name="page29"/>
    <w:bookmarkEnd w:id="28"/>
    <w:p>
      <w:pPr>
        <w:ind w:right="18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3.5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such Purchaser of this Agreement will not (a) conflict with or result in a breach or violation of any of the terms or provisions of, or constitute a default under any indenture, mortgage, deed of trust, loan agreement or other agreement or instrument to which such Purchaser or any of its subsidiaries is a party or by which such Purchaser or any of its subsidiaries is bound, (b) result in any violation of the provisions of the organizational documents of such Purchaser or any of its subsidiaries or (c) result in the violation of any law or statute or any judgment, order, rule or regulation of any court or arbitrator or governmental or regulatory authority, except, in the case of clauses (a) and (c) above, for any such conflict, breach violation or default that would not materially and adversely affect the purchase of the Purchased Shares and the consummation of any other transaction herein contemplated. No proceedings relating to the Purchased Shares are pending or, to the knowledge of such Purchaser, threatened, before any court, arbitrator, or administrative or governmental body or authority.</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Financial Capability</w:t>
      </w:r>
      <w:r>
        <w:rPr>
          <w:rFonts w:ascii="Arial" w:cs="Arial" w:eastAsia="Arial" w:hAnsi="Arial"/>
          <w:sz w:val="18"/>
          <w:szCs w:val="18"/>
          <w:color w:val="auto"/>
        </w:rPr>
        <w:t>. Such Purchaser has sufficient financial resources available to consummate the transactions contemplated by, and to perform its obligations under, this Agreement (including the payment of its portion of the Purchase Price).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Investment Intent</w:t>
      </w:r>
      <w:r>
        <w:rPr>
          <w:rFonts w:ascii="Arial" w:cs="Arial" w:eastAsia="Arial" w:hAnsi="Arial"/>
          <w:sz w:val="18"/>
          <w:szCs w:val="18"/>
          <w:color w:val="auto"/>
        </w:rPr>
        <w:t>. Such Purchaser is acquiring the Purchased Shares pursuant to this Agreement solely for the purpose of investment (within the meaning of Section 802.9 of the Hart-Scott-Rodino Antitrust Improvements Act of 1976, as amended) and has no intention of participating in the formulation, determination or direction of the basic business of the Company. Upon delivery of the applicable Purchased Shares to such Purchaser at the Closing, such Purchaser will not hold more than 10% of the outstanding voting securities of the Company.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 Such Purchaser is a sophisticated investor with sufficient knowledge and experience to properly evaluate the merits of the transactions contemplated by this Agreement, and such Purchaser is able to bear the substantial risks associated therewith.</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Such Purchaser has made its own inquiry and investigation into, and based thereon, has formed an independent judgment concerning, the Purchased Shares, the Company and its subsidiaries and the transactions contemplated hereby, and has been furnished with, or given adequate access to, such information about the Purchased Shares, the Company and its subsidiaries as it has requested (including the information in the Prospectus). In making its decision to execute and deliver this Agreement and to consummate the transactions contemplated hereby, such Purchaser has independently investigated the Company’s and its subsidiaries’ business operations, assets, liabilities, results of operations and financial condition.</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Such Purchaser hereby acknowledges that the Seller makes no representation or warranty with respect to the Company, its subsidiaries or the Purchased Shares except as expressly set forth in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whole at any time prior to the Closing by mutual written consent of the Seller and the Purchasers, or in part at any time with respect to a particular Purchaser prior to the Closing by mutual written consent of the Seller and the relevant Purchaser.</w:t>
      </w:r>
    </w:p>
    <w:p>
      <w:pPr>
        <w:spacing w:after="0" w:line="124"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contained herein or made in writing by any party in connection herewith shall survive the delivery of the Purchased Shares until expiration of the applicable statute of limitations.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provision of this Agreement may be amended or waived unless such amendment or waiver is in writing and signed, in the case of an amendment, by the Seller and the relevant Purchaser, or in the case of a waiver, by the Seller (in the event it is the waiving party) or the relevant Purchaser (in the event a Purchaser is the waiving party). 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otherwise expressly provided herein, this Agreement shall be binding on and inure to the benefit of the parties hereto, their heirs, executors, administrators, successors and all other persons hereafter that become a party hereto. No rights or obligations hereunder may be assigned by any party hereto without the written consent of the Seller (in the case it is the assigning party) or the relevant Purchaser (in the case a Purchaser is the assigning party). Any attempted transfer or assignment by any party of its rights and obligations under this Agreement, without the consent of the other party, shall be null and void.</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hereto pertaining to the subject matter hereof and fully supersedes any and all prior or contemporaneous agreements or understandings between the parties hereto pertaining to the subject matter hereof. This Agreement is not intended to confer upon any person, other than the parties hereto, any rights or remedies hereunder.</w:t>
      </w:r>
    </w:p>
    <w:p>
      <w:pPr>
        <w:spacing w:after="0" w:line="166"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this Agreement as a whole.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0" w:name="page31"/>
    <w:bookmarkEnd w:id="30"/>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multiple counterparts, each of which shall be deemed to be an original (including signatures delivered via facsimile or PDF) and all of which taken together shall constitute one agreement and the same instrument shall become effective when counterparts have been signed by each party and delivered to the other party, it being understood that both parties need not sign the same counterpart. The parties hereto may deliver this Agreement by facsimile or PDF and each party shall be permitted to rely on the signatures so transmitted to the same extent and effect as if they were original signatures.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NEVADA, WITHOUT GIVING EFFECT TO ANY CHOICE OF LAW OR CONFLICT OF LAWS PROVISION OR RULE (WHETHER OF THE STATE OF NEVADA OR ANY OTHER JURISDICTION) THAT WOULD CAUSE THE APPLICATION OF THE LAW OF ANY JURISDICTION OTHER THAN THE STATE OF NEVADA.</w:t>
      </w:r>
    </w:p>
    <w:p>
      <w:pPr>
        <w:spacing w:after="0" w:line="18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With respect to any demand, action, suit, countersuit, arbitration, inquiry, proceeding or investigation by or before any governmental authority or any federal, state, local, foreign or international arbitration or mediation tribunal (the “</w:t>
      </w:r>
      <w:r>
        <w:rPr>
          <w:rFonts w:ascii="Arial" w:cs="Arial" w:eastAsia="Arial" w:hAnsi="Arial"/>
          <w:sz w:val="17"/>
          <w:szCs w:val="17"/>
          <w:u w:val="single" w:color="auto"/>
          <w:color w:val="auto"/>
        </w:rPr>
        <w:t>Action</w:t>
      </w:r>
      <w:r>
        <w:rPr>
          <w:rFonts w:ascii="Arial" w:cs="Arial" w:eastAsia="Arial" w:hAnsi="Arial"/>
          <w:sz w:val="17"/>
          <w:szCs w:val="17"/>
          <w:color w:val="auto"/>
        </w:rPr>
        <w:t>”) arising out of or relating to this Agreement or any transaction contemplated hereby each of the parties hereto hereby irrevocably (i) submits to the exclusive jurisdiction of the courts of the State of Nevada and of the United States of America located in Clark County in the State of Nevada (the “</w:t>
      </w:r>
      <w:r>
        <w:rPr>
          <w:rFonts w:ascii="Arial" w:cs="Arial" w:eastAsia="Arial" w:hAnsi="Arial"/>
          <w:sz w:val="17"/>
          <w:szCs w:val="17"/>
          <w:u w:val="single" w:color="auto"/>
          <w:color w:val="auto"/>
        </w:rPr>
        <w:t>Selected Courts</w:t>
      </w:r>
      <w:r>
        <w:rPr>
          <w:rFonts w:ascii="Arial" w:cs="Arial" w:eastAsia="Arial" w:hAnsi="Arial"/>
          <w:sz w:val="17"/>
          <w:szCs w:val="17"/>
          <w:color w:val="auto"/>
        </w:rPr>
        <w:t xml:space="preserve">”) and waives any objection to venue being laid in the Selected Courts whether based on the grounds of forum non conveniens or otherwise and hereby agrees not to commence any such Actions other than before the Selected Court;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party may commence any Action in a court other than a Selected Courts solely for the purpose of enforcing an order or judgment issued by one of the Selected Courts; (ii) consents to service of process in any Action by the mailing of copies thereof by registered or certified mail, postage prepaid, or by recognized international express carrier or delivery service, to the applicable party at its address referred to in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herein shall affect the right of any party hereto to serve process in any other manner permitted by law; and (iii) TO THE EXTENT NOT PROHIBITED BY APPLICABLE LAW 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ACTION WHATSOEVER BETWEEN THEM RELATING TO THIS AGREEMENT OR ANY OF THE CONTEMPLATED TRANSACTIONS WILL INSTEAD BE TRIED IN A COURT OF COMPETENT JURISDICTION BY A JUDGE SITTING WITHOUT A JURY.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1" w:name="page32"/>
    <w:bookmarkEnd w:id="31"/>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consent, payment, demand, or communication required or permitted to be given by any provision of this Agreement shall be in writing and shall be (a) delivered personally to the party or to an officer of the party to whom the same is directed, or (b) sent by facsimile or other electronic or digital transmission method (including e-mail), or registered or certified mail, return receipt requested, postage prepaid, addressed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Family Limited Partnership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600 Brickell Ave, Suite 3100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Miami, FL 33131</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to:</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(213) 891-8763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Paul D. Tosetti and David A. Zaheer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paul.tosetti@lw.com; david.zaheer@lw.com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any Purchaser: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 Rowe Price Associates, Inc., investment adviser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Andrew Baek and Margie Schwartz</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410-345-6575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andrew_baek@troweprice.com;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margie_schwartz@troweprice.com</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to such other address as such party may from time to time specify in writing to the other parties hereto. Any such notice shall be deemed to be delivered, given and received for all purposes as of: (i) the date so delivered, if delivered personally, (ii) upon receipt, if sent by facsimile or other electronic or digital transmission method (including e-mail), or (iii) on the date of receipt or refusal indicated on the return receipt, if sent by registered or certified mail, return receipt requested, postage and charges prepaid and properly addressed.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Costs and expenses</w:t>
      </w:r>
      <w:r>
        <w:rPr>
          <w:rFonts w:ascii="Arial" w:cs="Arial" w:eastAsia="Arial" w:hAnsi="Arial"/>
          <w:sz w:val="16"/>
          <w:szCs w:val="16"/>
          <w:color w:val="auto"/>
        </w:rPr>
        <w:t>. Each party shall bear its own costs and expenses related to this Agreement and the transaction contemplated hereby.</w:t>
      </w:r>
    </w:p>
    <w:p>
      <w:pPr>
        <w:spacing w:after="0" w:line="24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Certain Rules of Construction</w:t>
      </w:r>
      <w:r>
        <w:rPr>
          <w:rFonts w:ascii="Arial" w:cs="Arial" w:eastAsia="Arial" w:hAnsi="Arial"/>
          <w:sz w:val="17"/>
          <w:szCs w:val="17"/>
          <w:color w:val="auto"/>
        </w:rPr>
        <w:t>. To the fullest extent permitted by law, the parties hereto intend that any ambiguities shall be resolved without reference to which party may have drafted this Agreement. All Section or subsection titles or other captions in this Agreement are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74" w:right="37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 (e) “herein,”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spacing w:after="0" w:line="18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prior to and after the purchase and sale of the Purchased Shares, to execute and deliver such other documents, certificates, agreements and other writings and to take such other actions as may be reasonably necessary or desirable in order to consummate or implement expeditiously the transactions contemplated by this Agreement.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and no Purchaser shall be responsible in any way for the performance of the obligations of any other Purchaser under this Agreement. The decision of each Purchaser to purchase Purchased Shares pursuant to this Agreement has been made by such Purchaser independently of any other Purchaser.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acknowledges that no other Purchaser has acted as agent for such Purchaser in connection with making its investment hereunder and that no Purchaser will be acting as agent of such Purchaser in connection with monitoring its investment in the Purchased Shares or enforcing its rights under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Seller acknowledges that each of the Purchasers has been provided with the same Agreement for the purpose of closing a transaction with multiple Purchasers and not because it was required or requested to do so by any Purchaser. It is expressly understood and agreed that each provision contained in this Agreement is between the Seller and a Purchaser, solely, and not between the Seller and the Purchasers collectively and not between and among the Purchasers.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Stock Purchase Agreement to be executed and delivered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Stephen A. Wynn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Stock Purchase Agreement]</w:t>
      </w:r>
    </w:p>
    <w:p>
      <w:pPr>
        <w:sectPr>
          <w:pgSz w:w="11900" w:h="16838" w:orient="portrait"/>
          <w:cols w:equalWidth="0" w:num="1">
            <w:col w:w="9940"/>
          </w:cols>
          <w:pgMar w:left="700" w:top="274" w:right="1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Stock Purchase Agreement to be executed and delivered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Each Purchaser set forth in Appendix 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hereto, severally and not jointly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T. Rowe Price Associates,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investment adviser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Joseph Fath</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Joseph Fath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-130810</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T. Rowe Price Associates,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investment adviser</w:t>
      </w:r>
    </w:p>
    <w:p>
      <w:pPr>
        <w:spacing w:after="0" w:line="224"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 Easley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Don 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T. Rowe Price Associates,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investment adviser</w:t>
      </w:r>
    </w:p>
    <w:p>
      <w:pPr>
        <w:spacing w:after="0" w:line="224"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 Harlow</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Robert L. Harlow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T. Rowe Price Associates,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 investment adviser</w:t>
      </w:r>
    </w:p>
    <w:p>
      <w:pPr>
        <w:spacing w:after="0" w:line="224" w:lineRule="exact"/>
        <w:rPr>
          <w:sz w:val="20"/>
          <w:szCs w:val="20"/>
          <w:color w:val="auto"/>
        </w:rPr>
      </w:pPr>
    </w:p>
    <w:p>
      <w:pPr>
        <w:ind w:left="64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Rouven Wool-Lewis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Rouven Wool-Lewis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Andrew Baek,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Email: Andrew_Baek@troweprice.com</w:t>
      </w:r>
    </w:p>
    <w:p>
      <w:pPr>
        <w:spacing w:after="0" w:line="224"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Stock Purchase Agreement]</w:t>
      </w:r>
    </w:p>
    <w:p>
      <w:pPr>
        <w:sectPr>
          <w:pgSz w:w="11900" w:h="16838" w:orient="portrait"/>
          <w:cols w:equalWidth="0" w:num="1">
            <w:col w:w="9940"/>
          </w:cols>
          <w:pgMar w:left="700" w:top="274" w:right="1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2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This Stock Purchase Agreement, dated as of March 22, 2018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Wynn Family Limited Partnership, a Delaware limited partnership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and each of the purchasers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severally and not jointly (each,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w:t>
      </w:r>
      <w:r>
        <w:rPr>
          <w:rFonts w:ascii="Arial" w:cs="Arial" w:eastAsia="Arial" w:hAnsi="Arial"/>
          <w:sz w:val="18"/>
          <w:szCs w:val="18"/>
          <w:color w:val="auto"/>
        </w:rPr>
        <w:t>s”).</w:t>
      </w:r>
    </w:p>
    <w:p>
      <w:pPr>
        <w:spacing w:after="0" w:line="177"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holds an aggregate of 8,026,708 shares of common stock of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 wishes to sell an aggregate of 5,000,000 shares of Common Stock to the Purchasers, and each Purchaser wishes to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number of shares of Common Stock from the Seller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severally and not jointly (such shares,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on the terms and subject to the conditions set forth in this Agreement.</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and for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w:t>
      </w:r>
    </w:p>
    <w:p>
      <w:pPr>
        <w:spacing w:after="0" w:line="21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Sale and Purchase</w:t>
      </w:r>
      <w:r>
        <w:rPr>
          <w:rFonts w:ascii="Arial" w:cs="Arial" w:eastAsia="Arial" w:hAnsi="Arial"/>
          <w:sz w:val="17"/>
          <w:szCs w:val="17"/>
          <w:color w:val="auto"/>
        </w:rPr>
        <w:t>. On the terms and subject to the conditions set forth in this Agreement, on the Closing Date (as defined below), the Seller shall sell and transfer the Purchased Shares to the Purchasers, and the Purchasers shall purchase the Purchased Shares from the Seller.</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Purchased Shares shall be $875,000,000.00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(or $175.00 per share). The portion of the Purchase Price to be paid by each Purchaser is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Registration</w:t>
      </w:r>
      <w:r>
        <w:rPr>
          <w:rFonts w:ascii="Arial" w:cs="Arial" w:eastAsia="Arial" w:hAnsi="Arial"/>
          <w:sz w:val="16"/>
          <w:szCs w:val="16"/>
          <w:color w:val="auto"/>
        </w:rPr>
        <w:t>. The Company has filed with the Securities and Exchange Commission, under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 registration statement on Form S-3 (File No. 333-214505) with respect to the issuance and sale by the Company of certain securities including the Common Stock, and a prospectus supplement, dated March 20, 2018 relating to the resale by the Seller of the Purchased Shares (such registration statement as amended or supplemented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including all documents incorporated by reference therein, the prospectus included therein, and the prospectus supplement, as from time to time amended or supplemented pursuant to the Securities Act, the Securities Exchange Act of 1934, as amended, or otherwise, are collectively referred to herein as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Closing Date; Delivery of and Payment for the Purchased Shares</w:t>
      </w:r>
      <w:r>
        <w:rPr>
          <w:rFonts w:ascii="Arial" w:cs="Arial" w:eastAsia="Arial" w:hAnsi="Arial"/>
          <w:sz w:val="18"/>
          <w:szCs w:val="18"/>
          <w:color w:val="auto"/>
        </w:rPr>
        <w:t>. On the terms and subject to the conditions set forth in this Agreement, the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of the purchase and sale of the Purchased Shares hereunder shall occur at 10:00 a.m., Eastern time, on</w:t>
      </w:r>
    </w:p>
    <w:p>
      <w:pPr>
        <w:sectPr>
          <w:pgSz w:w="11900" w:h="16838" w:orient="portrait"/>
          <w:cols w:equalWidth="0" w:num="1">
            <w:col w:w="11420"/>
          </w:cols>
          <w:pgMar w:left="240" w:top="121" w:right="239" w:bottom="1440" w:gutter="0" w:footer="0" w:header="0"/>
        </w:sectPr>
      </w:pPr>
    </w:p>
    <w:bookmarkStart w:id="36" w:name="page37"/>
    <w:bookmarkEnd w:id="36"/>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26, 2018 (or such other time and date as the parties hereto may agree), and on such date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(a) each Purchaser shall pay, by wire transfer of immediately available funds to the account specified by the Seller, its portion of the Purchase Price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and (b) the Company’s transfer agent shall (i) cause each Purchaser’s portion of the Purchased Shares to be delivered by crediting such Purchaser’s portion of the Purchased Shares to the accounts designated by such Purchaser and (ii) provide a transaction notice to such Purchaser reflecting the Purchased Shares credited in the Direct Registration System (DRS). The obligation of each party hereto to consummate the purchase and sale of the Purchased Shares hereunder at the Closing shall be subject to (A) the accuracy when made and as of the Closing Date of the representations and warranties of the other party or parties (unless such representations and warranties are made as of a specific date, in which case they shall be accurate as of such date), and (B) the performance by the other party or parties of all obligations, covenants and agreements required to be performed by such party or parties on or prior to the Closing.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Seller hereby represents and warrants to the Purchasers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Existence</w:t>
      </w:r>
      <w:r>
        <w:rPr>
          <w:rFonts w:ascii="Arial" w:cs="Arial" w:eastAsia="Arial" w:hAnsi="Arial"/>
          <w:sz w:val="16"/>
          <w:szCs w:val="16"/>
          <w:color w:val="auto"/>
        </w:rPr>
        <w:t>. The Seller has been duly formed and is validly existing as a limited partnership in good standing under the laws of the State of Delaware.</w:t>
      </w:r>
    </w:p>
    <w:p>
      <w:pPr>
        <w:spacing w:after="0" w:line="248"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Power and Authority</w:t>
      </w:r>
      <w:r>
        <w:rPr>
          <w:rFonts w:ascii="Arial" w:cs="Arial" w:eastAsia="Arial" w:hAnsi="Arial"/>
          <w:sz w:val="18"/>
          <w:szCs w:val="18"/>
          <w:color w:val="auto"/>
        </w:rPr>
        <w:t>. The Seller has the full right, power and authority to execute and deliver this Agreement and to perform its obligations hereunder; and all action required to be taken by the Seller for the due and proper authorization, execution and delivery by it of this Agreement and the consummation of the transaction contemplated hereby has been duly and validly taken.</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Authorization</w:t>
      </w:r>
      <w:r>
        <w:rPr>
          <w:rFonts w:ascii="Arial" w:cs="Arial" w:eastAsia="Arial" w:hAnsi="Arial"/>
          <w:sz w:val="18"/>
          <w:szCs w:val="18"/>
          <w:color w:val="auto"/>
        </w:rPr>
        <w:t>. This Agreement has been duly authorized, executed and delivered by or on behalf of the Seller and constitutes a valid and binding agreement of the Seller enforceable in accordance with its terms, except to the extent enforcement thereof may be limited by bankruptcy, insolvency, reorganization or other laws affecting enforcement of creditors’ rights or by general equitable principles.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Consents</w:t>
      </w:r>
      <w:r>
        <w:rPr>
          <w:rFonts w:ascii="Arial" w:cs="Arial" w:eastAsia="Arial" w:hAnsi="Arial"/>
          <w:sz w:val="18"/>
          <w:szCs w:val="18"/>
          <w:color w:val="auto"/>
        </w:rPr>
        <w:t>. Assuming the accuracy of the Purchasers’ representations and warranties set forth in Article 3, all governmental and other consents that are required to have been obtained by the Seller with respect to this Agreement have been obtained and are in full force and effect and all conditions of any such consents have been complied with.</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Seller of this Agreement will not (a) conflict with or result in a breach or violation of any of the terms or provisions of, or constitute a default under any indenture, mortgage, deed of trust, loan agreement or other agreement or instrument to which the Seller is a party or by which the Seller is bound, (b) result in any violation of the provisions of the organizational documents of the Seller or</w:t>
      </w:r>
    </w:p>
    <w:p>
      <w:pPr>
        <w:ind w:left="5660" w:right="5120" w:hanging="5652"/>
        <w:spacing w:after="0" w:line="517" w:lineRule="auto"/>
        <w:tabs>
          <w:tab w:leader="none" w:pos="2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assuming the accuracy of the Purchasers’ representations and warranties set forth in 2</w:t>
      </w:r>
    </w:p>
    <w:p>
      <w:pPr>
        <w:sectPr>
          <w:pgSz w:w="11900" w:h="16838" w:orient="portrait"/>
          <w:cols w:equalWidth="0" w:num="1">
            <w:col w:w="11400"/>
          </w:cols>
          <w:pgMar w:left="240" w:top="274" w:right="259" w:bottom="1440" w:gutter="0" w:footer="0" w:header="0"/>
        </w:sectPr>
      </w:pPr>
    </w:p>
    <w:bookmarkStart w:id="37" w:name="page38"/>
    <w:bookmarkEnd w:id="37"/>
    <w:p>
      <w:pPr>
        <w:ind w:right="8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r>
        <w:rPr>
          <w:rFonts w:ascii="Arial" w:cs="Arial" w:eastAsia="Arial" w:hAnsi="Arial"/>
          <w:sz w:val="18"/>
          <w:szCs w:val="18"/>
          <w:color w:val="auto"/>
        </w:rPr>
        <w:t>, result in the violation of any law or statute or any judgment, order, rule or regulation of any court or arbitrator or governmental or regulatory authority, except, in the case of clauses (a) and (c) above, for any such conflict, breach, violation or default that would not materially and adversely affect the sale of the Purchased Shares and the consummation of any other transaction herein contemplated.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Title and Delivery</w:t>
      </w:r>
      <w:r>
        <w:rPr>
          <w:rFonts w:ascii="Arial" w:cs="Arial" w:eastAsia="Arial" w:hAnsi="Arial"/>
          <w:sz w:val="18"/>
          <w:szCs w:val="18"/>
          <w:color w:val="auto"/>
        </w:rPr>
        <w:t>. As of the date hereof and immediately prior to the delivery of the Purchased Shares at the Closing, the Seller is, and will be, the sole legal and beneficial owner of, and holds, and will hold, good and valid title to the Purchased Shares, free and clear of all liens and encumbrances, other than any liens or encumbrances arising under applicable gaming laws, federal or state securities laws or other applicable law or the articles of incorporation or bylaws of the Company or that would not materially and adversely affect the sale of the Purchased Shares and the consummation of any other transaction herein contemplated.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PURCHASERS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Purchaser hereby represents and warrants to the Seller as follows:</w:t>
      </w:r>
    </w:p>
    <w:p>
      <w:pPr>
        <w:spacing w:after="0" w:line="225"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w:t>
      </w:r>
      <w:r>
        <w:rPr>
          <w:rFonts w:ascii="Arial" w:cs="Arial" w:eastAsia="Arial" w:hAnsi="Arial"/>
          <w:sz w:val="18"/>
          <w:szCs w:val="18"/>
          <w:color w:val="auto"/>
        </w:rPr>
        <w:t>. Such Purchaser has been duly organized and is validly existing and in good standing under the laws of the jurisdiction of its organization.</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 and Authority</w:t>
      </w:r>
      <w:r>
        <w:rPr>
          <w:rFonts w:ascii="Arial" w:cs="Arial" w:eastAsia="Arial" w:hAnsi="Arial"/>
          <w:sz w:val="18"/>
          <w:szCs w:val="18"/>
          <w:color w:val="auto"/>
        </w:rPr>
        <w:t>. Such Purchaser has the full right, power and authority to execute and deliver this Agreement and to perform its obligations hereunder; and all action required to be taken for the due and proper authorization, execution and delivery by it of this Agreement and the consummation of the transaction contemplated hereby has been duly and validly taken.</w:t>
      </w:r>
    </w:p>
    <w:p>
      <w:pPr>
        <w:spacing w:after="0" w:line="18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Authorization</w:t>
      </w:r>
      <w:r>
        <w:rPr>
          <w:rFonts w:ascii="Arial" w:cs="Arial" w:eastAsia="Arial" w:hAnsi="Arial"/>
          <w:sz w:val="17"/>
          <w:szCs w:val="17"/>
          <w:color w:val="auto"/>
        </w:rPr>
        <w:t>. This Agreement has been duly authorized, executed and delivered by or on behalf of such Purchaser and constitutes a valid and binding agreement of such Purchaser enforceable in accordance with its terms, except to the extent enforcement thereof may be limited by bankruptcy, insolvency, reorganization or other laws affecting enforcement of creditors’ rights or by general equitable principles.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Consents</w:t>
      </w:r>
      <w:r>
        <w:rPr>
          <w:rFonts w:ascii="Arial" w:cs="Arial" w:eastAsia="Arial" w:hAnsi="Arial"/>
          <w:sz w:val="18"/>
          <w:szCs w:val="18"/>
          <w:color w:val="auto"/>
        </w:rPr>
        <w:t>. All governmental and other consents that are required to have been obtained by such Purchaser with respect to this Agreement have been obtained and are in full force and effect and all conditions of any such consents have been complied with.</w:t>
      </w:r>
    </w:p>
    <w:p>
      <w:pPr>
        <w:spacing w:after="0" w:line="170"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such Purchaser of this Agreement will not (a) conflict with or result in a breach or violation of any of the terms or provisions of, or constitute a default under any indenture, mortgage, deed of trust, loan agreement or other agreement or instrument to which such Purchaser or any of its subsidiaries is a party or by which such Purchaser or any of its subsidiaries is bound, (b) result in any violation of the provisions of the organizational documents of such Purchaser or any of its subsidiaries or (c) result in the violation of any law or statute or any judgment, order, rule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8" w:name="page39"/>
    <w:bookmarkEnd w:id="3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of any court or arbitrator or governmental or regulatory authority, except, in the case of clauses (a) and (c) above, for any such conflict, breach violation or default that would not materially and adversely affect the purchase of the Purchased Shares and the consummation of any other transaction herein contemplated.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Financial Capability</w:t>
      </w:r>
      <w:r>
        <w:rPr>
          <w:rFonts w:ascii="Arial" w:cs="Arial" w:eastAsia="Arial" w:hAnsi="Arial"/>
          <w:sz w:val="18"/>
          <w:szCs w:val="18"/>
          <w:color w:val="auto"/>
        </w:rPr>
        <w:t>. Such Purchaser has sufficient financial resources available to consummate the transactions contemplated by, and to perform its obligations under, this Agreement (including the payment of its portion of the Purchase Price).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Investment Intent</w:t>
      </w:r>
      <w:r>
        <w:rPr>
          <w:rFonts w:ascii="Arial" w:cs="Arial" w:eastAsia="Arial" w:hAnsi="Arial"/>
          <w:sz w:val="18"/>
          <w:szCs w:val="18"/>
          <w:color w:val="auto"/>
        </w:rPr>
        <w:t>. Such Purchaser is acquiring the Purchased Shares pursuant to this Agreement solely for the purpose of investment (within the meaning of Section 802.9 of the Hart-Scott-Rodino Antitrust Improvements Act of 1976, as amended) and has no intention of participating in the formulation, determination or direction of the basic business of the Company. Upon delivery of the applicable Purchased Shares to such Purchaser at the Closing, such Purchaser will not hold more than 10% of the outstanding voting securities of the Company.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 Such Purchaser is a sophisticated investor with sufficient knowledge and experience to properly evaluate the merits of the transactions contemplated by this Agreement, and such Purchaser is able to bear the substantial risks associated therewith.</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Such Purchaser has made its own inquiry and investigation into, and based thereon, has formed an independent judgment concerning, the Purchased Shares, the Company and its subsidiaries and the transactions contemplated hereby, and has been furnished with, or given adequate access to, such information about the Purchased Shares, the Company and its subsidiaries as it has requested (including the information in the Prospectus). In making its decision to execute and deliver this Agreement and to consummate the transactions contemplated hereby, such Purchaser has independently investigated the Company’s and its subsidiaries’ business operations, assets, liabilities, results of operations and financial condition.</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Such Purchaser hereby acknowledges that the Seller makes no representation or warranty with respect to the Company, its subsidiaries or the Purchased Shares except as expressly set forth in this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whole at any time prior to the Closing by mutual written consent of the Seller and the Purchasers, or in part at any time with respect to a particular Purchaser prior to the Closing by mutual written consent of the Seller and the relevant Purchaser.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9" w:name="page40"/>
    <w:bookmarkEnd w:id="39"/>
    <w:p>
      <w:pPr>
        <w:ind w:right="2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to effectively carry out the purposes of this Agreement.</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contained herein or made in writing by any party in connection herewith shall survive the delivery of the Purchased Shares until expiration of the applicable statute of limitations.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provision of this Agreement may be amended or waived unless such amendment or waiver is in writing and signed, in the case of an amendment, by the Seller and the relevant Purchaser, or in the case of a waiver, by the Seller (in the event it is the waiving party) or the relevant Purchaser (in the event a Purchaser is the waiting party). 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otherwise expressly provided herein, this Agreement shall be binding on and inure to the benefit of the parties hereto, their heirs, executors, administrators, successors and all other persons hereafter that become a party hereto. No rights or obligations hereunder may be assigned by any party hereto without the written consent of the Seller (in the case it is the assigning party) or the relevant Purchaser (in the case a Purchaser is the assigning party). Any attempted transfer or assignment by any party of its rights and obligations under this Agreement, without the consent of the other party, shall be null and void.</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hereto pertaining to the subject matter hereof and fully supersedes any and all prior or contemporaneous agreements or understandings between the parties hereto pertaining to the subject matter hereof. This Agreement is not intended to confer upon any person, other than the parties hereto, any rights or remedies hereunder.</w:t>
      </w:r>
    </w:p>
    <w:p>
      <w:pPr>
        <w:spacing w:after="0" w:line="166"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as applied to any party or to any circumstance, shall be adjudged by a court to be void, unenforceable or inoperative as a matter of law, then the same shall in no way affect any other provision in this Agreement, the application of such provision in any other circumstance or with respect to any other party, or the validity or enforceability of this Agreement as a whole.</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multiple counterparts, each of which shall be deemed to be an original (including signatures delivered via facsimile or PDF) and all of which taken together shall constitute one agreement and the same instrument shall become effective when counterparts have been signed by each party and delivered to the other party, it being understood that both parties need not sign the same counterpart. The parties hereto may deliver this Agreement by facsimile or PDF and each party shall be permitted to rely on the signatures so transmitted to the same extent and effect as if they were original signatures.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0" w:name="page41"/>
    <w:bookmarkEnd w:id="4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NEVADA, WITHOUT GIVING EFFECT TO ANY CHOICE OF LAW OR CONFLICT OF LAWS PROVISION OR RULE (WHETHER OF THE STATE OF NEVADA OR ANY OTHER JURISDICTION) THAT WOULD CAUSE THE APPLICATION OF THE LAW OF ANY JURISDICTION OTHER THAN THE STATE OF NEVADA.</w:t>
      </w:r>
    </w:p>
    <w:p>
      <w:pPr>
        <w:spacing w:after="0" w:line="18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 With respect to any demand, action, suit, countersuit, arbitration, inquiry, proceeding or investigation by or before any governmental authority or any federal, state, local, foreign or international arbitration or mediation tribunal (the “</w:t>
      </w:r>
      <w:r>
        <w:rPr>
          <w:rFonts w:ascii="Arial" w:cs="Arial" w:eastAsia="Arial" w:hAnsi="Arial"/>
          <w:sz w:val="17"/>
          <w:szCs w:val="17"/>
          <w:u w:val="single" w:color="auto"/>
          <w:color w:val="auto"/>
        </w:rPr>
        <w:t>Action</w:t>
      </w:r>
      <w:r>
        <w:rPr>
          <w:rFonts w:ascii="Arial" w:cs="Arial" w:eastAsia="Arial" w:hAnsi="Arial"/>
          <w:sz w:val="17"/>
          <w:szCs w:val="17"/>
          <w:color w:val="auto"/>
        </w:rPr>
        <w:t>”) arising out of or relating to this Agreement or any transaction contemplated hereby each of the parties hereto hereby irrevocably (i) submits to the exclusive jurisdiction of the courts of the State of Nevada and of the United States of America located in Clark County in the State of Nevada (the “</w:t>
      </w:r>
      <w:r>
        <w:rPr>
          <w:rFonts w:ascii="Arial" w:cs="Arial" w:eastAsia="Arial" w:hAnsi="Arial"/>
          <w:sz w:val="17"/>
          <w:szCs w:val="17"/>
          <w:u w:val="single" w:color="auto"/>
          <w:color w:val="auto"/>
        </w:rPr>
        <w:t>Selected Courts</w:t>
      </w:r>
      <w:r>
        <w:rPr>
          <w:rFonts w:ascii="Arial" w:cs="Arial" w:eastAsia="Arial" w:hAnsi="Arial"/>
          <w:sz w:val="17"/>
          <w:szCs w:val="17"/>
          <w:color w:val="auto"/>
        </w:rPr>
        <w:t xml:space="preserve">”) and waives any objection to venue being laid in the Selected Courts whether based on the grounds of forum non conveniens or otherwise and hereby agrees not to commence any such Actions other than before the Selected Court;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party may commence any Action in a court other than a Selected Courts solely for the purpose of enforcing an order or judgment issued by one of the Selected Courts; (ii) consents to service of process in any Action by the mailing of copies thereof by registered or certified mail, postage prepaid, or by recognized international express carrier or delivery service, to the applicable party at its address referred to in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herein shall affect the right of any party hereto to serve process in any other manner permitted by law; and (iii) TO THE EXTENT NOT PROHIBITED BY APPLICABLE LAW 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ACTION WHATSOEVER BETWEEN THEM RELATING TO THIS AGREEMENT OR ANY OF THE CONTEMPLATED TRANSACTIONS WILL INSTEAD BE TRIED IN A COURT OF COMPETENT JURISDICTION BY A JUDGE SITTING WITHOUT A JURY.</w:t>
      </w:r>
    </w:p>
    <w:p>
      <w:pPr>
        <w:spacing w:after="0" w:line="19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consent, payment, demand, or communication required or permitted to be given by any provision of this Agreement shall be in writing and shall be (a) delivered personally to the party or to an officer of the party to whom the same is directed, or (b) sent by facsimile or other electronic or digital transmission method (including e-mail), or registered or certified mail, return receipt requested, postage prepaid, addressed as follows: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41" w:name="page42"/>
    <w:bookmarkEnd w:id="4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Seller: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Family Limited Partnership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600 Brickell Ave, Suite 3100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Miami, FL 33131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355 South Grand Avenue, Suite 100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(213) 891-8763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Paul D. Tosetti and David A. Zaheer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E-mail: paul.tosetti@lw.com;</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david.zaheer@lw.com</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any Purchaser: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Capital Research and Management Company</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333 South Hope Street, 33rd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(213) 486-9041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Erik A. Vayntrub</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E-mail: erv@capgroup.com</w:t>
      </w: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or to such other address as such party may from time to time specify in writing to the other parties hereto. Any such notice shall be deemed to be delivered, given and received for all purposes as of: (i) the date so delivered, if delivered personally, (ii) upon receipt, if sent by facsimile or other electronic or digital transmission method (including e-mail), or (iii) on the date of receipt or refusal indicated on the return receipt, if sent by registered or certified mail, return receipt requested, postage and charges prepaid and properly addressed.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Costs and expenses</w:t>
      </w:r>
      <w:r>
        <w:rPr>
          <w:rFonts w:ascii="Arial" w:cs="Arial" w:eastAsia="Arial" w:hAnsi="Arial"/>
          <w:sz w:val="16"/>
          <w:szCs w:val="16"/>
          <w:color w:val="auto"/>
        </w:rPr>
        <w:t>. Each party shall bear its own costs and expenses related to this Agreement and the transaction contemplated hereby.</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Certain Rules of Construction.</w:t>
      </w:r>
      <w:r>
        <w:rPr>
          <w:rFonts w:ascii="Arial" w:cs="Arial" w:eastAsia="Arial" w:hAnsi="Arial"/>
          <w:sz w:val="17"/>
          <w:szCs w:val="17"/>
          <w:color w:val="auto"/>
        </w:rPr>
        <w:t xml:space="preserve"> To the fullest extent permitted by law, the parties hereto intend that any ambiguities shall be resolved without reference to which party may have drafted this Agreement. All Section or subsection titles or other captions in this Agreement are for convenience only, and they shall not be deemed part of this Agreement and in no way define, limit, extend or describe the scope or intent of any provisions hereof. Unless the context otherwise requires: (a) a term has the meaning assigned to it; (b) “or” is not exclusive; (c) words in the singular include the plural, and words in the plural include the singular; (d) provisions apply to successive events and transactions; (e) “herein,” “hereof” and other words of similar import refer to this Agreement as a whole and not to any particular Section, subsection or other subdivision; (f) “include” or “including” shall be deemed to be followed by “without limitation” or “but not limited to” whether or not they are followed by such phrases or words of like import; (g) all references to “Sections” or “subsections” refer to Sections or subsections of this Agreement; and (h) any pronoun used in this Agreement shall include the corresponding masculine, feminine or neuter forms.</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4" w:right="39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Stock Purchase Agreement to be executed and delivered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Family Limited Partnership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GP, LLC, its general partner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By: Stephen A. Wynn Revocable Trust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U/D/T Dated June 24, 2010, its manager</w:t>
      </w:r>
    </w:p>
    <w:p>
      <w:pPr>
        <w:spacing w:after="0" w:line="200" w:lineRule="exact"/>
        <w:rPr>
          <w:sz w:val="20"/>
          <w:szCs w:val="20"/>
          <w:color w:val="auto"/>
        </w:rPr>
      </w:pPr>
    </w:p>
    <w:p>
      <w:pPr>
        <w:spacing w:after="0" w:line="27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Stephen A. Wynn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Stock Purchase Agreement]</w:t>
      </w:r>
    </w:p>
    <w:p>
      <w:pPr>
        <w:sectPr>
          <w:pgSz w:w="11900" w:h="16838" w:orient="portrait"/>
          <w:cols w:equalWidth="0" w:num="1">
            <w:col w:w="9940"/>
          </w:cols>
          <w:pgMar w:left="700" w:top="274" w:right="1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Stock Purchase Agreement to be executed and delivered as of the date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CAPITAL RESEARCH AND MANAGEMENT COMPANY,</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for and on behalf of each of the Purchasers, severally and not</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jointly</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Fabrice REMY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Fabrice 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-130810</wp:posOffset>
            </wp:positionV>
            <wp:extent cx="2752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[Signature Page to Stock Purchase Agreement]</w:t>
      </w:r>
    </w:p>
    <w:sectPr>
      <w:pgSz w:w="11900" w:h="16838" w:orient="portrait"/>
      <w:cols w:equalWidth="0" w:num="1">
        <w:col w:w="10860"/>
      </w:cols>
      <w:pgMar w:left="70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3"/>
    </w:lvl>
  </w:abstractNum>
  <w:abstractNum w:abstractNumId="2">
    <w:nsid w:val="3F2DBA31"/>
    <w:multiLevelType w:val="hybridMultilevel"/>
    <w:lvl w:ilvl="0">
      <w:lvlJc w:val="left"/>
      <w:lvlText w:val="%1"/>
      <w:numFmt w:val="decimal"/>
      <w:start w:val="16"/>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Letter"/>
      <w:start w:val="9"/>
    </w:lvl>
  </w:abstractNum>
  <w:abstractNum w:abstractNumId="5">
    <w:nsid w:val="62BBD95A"/>
    <w:multiLevelType w:val="hybridMultilevel"/>
    <w:lvl w:ilvl="0">
      <w:lvlJc w:val="left"/>
      <w:lvlText w:val="(%1)"/>
      <w:numFmt w:val="lowerLetter"/>
      <w:start w:val="2"/>
    </w:lvl>
  </w:abstractNum>
  <w:abstractNum w:abstractNumId="6">
    <w:nsid w:val="436C6125"/>
    <w:multiLevelType w:val="hybridMultilevel"/>
    <w:lvl w:ilvl="0">
      <w:lvlJc w:val="left"/>
      <w:lvlText w:val="%1"/>
      <w:numFmt w:val="decimal"/>
      <w:start w:val="1"/>
    </w:lvl>
    <w:lvl w:ilvl="1">
      <w:lvlJc w:val="left"/>
      <w:lvlText w:val="(%2)"/>
      <w:numFmt w:val="lowerLetter"/>
      <w:start w:val="1"/>
    </w:lvl>
  </w:abstractNum>
  <w:abstractNum w:abstractNumId="7">
    <w:nsid w:val="628C895D"/>
    <w:multiLevelType w:val="hybridMultilevel"/>
    <w:lvl w:ilvl="0">
      <w:lvlJc w:val="left"/>
      <w:lvlText w:val="(%1)"/>
      <w:numFmt w:val="decimal"/>
      <w:start w:val="30"/>
    </w:lvl>
    <w:lvl w:ilvl="1">
      <w:lvlJc w:val="left"/>
      <w:lvlText w:val="(%2)"/>
      <w:numFmt w:val="lowerLetter"/>
      <w:start w:val="3"/>
    </w:lvl>
  </w:abstractNum>
  <w:abstractNum w:abstractNumId="8">
    <w:nsid w:val="333AB105"/>
    <w:multiLevelType w:val="hybridMultilevel"/>
    <w:lvl w:ilvl="0">
      <w:lvlJc w:val="left"/>
      <w:lvlText w:val="(%1)"/>
      <w:numFmt w:val="lowerLetter"/>
      <w:start w:val="4"/>
    </w:lvl>
  </w:abstractNum>
  <w:abstractNum w:abstractNumId="9">
    <w:nsid w:val="721DA317"/>
    <w:multiLevelType w:val="hybridMultilevel"/>
    <w:lvl w:ilvl="0">
      <w:lvlJc w:val="left"/>
      <w:lvlText w:val="%1"/>
      <w:numFmt w:val="decimal"/>
      <w:start w:val="1"/>
    </w:lvl>
    <w:lvl w:ilvl="1">
      <w:lvlJc w:val="left"/>
      <w:lvlText w:val="(%2)"/>
      <w:numFmt w:val="lowerLetter"/>
      <w:start w:val="1"/>
    </w:lvl>
  </w:abstractNum>
  <w:abstractNum w:abstractNumId="10">
    <w:nsid w:val="2443A858"/>
    <w:multiLevelType w:val="hybridMultilevel"/>
    <w:lvl w:ilvl="0">
      <w:lvlJc w:val="left"/>
      <w:lvlText w:val="(%1)"/>
      <w:numFmt w:val="decimal"/>
      <w:start w:val="30"/>
    </w:lvl>
    <w:lvl w:ilvl="1">
      <w:lvlJc w:val="left"/>
      <w:lvlText w:val="%2"/>
      <w:numFmt w:val="lowerLetter"/>
      <w:start w:val="1"/>
    </w:lvl>
  </w:abstractNum>
  <w:abstractNum w:abstractNumId="11">
    <w:nsid w:val="2D1D5AE9"/>
    <w:multiLevelType w:val="hybridMultilevel"/>
    <w:lvl w:ilvl="0">
      <w:lvlJc w:val="left"/>
      <w:lvlText w:val="(%1)"/>
      <w:numFmt w:val="decimal"/>
      <w:start w:val="6"/>
    </w:lvl>
    <w:lvl w:ilvl="1">
      <w:lvlJc w:val="left"/>
      <w:lvlText w:val="(%2)"/>
      <w:numFmt w:val="lowerLetter"/>
      <w:start w:val="2"/>
    </w:lvl>
  </w:abstractNum>
  <w:abstractNum w:abstractNumId="12">
    <w:nsid w:val="6763845E"/>
    <w:multiLevelType w:val="hybridMultilevel"/>
    <w:lvl w:ilvl="0">
      <w:lvlJc w:val="left"/>
      <w:lvlText w:val="(%1)"/>
      <w:numFmt w:val="decimal"/>
      <w:start w:val="15"/>
    </w:lvl>
  </w:abstractNum>
  <w:abstractNum w:abstractNumId="13">
    <w:nsid w:val="75A2A8D4"/>
    <w:multiLevelType w:val="hybridMultilevel"/>
    <w:lvl w:ilvl="0">
      <w:lvlJc w:val="left"/>
      <w:lvlText w:val="%1"/>
      <w:numFmt w:val="lowerRoman"/>
      <w:start w:val="1"/>
    </w:lvl>
    <w:lvl w:ilvl="1">
      <w:lvlJc w:val="left"/>
      <w:lvlText w:val="(%2)"/>
      <w:numFmt w:val="lowerLetter"/>
      <w:start w:val="1"/>
    </w:lvl>
  </w:abstractNum>
  <w:abstractNum w:abstractNumId="14">
    <w:nsid w:val="8EDBDAB"/>
    <w:multiLevelType w:val="hybridMultilevel"/>
    <w:lvl w:ilvl="0">
      <w:lvlJc w:val="left"/>
      <w:lvlText w:val="(%1)"/>
      <w:numFmt w:val="lowerRoman"/>
      <w:start w:val="1"/>
    </w:lvl>
    <w:lvl w:ilvl="1">
      <w:lvlJc w:val="left"/>
      <w:lvlText w:val="%2"/>
      <w:numFmt w:val="lowerLetter"/>
      <w:start w:val="1"/>
    </w:lvl>
  </w:abstractNum>
  <w:abstractNum w:abstractNumId="15">
    <w:nsid w:val="79838CB2"/>
    <w:multiLevelType w:val="hybridMultilevel"/>
    <w:lvl w:ilvl="0">
      <w:lvlJc w:val="left"/>
      <w:lvlText w:val="%1"/>
      <w:numFmt w:val="upperLetter"/>
      <w:start w:val="1"/>
    </w:lvl>
    <w:lvl w:ilvl="1">
      <w:lvlJc w:val="left"/>
      <w:lvlText w:val="(%2)"/>
      <w:numFmt w:val="lowerLetter"/>
      <w:start w:val="1"/>
    </w:lvl>
  </w:abstractNum>
  <w:abstractNum w:abstractNumId="16">
    <w:nsid w:val="4353D0CD"/>
    <w:multiLevelType w:val="hybridMultilevel"/>
    <w:lvl w:ilvl="0">
      <w:lvlJc w:val="left"/>
      <w:lvlText w:val="(%1)"/>
      <w:numFmt w:val="upperLetter"/>
      <w:start w:val="1"/>
    </w:lvl>
    <w:lvl w:ilvl="1">
      <w:lvlJc w:val="left"/>
      <w:lvlText w:val="(%2)"/>
      <w:numFmt w:val="lowerLetter"/>
      <w:start w:val="2"/>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Letter"/>
      <w:start w:val="1"/>
    </w:lvl>
    <w:lvl w:ilvl="1">
      <w:lvlJc w:val="left"/>
      <w:lvlText w:val="(%2)"/>
      <w:numFmt w:val="lowerLetter"/>
      <w:start w:val="1"/>
    </w:lvl>
  </w:abstractNum>
  <w:abstractNum w:abstractNumId="20">
    <w:nsid w:val="71F32454"/>
    <w:multiLevelType w:val="hybridMultilevel"/>
    <w:lvl w:ilvl="0">
      <w:lvlJc w:val="left"/>
      <w:lvlText w:val="(%1)"/>
      <w:numFmt w:val="lowerLetter"/>
      <w:start w:val="35"/>
    </w:lvl>
    <w:lvl w:ilvl="1">
      <w:lvlJc w:val="left"/>
      <w:lvlText w:val="(%2)"/>
      <w:numFmt w:val="lowerLetter"/>
      <w:start w:val="2"/>
    </w:lvl>
  </w:abstractNum>
  <w:abstractNum w:abstractNumId="21">
    <w:nsid w:val="2CA88611"/>
    <w:multiLevelType w:val="hybridMultilevel"/>
    <w:lvl w:ilvl="0">
      <w:lvlJc w:val="left"/>
      <w:lvlText w:val="(%1)"/>
      <w:numFmt w:val="lowerLetter"/>
      <w:start w:val="4"/>
    </w:lvl>
  </w:abstractNum>
  <w:abstractNum w:abstractNumId="22">
    <w:nsid w:val="836C40E"/>
    <w:multiLevelType w:val="hybridMultilevel"/>
    <w:lvl w:ilvl="0">
      <w:lvlJc w:val="left"/>
      <w:lvlText w:val="(%1)"/>
      <w:numFmt w:val="upperLetter"/>
      <w:start w:val="3"/>
    </w:lvl>
    <w:lvl w:ilvl="1">
      <w:lvlJc w:val="left"/>
      <w:lvlText w:val="(%2)"/>
      <w:numFmt w:val="lowerLetter"/>
      <w:start w:val="9"/>
    </w:lvl>
  </w:abstractNum>
  <w:abstractNum w:abstractNumId="23">
    <w:nsid w:val="2901D82"/>
    <w:multiLevelType w:val="hybridMultilevel"/>
    <w:lvl w:ilvl="0">
      <w:lvlJc w:val="left"/>
      <w:lvlText w:val="(%1)"/>
      <w:numFmt w:val="lowerLetter"/>
      <w:start w:val="1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2019-12-06T20:04:20Z</dcterms:created>
  <dcterms:modified xsi:type="dcterms:W3CDTF">2019-12-06T20:04:20Z</dcterms:modified>
</cp:coreProperties>
</file>